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F88B2" w14:textId="1358CC59" w:rsidR="00C12C93" w:rsidRPr="00816DAC" w:rsidRDefault="00C12C93" w:rsidP="00854EEA">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0E9D8D14" w:rsidR="00EC22CC" w:rsidRDefault="002B4391" w:rsidP="00854EEA">
            <w:pPr>
              <w:jc w:val="center"/>
              <w:rPr>
                <w:rFonts w:ascii="Verdana" w:hAnsi="Verdana"/>
                <w:b/>
                <w:bCs/>
                <w:sz w:val="20"/>
                <w:szCs w:val="20"/>
              </w:rPr>
            </w:pPr>
            <w:r w:rsidRPr="002B4391">
              <w:rPr>
                <w:rFonts w:ascii="Verdana" w:hAnsi="Verdana"/>
                <w:b/>
                <w:bCs/>
              </w:rPr>
              <w:t>Réponse au 4</w:t>
            </w:r>
            <w:r w:rsidRPr="002B4391">
              <w:rPr>
                <w:rFonts w:ascii="Verdana" w:hAnsi="Verdana"/>
                <w:b/>
                <w:bCs/>
                <w:vertAlign w:val="superscript"/>
              </w:rPr>
              <w:t>e</w:t>
            </w:r>
            <w:r w:rsidRPr="002B4391">
              <w:rPr>
                <w:rFonts w:ascii="Verdana" w:hAnsi="Verdana"/>
                <w:b/>
                <w:bCs/>
              </w:rPr>
              <w:t xml:space="preserve"> appel du Fonds pour les changements climatiques en Afrique – projet BAD</w:t>
            </w:r>
          </w:p>
        </w:tc>
      </w:tr>
      <w:tr w:rsidR="002B4391" w14:paraId="7F1B63D2" w14:textId="77777777" w:rsidTr="002A0933">
        <w:tc>
          <w:tcPr>
            <w:tcW w:w="7225" w:type="dxa"/>
          </w:tcPr>
          <w:p w14:paraId="056D9B10" w14:textId="0F2A62C3" w:rsidR="002B4391" w:rsidRPr="002A096E" w:rsidRDefault="002B4391" w:rsidP="002B4391">
            <w:pPr>
              <w:rPr>
                <w:rFonts w:ascii="Verdana" w:hAnsi="Verdana"/>
                <w:sz w:val="20"/>
                <w:szCs w:val="20"/>
              </w:rPr>
            </w:pPr>
            <w:r>
              <w:rPr>
                <w:rFonts w:ascii="Verdana" w:hAnsi="Verdana"/>
                <w:sz w:val="20"/>
                <w:szCs w:val="20"/>
              </w:rPr>
              <w:t>Comité des OPL 03/2024, Maurice 02 et 03 décembre 2024</w:t>
            </w:r>
          </w:p>
        </w:tc>
        <w:tc>
          <w:tcPr>
            <w:tcW w:w="1837" w:type="dxa"/>
          </w:tcPr>
          <w:p w14:paraId="58E25D1F" w14:textId="6C2929DA" w:rsidR="002B4391" w:rsidRPr="002A0933" w:rsidRDefault="002B4391" w:rsidP="002B4391">
            <w:pPr>
              <w:jc w:val="center"/>
              <w:rPr>
                <w:rFonts w:ascii="Verdana" w:hAnsi="Verdana"/>
                <w:sz w:val="20"/>
                <w:szCs w:val="20"/>
              </w:rPr>
            </w:pPr>
            <w:r w:rsidRPr="002A0933">
              <w:rPr>
                <w:rFonts w:ascii="Verdana" w:hAnsi="Verdana"/>
                <w:sz w:val="20"/>
                <w:szCs w:val="20"/>
              </w:rPr>
              <w:t xml:space="preserve">Point </w:t>
            </w:r>
            <w:r>
              <w:rPr>
                <w:rFonts w:ascii="Verdana" w:hAnsi="Verdana"/>
                <w:sz w:val="20"/>
                <w:szCs w:val="20"/>
              </w:rPr>
              <w:t>2.8</w:t>
            </w:r>
          </w:p>
        </w:tc>
      </w:tr>
      <w:tr w:rsidR="002B4391" w14:paraId="537D1DE5" w14:textId="77777777" w:rsidTr="002A0933">
        <w:tc>
          <w:tcPr>
            <w:tcW w:w="7225" w:type="dxa"/>
          </w:tcPr>
          <w:p w14:paraId="43DEF09E" w14:textId="7CAC4C86" w:rsidR="002B4391" w:rsidRPr="00A37C9F" w:rsidRDefault="002B4391" w:rsidP="002B4391">
            <w:pPr>
              <w:rPr>
                <w:rFonts w:ascii="Verdana" w:hAnsi="Verdana"/>
                <w:sz w:val="20"/>
                <w:szCs w:val="20"/>
              </w:rPr>
            </w:pPr>
            <w:r w:rsidRPr="00A148A1">
              <w:rPr>
                <w:rFonts w:ascii="Verdana" w:hAnsi="Verdana"/>
                <w:i/>
                <w:iCs/>
                <w:sz w:val="20"/>
                <w:szCs w:val="20"/>
              </w:rPr>
              <w:t>Dossier suivi par :</w:t>
            </w:r>
            <w:r w:rsidRPr="00A37C9F">
              <w:rPr>
                <w:rFonts w:ascii="Verdana" w:hAnsi="Verdana"/>
                <w:sz w:val="20"/>
                <w:szCs w:val="20"/>
              </w:rPr>
              <w:t xml:space="preserve"> </w:t>
            </w:r>
            <w:r w:rsidRPr="006B416E">
              <w:rPr>
                <w:rFonts w:ascii="Verdana" w:hAnsi="Verdana"/>
                <w:sz w:val="20"/>
                <w:szCs w:val="20"/>
              </w:rPr>
              <w:t>Raj, MOHABEER, chargé de mission</w:t>
            </w:r>
          </w:p>
        </w:tc>
        <w:tc>
          <w:tcPr>
            <w:tcW w:w="1837" w:type="dxa"/>
          </w:tcPr>
          <w:p w14:paraId="5AC1AFAB" w14:textId="13037878" w:rsidR="002B4391" w:rsidRPr="002A0933" w:rsidRDefault="00D7083A" w:rsidP="002B4391">
            <w:pPr>
              <w:jc w:val="center"/>
              <w:rPr>
                <w:rFonts w:ascii="Verdana" w:hAnsi="Verdana"/>
                <w:sz w:val="20"/>
                <w:szCs w:val="20"/>
              </w:rPr>
            </w:pPr>
            <w:r>
              <w:rPr>
                <w:rFonts w:ascii="Verdana" w:hAnsi="Verdana"/>
                <w:sz w:val="20"/>
                <w:szCs w:val="20"/>
              </w:rPr>
              <w:t>Décision</w:t>
            </w:r>
          </w:p>
        </w:tc>
      </w:tr>
      <w:tr w:rsidR="002B4391" w14:paraId="6896DB30" w14:textId="77777777" w:rsidTr="009F5233">
        <w:tc>
          <w:tcPr>
            <w:tcW w:w="9062" w:type="dxa"/>
            <w:gridSpan w:val="2"/>
          </w:tcPr>
          <w:p w14:paraId="0495241B" w14:textId="1C94FA04" w:rsidR="002B4391" w:rsidRDefault="002B4391" w:rsidP="002B4391">
            <w:pPr>
              <w:rPr>
                <w:rFonts w:ascii="Verdana" w:hAnsi="Verdana"/>
                <w:sz w:val="20"/>
                <w:szCs w:val="20"/>
              </w:rPr>
            </w:pPr>
            <w:r>
              <w:rPr>
                <w:rFonts w:ascii="Verdana" w:hAnsi="Verdana"/>
                <w:i/>
                <w:iCs/>
                <w:sz w:val="20"/>
                <w:szCs w:val="20"/>
              </w:rPr>
              <w:t xml:space="preserve">Version du 18/11/2024 </w:t>
            </w:r>
          </w:p>
        </w:tc>
      </w:tr>
    </w:tbl>
    <w:p w14:paraId="1611BCC4" w14:textId="77777777" w:rsidR="00854EEA" w:rsidRDefault="00854EEA" w:rsidP="00816DAC">
      <w:pPr>
        <w:pStyle w:val="Paragraphe"/>
      </w:pPr>
      <w:bookmarkStart w:id="0" w:name="_Hlk24535240"/>
    </w:p>
    <w:p w14:paraId="678F0DFC" w14:textId="3923B394" w:rsidR="00854EEA" w:rsidRPr="0008468B" w:rsidRDefault="00955BB3" w:rsidP="00A70123">
      <w:pPr>
        <w:pStyle w:val="Titrepartie"/>
      </w:pPr>
      <w:r w:rsidRPr="0008468B">
        <w:t>Résumé</w:t>
      </w:r>
    </w:p>
    <w:p w14:paraId="5BFDF2E2" w14:textId="7CEABFAC" w:rsidR="004B2B9B" w:rsidRDefault="001C5B22" w:rsidP="004B2B9B">
      <w:pPr>
        <w:jc w:val="both"/>
        <w:rPr>
          <w:rFonts w:ascii="Verdana" w:hAnsi="Verdana" w:cs="Calibri"/>
          <w:sz w:val="20"/>
          <w:szCs w:val="20"/>
        </w:rPr>
      </w:pPr>
      <w:r>
        <w:rPr>
          <w:rFonts w:ascii="Verdana" w:hAnsi="Verdana" w:cs="Calibri"/>
          <w:sz w:val="20"/>
          <w:szCs w:val="20"/>
        </w:rPr>
        <w:t>Par sa</w:t>
      </w:r>
      <w:r w:rsidR="002B4391" w:rsidRPr="002B4391">
        <w:rPr>
          <w:rFonts w:ascii="Verdana" w:hAnsi="Verdana" w:cs="Calibri"/>
          <w:sz w:val="20"/>
          <w:szCs w:val="20"/>
        </w:rPr>
        <w:t xml:space="preserve"> décision 7c) </w:t>
      </w:r>
      <w:r w:rsidR="00210971">
        <w:rPr>
          <w:rFonts w:ascii="Verdana" w:hAnsi="Verdana" w:cs="Calibri"/>
          <w:sz w:val="20"/>
          <w:szCs w:val="20"/>
        </w:rPr>
        <w:t>le</w:t>
      </w:r>
      <w:r w:rsidR="00210971" w:rsidRPr="002B4391">
        <w:rPr>
          <w:rFonts w:ascii="Verdana" w:hAnsi="Verdana" w:cs="Calibri"/>
          <w:sz w:val="20"/>
          <w:szCs w:val="20"/>
        </w:rPr>
        <w:t xml:space="preserve"> </w:t>
      </w:r>
      <w:r w:rsidR="002B4391" w:rsidRPr="002B4391">
        <w:rPr>
          <w:rFonts w:ascii="Verdana" w:hAnsi="Verdana" w:cs="Calibri"/>
          <w:sz w:val="20"/>
          <w:szCs w:val="20"/>
        </w:rPr>
        <w:t xml:space="preserve">Comité des OPL </w:t>
      </w:r>
      <w:r w:rsidR="00210971">
        <w:rPr>
          <w:rFonts w:ascii="Verdana" w:hAnsi="Verdana" w:cs="Calibri"/>
          <w:sz w:val="20"/>
          <w:szCs w:val="20"/>
        </w:rPr>
        <w:t>de</w:t>
      </w:r>
      <w:r w:rsidR="00210971" w:rsidRPr="002B4391">
        <w:rPr>
          <w:rFonts w:ascii="Verdana" w:hAnsi="Verdana" w:cs="Calibri"/>
          <w:sz w:val="20"/>
          <w:szCs w:val="20"/>
        </w:rPr>
        <w:t xml:space="preserve"> </w:t>
      </w:r>
      <w:r w:rsidR="002B4391" w:rsidRPr="002B4391">
        <w:rPr>
          <w:rFonts w:ascii="Verdana" w:hAnsi="Verdana" w:cs="Calibri"/>
          <w:sz w:val="20"/>
          <w:szCs w:val="20"/>
        </w:rPr>
        <w:t xml:space="preserve">novembre 2023, </w:t>
      </w:r>
      <w:r w:rsidR="000E519A">
        <w:rPr>
          <w:rFonts w:ascii="Verdana" w:hAnsi="Verdana" w:cs="Calibri"/>
          <w:sz w:val="20"/>
          <w:szCs w:val="20"/>
        </w:rPr>
        <w:t>a donné mandat au Secrétariat général en vue</w:t>
      </w:r>
      <w:r w:rsidR="002B4391" w:rsidRPr="002B4391">
        <w:rPr>
          <w:rFonts w:ascii="Verdana" w:hAnsi="Verdana" w:cs="Calibri"/>
          <w:sz w:val="20"/>
          <w:szCs w:val="20"/>
        </w:rPr>
        <w:t xml:space="preserve"> de mobiliser les partenaires au développement pour la mise en place d’un dispositif régional d’accompagnement approprié pour les entrepreneurs et innovateurs, notamment les jeunes et les femmes, dans le domaine de l’économie circulaire</w:t>
      </w:r>
      <w:r w:rsidR="000E519A">
        <w:rPr>
          <w:rFonts w:ascii="Verdana" w:hAnsi="Verdana" w:cs="Calibri"/>
          <w:sz w:val="20"/>
          <w:szCs w:val="20"/>
        </w:rPr>
        <w:t xml:space="preserve">. A cet effet, </w:t>
      </w:r>
      <w:r w:rsidR="002B4391" w:rsidRPr="002B4391">
        <w:rPr>
          <w:rFonts w:ascii="Verdana" w:hAnsi="Verdana" w:cs="Calibri"/>
          <w:sz w:val="20"/>
          <w:szCs w:val="20"/>
        </w:rPr>
        <w:t xml:space="preserve"> en complémentarité </w:t>
      </w:r>
      <w:r w:rsidR="000E519A">
        <w:rPr>
          <w:rFonts w:ascii="Verdana" w:hAnsi="Verdana" w:cs="Calibri"/>
          <w:sz w:val="20"/>
          <w:szCs w:val="20"/>
        </w:rPr>
        <w:t>avec les</w:t>
      </w:r>
      <w:r w:rsidR="000E519A" w:rsidRPr="002B4391">
        <w:rPr>
          <w:rFonts w:ascii="Verdana" w:hAnsi="Verdana" w:cs="Calibri"/>
          <w:sz w:val="20"/>
          <w:szCs w:val="20"/>
        </w:rPr>
        <w:t xml:space="preserve"> </w:t>
      </w:r>
      <w:r w:rsidR="002B4391" w:rsidRPr="002B4391">
        <w:rPr>
          <w:rFonts w:ascii="Verdana" w:hAnsi="Verdana" w:cs="Calibri"/>
          <w:sz w:val="20"/>
          <w:szCs w:val="20"/>
        </w:rPr>
        <w:t xml:space="preserve">initiatives de coopération régionale en cours, mises en œuvre par la COI (projet TWENex et ExPLOI) dans le domaine de la promotion de l’économie circulaire et de la gestion des déchets,  le Secrétariat général </w:t>
      </w:r>
      <w:r w:rsidR="002B4391">
        <w:rPr>
          <w:rFonts w:ascii="Verdana" w:hAnsi="Verdana" w:cs="Calibri"/>
          <w:sz w:val="20"/>
          <w:szCs w:val="20"/>
        </w:rPr>
        <w:t xml:space="preserve">a </w:t>
      </w:r>
      <w:r w:rsidR="002B4391" w:rsidRPr="002B4391">
        <w:rPr>
          <w:rFonts w:ascii="Verdana" w:hAnsi="Verdana" w:cs="Calibri"/>
          <w:sz w:val="20"/>
          <w:szCs w:val="20"/>
        </w:rPr>
        <w:t>envisag</w:t>
      </w:r>
      <w:r w:rsidR="002B4391">
        <w:rPr>
          <w:rFonts w:ascii="Verdana" w:hAnsi="Verdana" w:cs="Calibri"/>
          <w:sz w:val="20"/>
          <w:szCs w:val="20"/>
        </w:rPr>
        <w:t>é</w:t>
      </w:r>
      <w:r w:rsidR="002B4391" w:rsidRPr="002B4391">
        <w:rPr>
          <w:rFonts w:ascii="Verdana" w:hAnsi="Verdana" w:cs="Calibri"/>
          <w:sz w:val="20"/>
          <w:szCs w:val="20"/>
        </w:rPr>
        <w:t xml:space="preserve"> de saisir </w:t>
      </w:r>
      <w:r w:rsidR="000E519A">
        <w:rPr>
          <w:rFonts w:ascii="Verdana" w:hAnsi="Verdana" w:cs="Calibri"/>
          <w:sz w:val="20"/>
          <w:szCs w:val="20"/>
        </w:rPr>
        <w:t>l’opportunité du</w:t>
      </w:r>
      <w:r w:rsidR="002B4391" w:rsidRPr="002B4391">
        <w:rPr>
          <w:rFonts w:ascii="Verdana" w:hAnsi="Verdana" w:cs="Calibri"/>
          <w:sz w:val="20"/>
          <w:szCs w:val="20"/>
        </w:rPr>
        <w:t xml:space="preserve"> quatrième appel du Fonds pour les changements climatiques en Afrique (FCCA) </w:t>
      </w:r>
      <w:r w:rsidR="000E519A">
        <w:rPr>
          <w:rFonts w:ascii="Verdana" w:hAnsi="Verdana" w:cs="Calibri"/>
          <w:sz w:val="20"/>
          <w:szCs w:val="20"/>
        </w:rPr>
        <w:t xml:space="preserve">géré par la Banque africaine de </w:t>
      </w:r>
      <w:r w:rsidR="004B2B9B">
        <w:rPr>
          <w:rFonts w:ascii="Verdana" w:hAnsi="Verdana" w:cs="Calibri"/>
          <w:sz w:val="20"/>
          <w:szCs w:val="20"/>
        </w:rPr>
        <w:t xml:space="preserve">développement (BAD) </w:t>
      </w:r>
      <w:r w:rsidR="002B4391">
        <w:rPr>
          <w:rFonts w:ascii="Verdana" w:hAnsi="Verdana" w:cs="Calibri"/>
          <w:sz w:val="20"/>
          <w:szCs w:val="20"/>
        </w:rPr>
        <w:t>paru le 31 octobre 2024</w:t>
      </w:r>
      <w:r w:rsidR="002B4391" w:rsidRPr="002B4391">
        <w:rPr>
          <w:rFonts w:ascii="Verdana" w:hAnsi="Verdana" w:cs="Calibri"/>
          <w:sz w:val="20"/>
          <w:szCs w:val="20"/>
        </w:rPr>
        <w:t xml:space="preserve">, pour déposer une demande de financement pour « </w:t>
      </w:r>
      <w:r w:rsidR="0000127D">
        <w:rPr>
          <w:rFonts w:ascii="Verdana" w:hAnsi="Verdana" w:cs="Calibri"/>
          <w:sz w:val="20"/>
          <w:szCs w:val="20"/>
        </w:rPr>
        <w:t>p</w:t>
      </w:r>
      <w:r w:rsidR="0000127D" w:rsidRPr="0000127D">
        <w:rPr>
          <w:rFonts w:ascii="Verdana" w:hAnsi="Verdana" w:cs="Calibri"/>
          <w:sz w:val="20"/>
          <w:szCs w:val="20"/>
        </w:rPr>
        <w:t xml:space="preserve">rojet d’action collective des jeunes pour la promotion de l’économie circulaire focalisée sur les déchets plastiques </w:t>
      </w:r>
      <w:r w:rsidR="002B4391" w:rsidRPr="002B4391">
        <w:rPr>
          <w:rFonts w:ascii="Verdana" w:hAnsi="Verdana" w:cs="Calibri"/>
          <w:sz w:val="20"/>
          <w:szCs w:val="20"/>
        </w:rPr>
        <w:t>dans les Etats insulaires d’Afrique et de l’océan Indien</w:t>
      </w:r>
      <w:r w:rsidR="0000127D">
        <w:rPr>
          <w:rFonts w:ascii="Verdana" w:hAnsi="Verdana" w:cs="Calibri"/>
          <w:sz w:val="20"/>
          <w:szCs w:val="20"/>
        </w:rPr>
        <w:t xml:space="preserve"> </w:t>
      </w:r>
      <w:r w:rsidR="0000127D" w:rsidRPr="0000127D">
        <w:rPr>
          <w:rFonts w:ascii="Verdana" w:hAnsi="Verdana" w:cs="Calibri"/>
          <w:sz w:val="20"/>
          <w:szCs w:val="20"/>
        </w:rPr>
        <w:t>(EIAOI)</w:t>
      </w:r>
      <w:r w:rsidR="0000127D" w:rsidRPr="002B4391">
        <w:rPr>
          <w:rFonts w:ascii="Verdana" w:hAnsi="Verdana" w:cs="Calibri"/>
          <w:sz w:val="20"/>
          <w:szCs w:val="20"/>
        </w:rPr>
        <w:t xml:space="preserve"> </w:t>
      </w:r>
      <w:r w:rsidR="002B4391" w:rsidRPr="002B4391">
        <w:rPr>
          <w:rFonts w:ascii="Verdana" w:hAnsi="Verdana" w:cs="Calibri"/>
          <w:sz w:val="20"/>
          <w:szCs w:val="20"/>
        </w:rPr>
        <w:t xml:space="preserve"> », dans une perspective de réduction des émissions de méthane et d’atténuation de l’impact du changement climatique, tel qu’indiqué par les lignes directrices. </w:t>
      </w:r>
      <w:r w:rsidR="000F2F4E" w:rsidRPr="002C23A0">
        <w:rPr>
          <w:rFonts w:ascii="Verdana" w:hAnsi="Verdana" w:cs="Calibri"/>
          <w:sz w:val="20"/>
          <w:szCs w:val="20"/>
          <w:highlight w:val="yellow"/>
        </w:rPr>
        <w:t>L’échéance de soumission des dossiers est prévue le 29 novembre 2024.</w:t>
      </w:r>
      <w:r w:rsidR="004B2B9B" w:rsidRPr="004B2B9B">
        <w:rPr>
          <w:rFonts w:ascii="Verdana" w:hAnsi="Verdana" w:cs="Calibri"/>
          <w:sz w:val="20"/>
          <w:szCs w:val="20"/>
        </w:rPr>
        <w:t xml:space="preserve"> </w:t>
      </w:r>
    </w:p>
    <w:p w14:paraId="240A545E" w14:textId="53FFDCF1" w:rsidR="004B2B9B" w:rsidRPr="002B4391" w:rsidRDefault="004B2B9B" w:rsidP="004B2B9B">
      <w:pPr>
        <w:jc w:val="both"/>
        <w:rPr>
          <w:rFonts w:ascii="Verdana" w:hAnsi="Verdana" w:cs="Calibri"/>
          <w:sz w:val="20"/>
          <w:szCs w:val="20"/>
        </w:rPr>
      </w:pPr>
      <w:r w:rsidRPr="002B4391">
        <w:rPr>
          <w:rFonts w:ascii="Verdana" w:hAnsi="Verdana" w:cs="Calibri"/>
          <w:sz w:val="20"/>
          <w:szCs w:val="20"/>
        </w:rPr>
        <w:t>Le Fonds pour les Changements Climatiques en Afrique (FCCA</w:t>
      </w:r>
      <w:r w:rsidR="00B51962">
        <w:rPr>
          <w:rFonts w:ascii="Verdana" w:hAnsi="Verdana" w:cs="Calibri"/>
          <w:sz w:val="20"/>
          <w:szCs w:val="20"/>
        </w:rPr>
        <w:t>)</w:t>
      </w:r>
      <w:r w:rsidRPr="002B4391">
        <w:rPr>
          <w:rFonts w:ascii="Verdana" w:hAnsi="Verdana" w:cs="Calibri"/>
          <w:sz w:val="20"/>
          <w:szCs w:val="20"/>
        </w:rPr>
        <w:t xml:space="preserve"> est un mécanisme visant à soutenir les efforts d’adaptation et d’atténuation des impacts climatiques en Afrique. Créé en 2014 avec une contribution initiale de 4,7 millions d'euros de l'Allemagne, le FCCA s'est élargi pour inclure plusieurs donateurs. Il compte 9 donateurs à ce jour, dont l’Institut de la Francophonie pour le Développement Durable (IFDD). Le FCCA a financé de nombreux projets à travers le continent africain. </w:t>
      </w:r>
    </w:p>
    <w:p w14:paraId="75F75F85" w14:textId="3B536394" w:rsidR="002B4391" w:rsidRPr="002B4391" w:rsidRDefault="002B4391" w:rsidP="002B4391">
      <w:pPr>
        <w:jc w:val="both"/>
        <w:rPr>
          <w:rFonts w:ascii="Verdana" w:hAnsi="Verdana" w:cs="Calibri"/>
          <w:sz w:val="20"/>
          <w:szCs w:val="20"/>
        </w:rPr>
      </w:pPr>
    </w:p>
    <w:p w14:paraId="68009DDB" w14:textId="06AAE9C2" w:rsidR="0008468B" w:rsidRPr="0008468B" w:rsidRDefault="00955BB3" w:rsidP="00A70123">
      <w:pPr>
        <w:pStyle w:val="Titrepartie"/>
      </w:pPr>
      <w:r w:rsidRPr="0008468B">
        <w:t>Etat d’avancement</w:t>
      </w:r>
    </w:p>
    <w:p w14:paraId="36A45DB8" w14:textId="21543798" w:rsidR="002B4391" w:rsidRPr="002B4391" w:rsidRDefault="002B4391" w:rsidP="002B4391">
      <w:pPr>
        <w:jc w:val="both"/>
        <w:rPr>
          <w:rFonts w:ascii="Verdana" w:hAnsi="Verdana" w:cs="Calibri"/>
          <w:sz w:val="20"/>
          <w:szCs w:val="20"/>
        </w:rPr>
      </w:pPr>
      <w:r w:rsidRPr="002B4391">
        <w:rPr>
          <w:rFonts w:ascii="Verdana" w:hAnsi="Verdana" w:cs="Calibri"/>
          <w:sz w:val="20"/>
          <w:szCs w:val="20"/>
        </w:rPr>
        <w:t>Une série de discussion a été initiée avec l’IFDD depuis février 2023, en marge de la réunion annuelle des projets de recherche et innovation de l’OEACP</w:t>
      </w:r>
      <w:r w:rsidR="000F2F4E">
        <w:rPr>
          <w:rFonts w:ascii="Verdana" w:hAnsi="Verdana" w:cs="Calibri"/>
          <w:sz w:val="20"/>
          <w:szCs w:val="20"/>
        </w:rPr>
        <w:t>,</w:t>
      </w:r>
      <w:r w:rsidRPr="002B4391">
        <w:rPr>
          <w:rFonts w:ascii="Verdana" w:hAnsi="Verdana" w:cs="Calibri"/>
          <w:sz w:val="20"/>
          <w:szCs w:val="20"/>
        </w:rPr>
        <w:t xml:space="preserve"> jusqu’en juillet 2024 durant la réunion du Fonds vert pour le climat </w:t>
      </w:r>
      <w:r w:rsidR="000F2F4E">
        <w:rPr>
          <w:rFonts w:ascii="Verdana" w:hAnsi="Verdana" w:cs="Calibri"/>
          <w:sz w:val="20"/>
          <w:szCs w:val="20"/>
        </w:rPr>
        <w:t xml:space="preserve">pour explorer les opportunités de financement FCCA, compatibles </w:t>
      </w:r>
      <w:r w:rsidR="004B2B9B">
        <w:rPr>
          <w:rFonts w:ascii="Verdana" w:hAnsi="Verdana" w:cs="Calibri"/>
          <w:sz w:val="20"/>
          <w:szCs w:val="20"/>
        </w:rPr>
        <w:t xml:space="preserve">avec les </w:t>
      </w:r>
      <w:r w:rsidR="000F2F4E">
        <w:rPr>
          <w:rFonts w:ascii="Verdana" w:hAnsi="Verdana" w:cs="Calibri"/>
          <w:sz w:val="20"/>
          <w:szCs w:val="20"/>
        </w:rPr>
        <w:t xml:space="preserve">priorités du </w:t>
      </w:r>
      <w:r w:rsidR="004B2B9B">
        <w:rPr>
          <w:rFonts w:ascii="Verdana" w:hAnsi="Verdana" w:cs="Calibri"/>
          <w:sz w:val="20"/>
          <w:szCs w:val="20"/>
        </w:rPr>
        <w:t>Plan de développement stratégique (</w:t>
      </w:r>
      <w:r w:rsidR="000F2F4E">
        <w:rPr>
          <w:rFonts w:ascii="Verdana" w:hAnsi="Verdana" w:cs="Calibri"/>
          <w:sz w:val="20"/>
          <w:szCs w:val="20"/>
        </w:rPr>
        <w:t>PDS</w:t>
      </w:r>
      <w:r w:rsidR="004B2B9B">
        <w:rPr>
          <w:rFonts w:ascii="Verdana" w:hAnsi="Verdana" w:cs="Calibri"/>
          <w:sz w:val="20"/>
          <w:szCs w:val="20"/>
        </w:rPr>
        <w:t>)</w:t>
      </w:r>
      <w:r w:rsidR="000F2F4E">
        <w:rPr>
          <w:rFonts w:ascii="Verdana" w:hAnsi="Verdana" w:cs="Calibri"/>
          <w:sz w:val="20"/>
          <w:szCs w:val="20"/>
        </w:rPr>
        <w:t xml:space="preserve"> 2023-2033 de la COI</w:t>
      </w:r>
      <w:r w:rsidRPr="002B4391">
        <w:rPr>
          <w:rFonts w:ascii="Verdana" w:hAnsi="Verdana" w:cs="Calibri"/>
          <w:sz w:val="20"/>
          <w:szCs w:val="20"/>
        </w:rPr>
        <w:t xml:space="preserve">. Ainsi, le 24 juillet 2024, la COI a reçu le guide </w:t>
      </w:r>
      <w:r w:rsidR="000F2F4E">
        <w:rPr>
          <w:rFonts w:ascii="Verdana" w:hAnsi="Verdana" w:cs="Calibri"/>
          <w:sz w:val="20"/>
          <w:szCs w:val="20"/>
        </w:rPr>
        <w:t>d’orientation</w:t>
      </w:r>
      <w:r w:rsidRPr="002B4391">
        <w:rPr>
          <w:rFonts w:ascii="Verdana" w:hAnsi="Verdana" w:cs="Calibri"/>
          <w:sz w:val="20"/>
          <w:szCs w:val="20"/>
        </w:rPr>
        <w:t xml:space="preserve"> sur le FCCA.</w:t>
      </w:r>
    </w:p>
    <w:p w14:paraId="5AAC33E2" w14:textId="086996D3" w:rsidR="002B4391" w:rsidRDefault="002B4391" w:rsidP="002B4391">
      <w:pPr>
        <w:jc w:val="both"/>
        <w:rPr>
          <w:rFonts w:ascii="Verdana" w:hAnsi="Verdana" w:cs="Calibri"/>
          <w:sz w:val="20"/>
          <w:szCs w:val="20"/>
        </w:rPr>
      </w:pPr>
      <w:r w:rsidRPr="002B4391">
        <w:rPr>
          <w:rFonts w:ascii="Verdana" w:hAnsi="Verdana" w:cs="Calibri"/>
          <w:sz w:val="20"/>
          <w:szCs w:val="20"/>
        </w:rPr>
        <w:t xml:space="preserve">En août 2024, sur la base des échanges </w:t>
      </w:r>
      <w:r w:rsidR="0000127D">
        <w:rPr>
          <w:rFonts w:ascii="Verdana" w:hAnsi="Verdana" w:cs="Calibri"/>
          <w:sz w:val="20"/>
          <w:szCs w:val="20"/>
        </w:rPr>
        <w:t xml:space="preserve">techniques entre les domaines d’intervention, </w:t>
      </w:r>
      <w:r w:rsidRPr="002B4391">
        <w:rPr>
          <w:rFonts w:ascii="Verdana" w:hAnsi="Verdana" w:cs="Calibri"/>
          <w:sz w:val="20"/>
          <w:szCs w:val="20"/>
        </w:rPr>
        <w:t>le Secrétaire général par intérim de la COI, a proposé d’instruire une note conceptuelle sur la gestion des déchets solides et la réduction de l’émission du méthane, suivant les lignes directrices du quatrième appel du Fonds pour les changements climatiques en Afrique (FCCA</w:t>
      </w:r>
      <w:r>
        <w:rPr>
          <w:rFonts w:ascii="Verdana" w:hAnsi="Verdana" w:cs="Calibri"/>
          <w:sz w:val="20"/>
          <w:szCs w:val="20"/>
        </w:rPr>
        <w:t>)</w:t>
      </w:r>
      <w:r w:rsidRPr="002B4391">
        <w:rPr>
          <w:rFonts w:ascii="Verdana" w:hAnsi="Verdana" w:cs="Calibri"/>
          <w:sz w:val="20"/>
          <w:szCs w:val="20"/>
        </w:rPr>
        <w:t xml:space="preserve">. </w:t>
      </w:r>
      <w:r w:rsidR="000F2F4E">
        <w:rPr>
          <w:rFonts w:ascii="Verdana" w:hAnsi="Verdana" w:cs="Calibri"/>
          <w:sz w:val="20"/>
          <w:szCs w:val="20"/>
        </w:rPr>
        <w:t>A la suite de la parution officielle du 4</w:t>
      </w:r>
      <w:r w:rsidR="000F2F4E" w:rsidRPr="000F2F4E">
        <w:rPr>
          <w:rFonts w:ascii="Verdana" w:hAnsi="Verdana" w:cs="Calibri"/>
          <w:sz w:val="20"/>
          <w:szCs w:val="20"/>
          <w:vertAlign w:val="superscript"/>
        </w:rPr>
        <w:t>ème</w:t>
      </w:r>
      <w:r w:rsidR="000F2F4E">
        <w:rPr>
          <w:rFonts w:ascii="Verdana" w:hAnsi="Verdana" w:cs="Calibri"/>
          <w:sz w:val="20"/>
          <w:szCs w:val="20"/>
        </w:rPr>
        <w:t xml:space="preserve"> appel à projet FCCA le 31 octobre 2024, </w:t>
      </w:r>
      <w:r w:rsidR="007D7EB7">
        <w:rPr>
          <w:rFonts w:ascii="Verdana" w:hAnsi="Verdana" w:cs="Calibri"/>
          <w:sz w:val="20"/>
          <w:szCs w:val="20"/>
        </w:rPr>
        <w:t>le Secrétariat général a transmis</w:t>
      </w:r>
      <w:r w:rsidR="000F2F4E">
        <w:rPr>
          <w:rFonts w:ascii="Verdana" w:hAnsi="Verdana" w:cs="Calibri"/>
          <w:sz w:val="20"/>
          <w:szCs w:val="20"/>
        </w:rPr>
        <w:t>,</w:t>
      </w:r>
      <w:r w:rsidR="000F2F4E" w:rsidRPr="000F2F4E">
        <w:rPr>
          <w:rFonts w:ascii="Verdana" w:hAnsi="Verdana" w:cs="Calibri"/>
          <w:sz w:val="20"/>
          <w:szCs w:val="20"/>
        </w:rPr>
        <w:t xml:space="preserve"> </w:t>
      </w:r>
      <w:r w:rsidR="000F2F4E">
        <w:rPr>
          <w:rFonts w:ascii="Verdana" w:hAnsi="Verdana" w:cs="Calibri"/>
          <w:sz w:val="20"/>
          <w:szCs w:val="20"/>
        </w:rPr>
        <w:t>le 05 novembre 2024</w:t>
      </w:r>
      <w:r w:rsidR="004B2B9B">
        <w:rPr>
          <w:rFonts w:ascii="Verdana" w:hAnsi="Verdana" w:cs="Calibri"/>
          <w:sz w:val="20"/>
          <w:szCs w:val="20"/>
        </w:rPr>
        <w:t xml:space="preserve"> aux</w:t>
      </w:r>
      <w:r w:rsidR="0000127D">
        <w:rPr>
          <w:rFonts w:ascii="Verdana" w:hAnsi="Verdana" w:cs="Calibri"/>
          <w:sz w:val="20"/>
          <w:szCs w:val="20"/>
        </w:rPr>
        <w:t xml:space="preserve"> Etats membres de la COI et des points focaux nationaux de la Commission des îles d’Afrique sur le climat</w:t>
      </w:r>
      <w:r w:rsidR="000F2F4E">
        <w:rPr>
          <w:rFonts w:ascii="Verdana" w:hAnsi="Verdana" w:cs="Calibri"/>
          <w:sz w:val="20"/>
          <w:szCs w:val="20"/>
        </w:rPr>
        <w:t xml:space="preserve">, une lettre de </w:t>
      </w:r>
      <w:r w:rsidR="000F2F4E" w:rsidRPr="002B4391">
        <w:rPr>
          <w:rFonts w:ascii="Verdana" w:hAnsi="Verdana" w:cs="Calibri"/>
          <w:sz w:val="20"/>
          <w:szCs w:val="20"/>
        </w:rPr>
        <w:t>demande de non-objection</w:t>
      </w:r>
      <w:r w:rsidR="000F2F4E">
        <w:rPr>
          <w:rFonts w:ascii="Verdana" w:hAnsi="Verdana" w:cs="Calibri"/>
          <w:sz w:val="20"/>
          <w:szCs w:val="20"/>
        </w:rPr>
        <w:t xml:space="preserve"> avec le dossier de soumission,</w:t>
      </w:r>
      <w:r w:rsidR="000F2F4E" w:rsidRPr="002B4391">
        <w:rPr>
          <w:rFonts w:ascii="Verdana" w:hAnsi="Verdana" w:cs="Calibri"/>
          <w:sz w:val="20"/>
          <w:szCs w:val="20"/>
        </w:rPr>
        <w:t xml:space="preserve"> au niveau des </w:t>
      </w:r>
      <w:r w:rsidR="000F2F4E">
        <w:rPr>
          <w:rFonts w:ascii="Verdana" w:hAnsi="Verdana" w:cs="Calibri"/>
          <w:sz w:val="20"/>
          <w:szCs w:val="20"/>
        </w:rPr>
        <w:t>autorités compétentes pour un retour demandé au 15 novembre 2024</w:t>
      </w:r>
      <w:r w:rsidRPr="002B4391">
        <w:rPr>
          <w:rFonts w:ascii="Verdana" w:hAnsi="Verdana" w:cs="Calibri"/>
          <w:sz w:val="20"/>
          <w:szCs w:val="20"/>
        </w:rPr>
        <w:t xml:space="preserve">. </w:t>
      </w:r>
      <w:r w:rsidR="0000127D">
        <w:rPr>
          <w:rFonts w:ascii="Verdana" w:hAnsi="Verdana" w:cs="Calibri"/>
          <w:sz w:val="20"/>
          <w:szCs w:val="20"/>
        </w:rPr>
        <w:t xml:space="preserve">Le </w:t>
      </w:r>
      <w:r w:rsidRPr="002B4391">
        <w:rPr>
          <w:rFonts w:ascii="Verdana" w:hAnsi="Verdana" w:cs="Calibri"/>
          <w:sz w:val="20"/>
          <w:szCs w:val="20"/>
        </w:rPr>
        <w:t>montant du budget global indicatif est de 999 368 USD, dont 89,15% ou 906 968,04 USD demandée au FCCA. La COI co-financera</w:t>
      </w:r>
      <w:r w:rsidR="002C23A0">
        <w:rPr>
          <w:rFonts w:ascii="Verdana" w:hAnsi="Verdana" w:cs="Calibri"/>
          <w:sz w:val="20"/>
          <w:szCs w:val="20"/>
        </w:rPr>
        <w:t>it</w:t>
      </w:r>
      <w:r w:rsidRPr="002B4391">
        <w:rPr>
          <w:rFonts w:ascii="Verdana" w:hAnsi="Verdana" w:cs="Calibri"/>
          <w:sz w:val="20"/>
          <w:szCs w:val="20"/>
        </w:rPr>
        <w:t xml:space="preserve"> à hauteur de 10,85% en hébergeant le projet dans ses locaux pendant 24 mois. </w:t>
      </w:r>
    </w:p>
    <w:p w14:paraId="545E8859" w14:textId="77777777" w:rsidR="000F2F4E" w:rsidRPr="002B4391" w:rsidRDefault="000F2F4E" w:rsidP="002B4391">
      <w:pPr>
        <w:jc w:val="both"/>
        <w:rPr>
          <w:rFonts w:ascii="Verdana" w:hAnsi="Verdana" w:cs="Calibri"/>
          <w:sz w:val="20"/>
          <w:szCs w:val="20"/>
        </w:rPr>
      </w:pPr>
    </w:p>
    <w:p w14:paraId="2F7F5914" w14:textId="608AD6BB" w:rsidR="00955BB3" w:rsidRPr="0008468B" w:rsidRDefault="00955BB3" w:rsidP="00A70123">
      <w:pPr>
        <w:pStyle w:val="Titrepartie"/>
      </w:pPr>
      <w:r w:rsidRPr="0008468B">
        <w:t>Proposition de décision</w:t>
      </w:r>
    </w:p>
    <w:p w14:paraId="5283C10C" w14:textId="77777777" w:rsidR="000F2F4E" w:rsidRDefault="0008468B" w:rsidP="007D7EB7">
      <w:pPr>
        <w:pStyle w:val="Paragraphe"/>
      </w:pPr>
      <w:r w:rsidRPr="004F5C4B">
        <w:t>Le Comité des OPL</w:t>
      </w:r>
      <w:r w:rsidR="000F2F4E">
        <w:t> :</w:t>
      </w:r>
    </w:p>
    <w:p w14:paraId="18664757" w14:textId="05B4B967" w:rsidR="000F2F4E" w:rsidRDefault="000F2F4E" w:rsidP="00AF0863">
      <w:pPr>
        <w:pStyle w:val="Paragraphe"/>
        <w:numPr>
          <w:ilvl w:val="0"/>
          <w:numId w:val="14"/>
        </w:numPr>
        <w:rPr>
          <w:b/>
          <w:bCs/>
          <w:i/>
          <w:iCs/>
        </w:rPr>
      </w:pPr>
      <w:r>
        <w:t>Ré</w:t>
      </w:r>
      <w:r w:rsidR="00904F02">
        <w:t xml:space="preserve">itère la demande faite au Secrétariat général </w:t>
      </w:r>
      <w:r w:rsidR="007D7EB7">
        <w:t xml:space="preserve">de mobiliser </w:t>
      </w:r>
      <w:bookmarkEnd w:id="0"/>
      <w:r w:rsidR="007D7EB7" w:rsidRPr="002B4391">
        <w:t xml:space="preserve">les partenaires au développement </w:t>
      </w:r>
      <w:r w:rsidR="0046306C">
        <w:t>pour la mise en œuvre de la feuille de route sur l’économie circulaire</w:t>
      </w:r>
      <w:r w:rsidR="00806E64">
        <w:t xml:space="preserve">, notamment pour mettre </w:t>
      </w:r>
      <w:r w:rsidR="007D7EB7" w:rsidRPr="002B4391">
        <w:t xml:space="preserve">en place un dispositif régional d’accompagnement approprié pour les entrepreneurs et innovateurs, </w:t>
      </w:r>
      <w:r w:rsidR="00806E64">
        <w:t>dont</w:t>
      </w:r>
      <w:r w:rsidR="007D7EB7" w:rsidRPr="002B4391">
        <w:t xml:space="preserve"> les jeunes et les femmes, dans le domaine de l’économie circulaire</w:t>
      </w:r>
      <w:r w:rsidR="007D7EB7">
        <w:t>.</w:t>
      </w:r>
    </w:p>
    <w:p w14:paraId="0631E176" w14:textId="6CF35F5D" w:rsidR="000F2F4E" w:rsidRDefault="00F21E32" w:rsidP="00AF0863">
      <w:pPr>
        <w:pStyle w:val="Paragraphe"/>
        <w:numPr>
          <w:ilvl w:val="0"/>
          <w:numId w:val="14"/>
        </w:numPr>
      </w:pPr>
      <w:r>
        <w:t>Prend note de l’opportunité d’un projet sur financement de la Banque africaine de développement et demande au Secrétariat général de poursuivre ses efforts en vue de mobiliser des ressources auprès de</w:t>
      </w:r>
      <w:r w:rsidR="009017A2">
        <w:t xml:space="preserve"> ce partenaire</w:t>
      </w:r>
      <w:r w:rsidR="000F2F4E">
        <w:t xml:space="preserve">. </w:t>
      </w:r>
    </w:p>
    <w:p w14:paraId="2BE1DDA5" w14:textId="7D50E283" w:rsidR="00D169DD" w:rsidRDefault="000B6F5F" w:rsidP="00AF0863">
      <w:pPr>
        <w:pStyle w:val="Paragraphe"/>
        <w:numPr>
          <w:ilvl w:val="0"/>
          <w:numId w:val="14"/>
        </w:numPr>
      </w:pPr>
      <w:bookmarkStart w:id="1" w:name="_Hlk182911435"/>
      <w:r>
        <w:t>Encourage le Secrétariat général à continuer de saisir les opportunités d’appels à projets / à subvention et, le cas échéant, l’i</w:t>
      </w:r>
      <w:r w:rsidR="00D169DD">
        <w:t>nvite à anticiper sur les délais de consultations nationales requérant un engagement des Etats membres.</w:t>
      </w:r>
    </w:p>
    <w:bookmarkEnd w:id="1"/>
    <w:p w14:paraId="63373EA0" w14:textId="77777777" w:rsidR="000F2F4E" w:rsidRPr="000F2F4E" w:rsidRDefault="000F2F4E" w:rsidP="000F2F4E">
      <w:pPr>
        <w:pStyle w:val="Paragraphe"/>
        <w:ind w:left="720"/>
      </w:pPr>
    </w:p>
    <w:p w14:paraId="4A643CAF" w14:textId="77777777" w:rsidR="007D7EB7" w:rsidRDefault="007D7EB7" w:rsidP="007D7EB7">
      <w:pPr>
        <w:pStyle w:val="Titrepartie"/>
      </w:pPr>
      <w:r w:rsidRPr="0008468B">
        <w:t>Rappel des décisions antérieures</w:t>
      </w:r>
    </w:p>
    <w:p w14:paraId="708C59DE" w14:textId="70CE6292" w:rsidR="007D7EB7" w:rsidRDefault="007D7EB7" w:rsidP="007D7EB7">
      <w:pPr>
        <w:pStyle w:val="Exergue"/>
      </w:pPr>
      <w:r>
        <w:t>Cf.</w:t>
      </w:r>
      <w:r w:rsidRPr="00FE285D">
        <w:t xml:space="preserve"> Décision </w:t>
      </w:r>
      <w:r>
        <w:t>7</w:t>
      </w:r>
      <w:r w:rsidRPr="0055059B">
        <w:t>(</w:t>
      </w:r>
      <w:r>
        <w:t>d</w:t>
      </w:r>
      <w:r w:rsidRPr="0055059B">
        <w:t xml:space="preserve">) </w:t>
      </w:r>
      <w:r w:rsidRPr="00CA52B8">
        <w:t xml:space="preserve">Conférence ministérielle sur l’économie circulaire et </w:t>
      </w:r>
      <w:proofErr w:type="gramStart"/>
      <w:r w:rsidRPr="00CA52B8">
        <w:t>suite à</w:t>
      </w:r>
      <w:proofErr w:type="gramEnd"/>
      <w:r w:rsidRPr="00CA52B8">
        <w:t xml:space="preserve"> donner</w:t>
      </w:r>
      <w:r w:rsidR="007024F4">
        <w:t>,</w:t>
      </w:r>
      <w:r w:rsidR="000E519A" w:rsidRPr="000E519A">
        <w:t xml:space="preserve"> </w:t>
      </w:r>
      <w:r w:rsidR="000E519A">
        <w:t>COPL 02/2023</w:t>
      </w:r>
    </w:p>
    <w:p w14:paraId="3F05A95C" w14:textId="77777777" w:rsidR="000E519A" w:rsidRDefault="000E519A" w:rsidP="008B7A63">
      <w:pPr>
        <w:pStyle w:val="Exergue"/>
        <w:rPr>
          <w:rFonts w:cs="Calibri"/>
          <w:b w:val="0"/>
          <w:bCs w:val="0"/>
          <w:i w:val="0"/>
          <w:iCs/>
        </w:rPr>
      </w:pPr>
    </w:p>
    <w:p w14:paraId="5F96425D" w14:textId="77777777" w:rsidR="000E519A" w:rsidRPr="00042846" w:rsidRDefault="000E519A" w:rsidP="000E519A">
      <w:pPr>
        <w:pStyle w:val="Paragraphe"/>
        <w:spacing w:after="120"/>
      </w:pPr>
      <w:r w:rsidRPr="00042846">
        <w:t>Le Comité des OPL :</w:t>
      </w:r>
    </w:p>
    <w:p w14:paraId="121BEDC5" w14:textId="2A2A9793" w:rsidR="007D7EB7" w:rsidRPr="007D7EB7" w:rsidRDefault="007D7EB7" w:rsidP="008B7A63">
      <w:pPr>
        <w:pStyle w:val="Exergue"/>
        <w:rPr>
          <w:b w:val="0"/>
          <w:bCs w:val="0"/>
          <w:i w:val="0"/>
          <w:iCs/>
        </w:rPr>
      </w:pPr>
      <w:r w:rsidRPr="007D7EB7">
        <w:rPr>
          <w:rFonts w:cs="Calibri"/>
          <w:b w:val="0"/>
          <w:bCs w:val="0"/>
          <w:i w:val="0"/>
          <w:iCs/>
        </w:rPr>
        <w:t>Demande au Secrétariat général de mobiliser les partenaires au développement pour la mise en place d’un dispositif régional de financement et d’accompagnement approprié pour les entrepreneurs et innovateurs, notamment les jeunes et les femmes, dans le domaine de l’économie circulaire.</w:t>
      </w:r>
    </w:p>
    <w:p w14:paraId="728B8CEC" w14:textId="77777777" w:rsidR="007D7EB7" w:rsidRPr="0008468B" w:rsidRDefault="007D7EB7" w:rsidP="008B7A63">
      <w:pPr>
        <w:pStyle w:val="Exergue"/>
      </w:pPr>
    </w:p>
    <w:p w14:paraId="1D6F1669" w14:textId="412D0C5C" w:rsidR="00417683" w:rsidRPr="0008468B" w:rsidRDefault="00417683" w:rsidP="007D7EB7">
      <w:pPr>
        <w:pStyle w:val="Titrepartie"/>
      </w:pPr>
      <w:r w:rsidRPr="0008468B">
        <w:t>Annexe</w:t>
      </w:r>
      <w:r w:rsidR="008F173C" w:rsidRPr="0008468B">
        <w:t>s</w:t>
      </w:r>
      <w:r w:rsidRPr="0008468B">
        <w:t> :</w:t>
      </w:r>
    </w:p>
    <w:p w14:paraId="374F3417" w14:textId="34F9EB4A" w:rsidR="00C325F5" w:rsidRDefault="00620B90" w:rsidP="00620B90">
      <w:pPr>
        <w:pStyle w:val="Paragraphe"/>
        <w:numPr>
          <w:ilvl w:val="0"/>
          <w:numId w:val="9"/>
        </w:numPr>
      </w:pPr>
      <w:r>
        <w:t xml:space="preserve">Annexe 1 : </w:t>
      </w:r>
      <w:r w:rsidR="007D7EB7">
        <w:t>Guide d’orientation BAD-FCCA</w:t>
      </w:r>
    </w:p>
    <w:p w14:paraId="4648F921" w14:textId="65331EDD" w:rsidR="008F173C" w:rsidRDefault="00620B90" w:rsidP="00620B90">
      <w:pPr>
        <w:pStyle w:val="Paragraphe"/>
        <w:numPr>
          <w:ilvl w:val="0"/>
          <w:numId w:val="9"/>
        </w:numPr>
      </w:pPr>
      <w:r>
        <w:t xml:space="preserve">Annexe 2 : </w:t>
      </w:r>
      <w:r w:rsidR="007D7EB7">
        <w:t>Note conceptuelle</w:t>
      </w:r>
    </w:p>
    <w:p w14:paraId="648684A5" w14:textId="5091E6E7" w:rsidR="007D7EB7" w:rsidRPr="00620B90" w:rsidRDefault="007D7EB7" w:rsidP="00620B90">
      <w:pPr>
        <w:pStyle w:val="Paragraphe"/>
        <w:numPr>
          <w:ilvl w:val="0"/>
          <w:numId w:val="9"/>
        </w:numPr>
      </w:pPr>
      <w:r>
        <w:t>Annexe 3 : Proposition de budget</w:t>
      </w:r>
    </w:p>
    <w:sectPr w:rsidR="007D7EB7" w:rsidRPr="00620B90" w:rsidSect="00063A26">
      <w:headerReference w:type="default" r:id="rId7"/>
      <w:footerReference w:type="default" r:id="rId8"/>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5F0E59" w14:textId="77777777" w:rsidR="003C5324" w:rsidRDefault="003C5324">
      <w:pPr>
        <w:spacing w:after="0" w:line="240" w:lineRule="auto"/>
      </w:pPr>
      <w:r>
        <w:separator/>
      </w:r>
    </w:p>
  </w:endnote>
  <w:endnote w:type="continuationSeparator" w:id="0">
    <w:p w14:paraId="7D0AA801" w14:textId="77777777" w:rsidR="003C5324" w:rsidRDefault="003C5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3F304C" w14:textId="77777777" w:rsidR="003C5324" w:rsidRDefault="003C5324">
      <w:pPr>
        <w:spacing w:after="0" w:line="240" w:lineRule="auto"/>
      </w:pPr>
      <w:r>
        <w:separator/>
      </w:r>
    </w:p>
  </w:footnote>
  <w:footnote w:type="continuationSeparator" w:id="0">
    <w:p w14:paraId="167141AB" w14:textId="77777777" w:rsidR="003C5324" w:rsidRDefault="003C53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17793" w14:textId="2A6FE511" w:rsidR="00AA63A3" w:rsidRDefault="00854EEA" w:rsidP="002B4391">
    <w:pPr>
      <w:pStyle w:val="En-tte"/>
      <w:tabs>
        <w:tab w:val="clear" w:pos="4536"/>
        <w:tab w:val="clear" w:pos="9072"/>
        <w:tab w:val="center" w:pos="0"/>
      </w:tabs>
      <w:rPr>
        <w:rFonts w:ascii="Verdana" w:hAnsi="Verdana"/>
        <w:b/>
        <w:bCs/>
        <w:sz w:val="20"/>
        <w:szCs w:val="20"/>
      </w:rPr>
    </w:pPr>
    <w:r>
      <w:rPr>
        <w:i/>
        <w:iCs/>
        <w:noProof/>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2B4391">
      <w:rPr>
        <w:rFonts w:ascii="Verdana" w:hAnsi="Verdana"/>
        <w:b/>
        <w:bCs/>
        <w:sz w:val="20"/>
        <w:szCs w:val="20"/>
      </w:rPr>
      <w:t>2.8</w:t>
    </w:r>
  </w:p>
  <w:p w14:paraId="5E274AA7" w14:textId="77777777" w:rsidR="00865E3C" w:rsidRDefault="00865E3C" w:rsidP="00865E3C">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8F097D"/>
    <w:multiLevelType w:val="hybridMultilevel"/>
    <w:tmpl w:val="AF98D3C0"/>
    <w:lvl w:ilvl="0" w:tplc="040C0017">
      <w:start w:val="1"/>
      <w:numFmt w:val="lowerLetter"/>
      <w:lvlText w:val="%1)"/>
      <w:lvlJc w:val="left"/>
      <w:pPr>
        <w:ind w:left="720" w:hanging="360"/>
      </w:pPr>
      <w:rPr>
        <w:rFonts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A8F0021"/>
    <w:multiLevelType w:val="hybridMultilevel"/>
    <w:tmpl w:val="8F4239A8"/>
    <w:lvl w:ilvl="0" w:tplc="82E29F1C">
      <w:start w:val="2"/>
      <w:numFmt w:val="bullet"/>
      <w:lvlText w:val="-"/>
      <w:lvlJc w:val="left"/>
      <w:pPr>
        <w:ind w:left="720" w:hanging="360"/>
      </w:pPr>
      <w:rPr>
        <w:rFonts w:ascii="Verdana" w:eastAsiaTheme="minorHAnsi" w:hAnsi="Verdana" w:cs="Calibri" w:hint="default"/>
        <w:b w:val="0"/>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13114685">
    <w:abstractNumId w:val="4"/>
  </w:num>
  <w:num w:numId="2" w16cid:durableId="75175132">
    <w:abstractNumId w:val="8"/>
  </w:num>
  <w:num w:numId="3" w16cid:durableId="2035956763">
    <w:abstractNumId w:val="2"/>
  </w:num>
  <w:num w:numId="4" w16cid:durableId="1758404886">
    <w:abstractNumId w:val="0"/>
  </w:num>
  <w:num w:numId="5" w16cid:durableId="1232933165">
    <w:abstractNumId w:val="7"/>
  </w:num>
  <w:num w:numId="6" w16cid:durableId="1504198916">
    <w:abstractNumId w:val="3"/>
  </w:num>
  <w:num w:numId="7" w16cid:durableId="1255161770">
    <w:abstractNumId w:val="6"/>
  </w:num>
  <w:num w:numId="8" w16cid:durableId="569383908">
    <w:abstractNumId w:val="2"/>
    <w:lvlOverride w:ilvl="0">
      <w:startOverride w:val="1"/>
    </w:lvlOverride>
  </w:num>
  <w:num w:numId="9" w16cid:durableId="423847818">
    <w:abstractNumId w:val="1"/>
  </w:num>
  <w:num w:numId="10" w16cid:durableId="11617712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6681267">
    <w:abstractNumId w:val="2"/>
  </w:num>
  <w:num w:numId="12" w16cid:durableId="523323259">
    <w:abstractNumId w:val="2"/>
  </w:num>
  <w:num w:numId="13" w16cid:durableId="1827428115">
    <w:abstractNumId w:val="9"/>
  </w:num>
  <w:num w:numId="14" w16cid:durableId="7275385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127D"/>
    <w:rsid w:val="000373B2"/>
    <w:rsid w:val="00042CF5"/>
    <w:rsid w:val="00060CA0"/>
    <w:rsid w:val="00063A26"/>
    <w:rsid w:val="0008468B"/>
    <w:rsid w:val="000A468A"/>
    <w:rsid w:val="000B0FBD"/>
    <w:rsid w:val="000B6F5F"/>
    <w:rsid w:val="000D6879"/>
    <w:rsid w:val="000E519A"/>
    <w:rsid w:val="000F2F4E"/>
    <w:rsid w:val="000F4728"/>
    <w:rsid w:val="00107D9D"/>
    <w:rsid w:val="0018252D"/>
    <w:rsid w:val="001A104A"/>
    <w:rsid w:val="001A56F1"/>
    <w:rsid w:val="001B4738"/>
    <w:rsid w:val="001C5B22"/>
    <w:rsid w:val="00210971"/>
    <w:rsid w:val="002A0933"/>
    <w:rsid w:val="002A096E"/>
    <w:rsid w:val="002B4391"/>
    <w:rsid w:val="002C23A0"/>
    <w:rsid w:val="002C56ED"/>
    <w:rsid w:val="003604B9"/>
    <w:rsid w:val="003772FB"/>
    <w:rsid w:val="00391152"/>
    <w:rsid w:val="003C2538"/>
    <w:rsid w:val="003C5324"/>
    <w:rsid w:val="003D485F"/>
    <w:rsid w:val="003D5328"/>
    <w:rsid w:val="0041278C"/>
    <w:rsid w:val="00417683"/>
    <w:rsid w:val="00426673"/>
    <w:rsid w:val="004607F7"/>
    <w:rsid w:val="0046306C"/>
    <w:rsid w:val="00497E95"/>
    <w:rsid w:val="004B2B9B"/>
    <w:rsid w:val="004F5C4B"/>
    <w:rsid w:val="0053773D"/>
    <w:rsid w:val="00610E95"/>
    <w:rsid w:val="00620B90"/>
    <w:rsid w:val="006356AF"/>
    <w:rsid w:val="006548BF"/>
    <w:rsid w:val="00660504"/>
    <w:rsid w:val="006E2D9E"/>
    <w:rsid w:val="007024F4"/>
    <w:rsid w:val="00710C94"/>
    <w:rsid w:val="007B245C"/>
    <w:rsid w:val="007C0011"/>
    <w:rsid w:val="007C78FC"/>
    <w:rsid w:val="007D7EB7"/>
    <w:rsid w:val="00806E64"/>
    <w:rsid w:val="00816DAC"/>
    <w:rsid w:val="0083290E"/>
    <w:rsid w:val="00843FF2"/>
    <w:rsid w:val="008453AB"/>
    <w:rsid w:val="00854EEA"/>
    <w:rsid w:val="008551DA"/>
    <w:rsid w:val="00865E3C"/>
    <w:rsid w:val="008D193F"/>
    <w:rsid w:val="008F173C"/>
    <w:rsid w:val="009017A2"/>
    <w:rsid w:val="00904F02"/>
    <w:rsid w:val="00955BB3"/>
    <w:rsid w:val="009A38AD"/>
    <w:rsid w:val="00A148A1"/>
    <w:rsid w:val="00A36C09"/>
    <w:rsid w:val="00A37C9F"/>
    <w:rsid w:val="00A45BD7"/>
    <w:rsid w:val="00A70123"/>
    <w:rsid w:val="00A76B07"/>
    <w:rsid w:val="00A81B98"/>
    <w:rsid w:val="00A90305"/>
    <w:rsid w:val="00AA63A3"/>
    <w:rsid w:val="00AB5EB7"/>
    <w:rsid w:val="00AD4D97"/>
    <w:rsid w:val="00AE2453"/>
    <w:rsid w:val="00AF0863"/>
    <w:rsid w:val="00B05DFC"/>
    <w:rsid w:val="00B36EEA"/>
    <w:rsid w:val="00B44228"/>
    <w:rsid w:val="00B51962"/>
    <w:rsid w:val="00BA4B55"/>
    <w:rsid w:val="00BC0CB3"/>
    <w:rsid w:val="00C12C93"/>
    <w:rsid w:val="00C23120"/>
    <w:rsid w:val="00C325F5"/>
    <w:rsid w:val="00C457C4"/>
    <w:rsid w:val="00C457E8"/>
    <w:rsid w:val="00C609B9"/>
    <w:rsid w:val="00CC5C2B"/>
    <w:rsid w:val="00CE2386"/>
    <w:rsid w:val="00D169DD"/>
    <w:rsid w:val="00D421FA"/>
    <w:rsid w:val="00D65F52"/>
    <w:rsid w:val="00D7083A"/>
    <w:rsid w:val="00DF285D"/>
    <w:rsid w:val="00DF4819"/>
    <w:rsid w:val="00E32408"/>
    <w:rsid w:val="00E845D4"/>
    <w:rsid w:val="00EC22CC"/>
    <w:rsid w:val="00ED6B69"/>
    <w:rsid w:val="00EE34F4"/>
    <w:rsid w:val="00EF22A4"/>
    <w:rsid w:val="00F21E32"/>
    <w:rsid w:val="00F54EA0"/>
    <w:rsid w:val="00F96EE9"/>
    <w:rsid w:val="00FE285D"/>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Rvision">
    <w:name w:val="Revision"/>
    <w:hidden/>
    <w:uiPriority w:val="99"/>
    <w:semiHidden/>
    <w:rsid w:val="001C5B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4083</Characters>
  <Application>Microsoft Office Word</Application>
  <DocSecurity>0</DocSecurity>
  <Lines>34</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3</cp:revision>
  <dcterms:created xsi:type="dcterms:W3CDTF">2024-11-19T09:30:00Z</dcterms:created>
  <dcterms:modified xsi:type="dcterms:W3CDTF">2024-11-19T09:31:00Z</dcterms:modified>
</cp:coreProperties>
</file>