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F88B2" w14:textId="17ED0B10" w:rsidR="00C12C93" w:rsidRPr="00816DAC" w:rsidRDefault="006B416E" w:rsidP="00854EEA">
      <w:pPr>
        <w:jc w:val="center"/>
        <w:rPr>
          <w:rFonts w:ascii="Verdana" w:hAnsi="Verdana"/>
          <w:b/>
          <w:bCs/>
          <w:sz w:val="2"/>
          <w:szCs w:val="2"/>
        </w:rPr>
      </w:pPr>
      <w:r>
        <w:rPr>
          <w:rFonts w:ascii="Verdana" w:hAnsi="Verdana"/>
          <w:b/>
          <w:bCs/>
          <w:sz w:val="2"/>
          <w:szCs w:val="2"/>
        </w:rPr>
        <w:t>2</w:t>
      </w: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7813BCA2" w:rsidR="00EC22CC" w:rsidRDefault="006B416E" w:rsidP="00854EEA">
            <w:pPr>
              <w:jc w:val="center"/>
              <w:rPr>
                <w:rFonts w:ascii="Verdana" w:hAnsi="Verdana"/>
                <w:b/>
                <w:bCs/>
                <w:sz w:val="20"/>
                <w:szCs w:val="20"/>
              </w:rPr>
            </w:pPr>
            <w:r>
              <w:rPr>
                <w:rFonts w:ascii="Verdana" w:hAnsi="Verdana"/>
                <w:b/>
                <w:bCs/>
                <w:sz w:val="20"/>
                <w:szCs w:val="20"/>
              </w:rPr>
              <w:t>Jeunesse</w:t>
            </w:r>
          </w:p>
        </w:tc>
      </w:tr>
      <w:tr w:rsidR="00EC22CC" w14:paraId="7F1B63D2" w14:textId="77777777" w:rsidTr="002A0933">
        <w:tc>
          <w:tcPr>
            <w:tcW w:w="7225" w:type="dxa"/>
          </w:tcPr>
          <w:p w14:paraId="056D9B10" w14:textId="53CB7D33" w:rsidR="00EC22CC" w:rsidRPr="002A096E" w:rsidRDefault="006B416E" w:rsidP="002A096E">
            <w:pPr>
              <w:rPr>
                <w:rFonts w:ascii="Verdana" w:hAnsi="Verdana"/>
                <w:sz w:val="20"/>
                <w:szCs w:val="20"/>
              </w:rPr>
            </w:pPr>
            <w:r>
              <w:rPr>
                <w:rFonts w:ascii="Verdana" w:hAnsi="Verdana"/>
                <w:sz w:val="20"/>
                <w:szCs w:val="20"/>
              </w:rPr>
              <w:t>Comité des OPL 03/2024, Maurice 02 et 03 décembre 2024</w:t>
            </w:r>
          </w:p>
        </w:tc>
        <w:tc>
          <w:tcPr>
            <w:tcW w:w="1837" w:type="dxa"/>
          </w:tcPr>
          <w:p w14:paraId="58E25D1F" w14:textId="2A04D66A"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6B416E">
              <w:rPr>
                <w:rFonts w:ascii="Verdana" w:hAnsi="Verdana"/>
                <w:sz w:val="20"/>
                <w:szCs w:val="20"/>
              </w:rPr>
              <w:t>2.</w:t>
            </w:r>
            <w:r w:rsidR="000A67B0">
              <w:rPr>
                <w:rFonts w:ascii="Verdana" w:hAnsi="Verdana"/>
                <w:sz w:val="20"/>
                <w:szCs w:val="20"/>
              </w:rPr>
              <w:t>7</w:t>
            </w:r>
          </w:p>
        </w:tc>
      </w:tr>
      <w:tr w:rsidR="00EC22CC" w14:paraId="537D1DE5" w14:textId="77777777" w:rsidTr="002A0933">
        <w:tc>
          <w:tcPr>
            <w:tcW w:w="7225" w:type="dxa"/>
          </w:tcPr>
          <w:p w14:paraId="43DEF09E" w14:textId="36A5F0B9"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6B416E" w:rsidRPr="006B416E">
              <w:rPr>
                <w:rFonts w:ascii="Verdana" w:hAnsi="Verdana"/>
                <w:sz w:val="20"/>
                <w:szCs w:val="20"/>
              </w:rPr>
              <w:t>Raj, MOHABEER</w:t>
            </w:r>
            <w:r w:rsidR="0018252D" w:rsidRPr="006B416E">
              <w:rPr>
                <w:rFonts w:ascii="Verdana" w:hAnsi="Verdana"/>
                <w:sz w:val="20"/>
                <w:szCs w:val="20"/>
              </w:rPr>
              <w:t xml:space="preserve">, </w:t>
            </w:r>
            <w:r w:rsidR="006B416E" w:rsidRPr="006B416E">
              <w:rPr>
                <w:rFonts w:ascii="Verdana" w:hAnsi="Verdana"/>
                <w:sz w:val="20"/>
                <w:szCs w:val="20"/>
              </w:rPr>
              <w:t>chargé de mission</w:t>
            </w:r>
          </w:p>
        </w:tc>
        <w:tc>
          <w:tcPr>
            <w:tcW w:w="1837" w:type="dxa"/>
          </w:tcPr>
          <w:p w14:paraId="5AC1AFAB" w14:textId="75969D61" w:rsidR="00EC22CC" w:rsidRPr="002A0933" w:rsidRDefault="004607F7" w:rsidP="00854EEA">
            <w:pPr>
              <w:jc w:val="center"/>
              <w:rPr>
                <w:rFonts w:ascii="Verdana" w:hAnsi="Verdana"/>
                <w:sz w:val="20"/>
                <w:szCs w:val="20"/>
              </w:rPr>
            </w:pPr>
            <w:r w:rsidRPr="006B416E">
              <w:rPr>
                <w:rFonts w:ascii="Verdana" w:hAnsi="Verdana"/>
                <w:sz w:val="20"/>
                <w:szCs w:val="20"/>
              </w:rPr>
              <w:t>Décision</w:t>
            </w:r>
            <w:r w:rsidRPr="004607F7">
              <w:rPr>
                <w:rFonts w:ascii="Verdana" w:hAnsi="Verdana"/>
                <w:sz w:val="20"/>
                <w:szCs w:val="20"/>
                <w:highlight w:val="yellow"/>
              </w:rPr>
              <w:t xml:space="preserve"> </w:t>
            </w:r>
          </w:p>
        </w:tc>
      </w:tr>
      <w:tr w:rsidR="00A90305" w14:paraId="6896DB30" w14:textId="77777777" w:rsidTr="009F5233">
        <w:tc>
          <w:tcPr>
            <w:tcW w:w="9062" w:type="dxa"/>
            <w:gridSpan w:val="2"/>
          </w:tcPr>
          <w:p w14:paraId="0495241B" w14:textId="720C709D" w:rsidR="00A90305" w:rsidRDefault="00A90305" w:rsidP="00A90305">
            <w:pPr>
              <w:rPr>
                <w:rFonts w:ascii="Verdana" w:hAnsi="Verdana"/>
                <w:sz w:val="20"/>
                <w:szCs w:val="20"/>
              </w:rPr>
            </w:pPr>
            <w:r>
              <w:rPr>
                <w:rFonts w:ascii="Verdana" w:hAnsi="Verdana"/>
                <w:i/>
                <w:iCs/>
                <w:sz w:val="20"/>
                <w:szCs w:val="20"/>
              </w:rPr>
              <w:t xml:space="preserve">Version du </w:t>
            </w:r>
            <w:r w:rsidR="006B416E">
              <w:rPr>
                <w:rFonts w:ascii="Verdana" w:hAnsi="Verdana"/>
                <w:i/>
                <w:iCs/>
                <w:sz w:val="20"/>
                <w:szCs w:val="20"/>
              </w:rPr>
              <w:t>08/11/2024</w:t>
            </w:r>
            <w:r>
              <w:rPr>
                <w:rFonts w:ascii="Verdana" w:hAnsi="Verdana"/>
                <w:i/>
                <w:iCs/>
                <w:sz w:val="20"/>
                <w:szCs w:val="20"/>
              </w:rPr>
              <w:t xml:space="preserve"> </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D133F3">
      <w:pPr>
        <w:pStyle w:val="Titrepartie"/>
        <w:spacing w:after="120" w:line="276" w:lineRule="auto"/>
      </w:pPr>
      <w:r w:rsidRPr="0008468B">
        <w:t>Résumé</w:t>
      </w:r>
    </w:p>
    <w:p w14:paraId="612A70B6" w14:textId="52BDB495" w:rsidR="009F496C" w:rsidRPr="00721142" w:rsidRDefault="009F496C" w:rsidP="00D133F3">
      <w:pPr>
        <w:spacing w:after="120" w:line="276" w:lineRule="auto"/>
        <w:contextualSpacing/>
        <w:jc w:val="both"/>
        <w:rPr>
          <w:rFonts w:ascii="Verdana" w:hAnsi="Verdana" w:cs="Calibri"/>
          <w:sz w:val="20"/>
          <w:szCs w:val="20"/>
        </w:rPr>
      </w:pPr>
      <w:r w:rsidRPr="00721142">
        <w:rPr>
          <w:rFonts w:ascii="Verdana" w:hAnsi="Verdana" w:cs="Calibri"/>
          <w:sz w:val="20"/>
          <w:szCs w:val="20"/>
        </w:rPr>
        <w:t>Le 38</w:t>
      </w:r>
      <w:r w:rsidRPr="00084640">
        <w:rPr>
          <w:rFonts w:ascii="Verdana" w:hAnsi="Verdana" w:cs="Calibri"/>
          <w:sz w:val="20"/>
          <w:szCs w:val="20"/>
          <w:vertAlign w:val="superscript"/>
        </w:rPr>
        <w:t>ème</w:t>
      </w:r>
      <w:r w:rsidRPr="00721142">
        <w:rPr>
          <w:rFonts w:ascii="Verdana" w:hAnsi="Verdana" w:cs="Calibri"/>
          <w:sz w:val="20"/>
          <w:szCs w:val="20"/>
        </w:rPr>
        <w:t xml:space="preserve"> Conseil des ministres de la COI, dans sa décision 7</w:t>
      </w:r>
      <w:r w:rsidR="00AE2695">
        <w:rPr>
          <w:rFonts w:ascii="Verdana" w:hAnsi="Verdana" w:cs="Calibri"/>
          <w:sz w:val="20"/>
          <w:szCs w:val="20"/>
        </w:rPr>
        <w:t>(</w:t>
      </w:r>
      <w:r w:rsidRPr="00721142">
        <w:rPr>
          <w:rFonts w:ascii="Verdana" w:hAnsi="Verdana" w:cs="Calibri"/>
          <w:sz w:val="20"/>
          <w:szCs w:val="20"/>
        </w:rPr>
        <w:t>a</w:t>
      </w:r>
      <w:r w:rsidR="00721142">
        <w:rPr>
          <w:rFonts w:ascii="Verdana" w:hAnsi="Verdana" w:cs="Calibri"/>
          <w:sz w:val="20"/>
          <w:szCs w:val="20"/>
        </w:rPr>
        <w:t>)</w:t>
      </w:r>
      <w:r w:rsidRPr="00721142">
        <w:rPr>
          <w:rFonts w:ascii="Verdana" w:hAnsi="Verdana" w:cs="Calibri"/>
          <w:sz w:val="20"/>
          <w:szCs w:val="20"/>
        </w:rPr>
        <w:t>, a réaffirmé l’importance du rôle de la jeunesse dans la coopération régionale</w:t>
      </w:r>
      <w:r w:rsidR="00721142" w:rsidRPr="00721142">
        <w:rPr>
          <w:rFonts w:ascii="Verdana" w:hAnsi="Verdana" w:cs="Calibri"/>
          <w:sz w:val="20"/>
          <w:szCs w:val="20"/>
        </w:rPr>
        <w:t>. Le Secrétariat général poursuit s</w:t>
      </w:r>
      <w:r w:rsidR="00F86E4C">
        <w:rPr>
          <w:rFonts w:ascii="Verdana" w:hAnsi="Verdana" w:cs="Calibri"/>
          <w:sz w:val="20"/>
          <w:szCs w:val="20"/>
        </w:rPr>
        <w:t>es</w:t>
      </w:r>
      <w:r w:rsidR="00721142" w:rsidRPr="00721142">
        <w:rPr>
          <w:rFonts w:ascii="Verdana" w:hAnsi="Verdana" w:cs="Calibri"/>
          <w:sz w:val="20"/>
          <w:szCs w:val="20"/>
        </w:rPr>
        <w:t xml:space="preserve"> effort</w:t>
      </w:r>
      <w:r w:rsidR="00F86E4C">
        <w:rPr>
          <w:rFonts w:ascii="Verdana" w:hAnsi="Verdana" w:cs="Calibri"/>
          <w:sz w:val="20"/>
          <w:szCs w:val="20"/>
        </w:rPr>
        <w:t>s</w:t>
      </w:r>
      <w:r w:rsidR="00721142" w:rsidRPr="00721142">
        <w:rPr>
          <w:rFonts w:ascii="Verdana" w:hAnsi="Verdana" w:cs="Calibri"/>
          <w:sz w:val="20"/>
          <w:szCs w:val="20"/>
        </w:rPr>
        <w:t xml:space="preserve"> d’intégrer la jeunesse </w:t>
      </w:r>
      <w:r w:rsidR="00F86E4C">
        <w:rPr>
          <w:rFonts w:ascii="Verdana" w:hAnsi="Verdana" w:cs="Calibri"/>
          <w:sz w:val="20"/>
          <w:szCs w:val="20"/>
        </w:rPr>
        <w:t xml:space="preserve">comme axe transversal </w:t>
      </w:r>
      <w:r w:rsidR="00721142" w:rsidRPr="00721142">
        <w:rPr>
          <w:rFonts w:ascii="Verdana" w:hAnsi="Verdana" w:cs="Calibri"/>
          <w:sz w:val="20"/>
          <w:szCs w:val="20"/>
        </w:rPr>
        <w:t>dans les activités de la COI </w:t>
      </w:r>
      <w:r w:rsidR="00721142">
        <w:rPr>
          <w:rFonts w:ascii="Verdana" w:hAnsi="Verdana" w:cs="Calibri"/>
          <w:sz w:val="20"/>
          <w:szCs w:val="20"/>
        </w:rPr>
        <w:t xml:space="preserve">et a transmis aux </w:t>
      </w:r>
      <w:r w:rsidR="00721142" w:rsidRPr="00F37C48">
        <w:rPr>
          <w:rFonts w:ascii="Verdana" w:hAnsi="Verdana"/>
          <w:sz w:val="20"/>
          <w:szCs w:val="20"/>
        </w:rPr>
        <w:t xml:space="preserve">Etats membres le document </w:t>
      </w:r>
      <w:r w:rsidR="00721142">
        <w:rPr>
          <w:rFonts w:ascii="Verdana" w:hAnsi="Verdana"/>
          <w:sz w:val="20"/>
          <w:szCs w:val="20"/>
        </w:rPr>
        <w:t>révisé</w:t>
      </w:r>
      <w:r w:rsidR="00721142" w:rsidRPr="00F37C48">
        <w:rPr>
          <w:rFonts w:ascii="Verdana" w:hAnsi="Verdana"/>
          <w:sz w:val="20"/>
          <w:szCs w:val="20"/>
        </w:rPr>
        <w:t xml:space="preserve"> « d’intégration de la jeunesse dans la coopération régionale de </w:t>
      </w:r>
      <w:r w:rsidR="00721142" w:rsidRPr="00721142">
        <w:rPr>
          <w:rFonts w:ascii="Verdana" w:hAnsi="Verdana" w:cs="Calibri"/>
          <w:sz w:val="20"/>
          <w:szCs w:val="20"/>
        </w:rPr>
        <w:t>l’Indianocéanie », conformément à la décision 9</w:t>
      </w:r>
      <w:r w:rsidR="00AE2695">
        <w:rPr>
          <w:rFonts w:ascii="Verdana" w:hAnsi="Verdana" w:cs="Calibri"/>
          <w:sz w:val="20"/>
          <w:szCs w:val="20"/>
        </w:rPr>
        <w:t>(</w:t>
      </w:r>
      <w:r w:rsidR="00721142" w:rsidRPr="00721142">
        <w:rPr>
          <w:rFonts w:ascii="Verdana" w:hAnsi="Verdana" w:cs="Calibri"/>
          <w:sz w:val="20"/>
          <w:szCs w:val="20"/>
        </w:rPr>
        <w:t>b) du COPL 0</w:t>
      </w:r>
      <w:r w:rsidR="00084640">
        <w:rPr>
          <w:rFonts w:ascii="Verdana" w:hAnsi="Verdana" w:cs="Calibri"/>
          <w:sz w:val="20"/>
          <w:szCs w:val="20"/>
        </w:rPr>
        <w:t>1</w:t>
      </w:r>
      <w:r w:rsidR="00721142" w:rsidRPr="00721142">
        <w:rPr>
          <w:rFonts w:ascii="Verdana" w:hAnsi="Verdana" w:cs="Calibri"/>
          <w:sz w:val="20"/>
          <w:szCs w:val="20"/>
        </w:rPr>
        <w:t>/2024</w:t>
      </w:r>
      <w:r w:rsidR="00721142">
        <w:rPr>
          <w:rFonts w:ascii="Verdana" w:hAnsi="Verdana" w:cs="Calibri"/>
          <w:sz w:val="20"/>
          <w:szCs w:val="20"/>
        </w:rPr>
        <w:t>.</w:t>
      </w:r>
    </w:p>
    <w:p w14:paraId="68009DDB" w14:textId="06AAE9C2" w:rsidR="0008468B" w:rsidRPr="0008468B" w:rsidRDefault="00955BB3" w:rsidP="00D133F3">
      <w:pPr>
        <w:pStyle w:val="Titrepartie"/>
        <w:spacing w:after="120" w:line="276" w:lineRule="auto"/>
      </w:pPr>
      <w:r w:rsidRPr="0008468B">
        <w:t>Etat d’avancement</w:t>
      </w:r>
    </w:p>
    <w:p w14:paraId="7E198EC3" w14:textId="040EF60C" w:rsidR="00426673" w:rsidRPr="00F86E4C" w:rsidRDefault="00F86E4C" w:rsidP="00D133F3">
      <w:pPr>
        <w:spacing w:after="120" w:line="276" w:lineRule="auto"/>
        <w:contextualSpacing/>
        <w:jc w:val="both"/>
        <w:rPr>
          <w:rFonts w:ascii="Verdana" w:hAnsi="Verdana"/>
          <w:sz w:val="20"/>
          <w:szCs w:val="20"/>
        </w:rPr>
      </w:pPr>
      <w:r w:rsidRPr="00F86E4C">
        <w:rPr>
          <w:rFonts w:ascii="Verdana" w:hAnsi="Verdana"/>
          <w:sz w:val="20"/>
          <w:szCs w:val="20"/>
        </w:rPr>
        <w:t xml:space="preserve">Au sein du Secrétariat général, l’ensemble des </w:t>
      </w:r>
      <w:r w:rsidR="00777426">
        <w:rPr>
          <w:rFonts w:ascii="Verdana" w:hAnsi="Verdana"/>
          <w:sz w:val="20"/>
          <w:szCs w:val="20"/>
        </w:rPr>
        <w:t>domaines d’intervention</w:t>
      </w:r>
      <w:r w:rsidRPr="00F86E4C">
        <w:rPr>
          <w:rFonts w:ascii="Verdana" w:hAnsi="Verdana"/>
          <w:sz w:val="20"/>
          <w:szCs w:val="20"/>
        </w:rPr>
        <w:t xml:space="preserve">, </w:t>
      </w:r>
      <w:r w:rsidR="00777426">
        <w:rPr>
          <w:rFonts w:ascii="Verdana" w:hAnsi="Verdana"/>
          <w:sz w:val="20"/>
          <w:szCs w:val="20"/>
        </w:rPr>
        <w:t xml:space="preserve">des </w:t>
      </w:r>
      <w:r w:rsidRPr="00F86E4C">
        <w:rPr>
          <w:rFonts w:ascii="Verdana" w:hAnsi="Verdana"/>
          <w:sz w:val="20"/>
          <w:szCs w:val="20"/>
        </w:rPr>
        <w:t xml:space="preserve">unités et </w:t>
      </w:r>
      <w:r w:rsidR="00777426">
        <w:rPr>
          <w:rFonts w:ascii="Verdana" w:hAnsi="Verdana"/>
          <w:sz w:val="20"/>
          <w:szCs w:val="20"/>
        </w:rPr>
        <w:t xml:space="preserve">des </w:t>
      </w:r>
      <w:r w:rsidRPr="00F86E4C">
        <w:rPr>
          <w:rFonts w:ascii="Verdana" w:hAnsi="Verdana"/>
          <w:sz w:val="20"/>
          <w:szCs w:val="20"/>
        </w:rPr>
        <w:t xml:space="preserve">services collaborent à la mise en œuvre de l’intégration de la </w:t>
      </w:r>
      <w:r>
        <w:rPr>
          <w:rFonts w:ascii="Verdana" w:hAnsi="Verdana"/>
          <w:sz w:val="20"/>
          <w:szCs w:val="20"/>
        </w:rPr>
        <w:t>jeu</w:t>
      </w:r>
      <w:r w:rsidRPr="00F86E4C">
        <w:rPr>
          <w:rFonts w:ascii="Verdana" w:hAnsi="Verdana"/>
          <w:sz w:val="20"/>
          <w:szCs w:val="20"/>
        </w:rPr>
        <w:t>nesse</w:t>
      </w:r>
      <w:r>
        <w:rPr>
          <w:rFonts w:ascii="Verdana" w:hAnsi="Verdana"/>
          <w:sz w:val="20"/>
          <w:szCs w:val="20"/>
        </w:rPr>
        <w:t xml:space="preserve"> dans ses activités.</w:t>
      </w:r>
    </w:p>
    <w:p w14:paraId="2FB5E988" w14:textId="120288E2" w:rsidR="00422748" w:rsidRDefault="00422748" w:rsidP="00D133F3">
      <w:pPr>
        <w:pStyle w:val="Sous-partie2"/>
        <w:spacing w:after="120" w:line="276" w:lineRule="auto"/>
      </w:pPr>
      <w:r>
        <w:t>L</w:t>
      </w:r>
      <w:r w:rsidRPr="00422748">
        <w:t>e document révisé « d’intégration de la jeunesse dans la coopération régionale de l’Indianocéanie »</w:t>
      </w:r>
    </w:p>
    <w:p w14:paraId="7FB4C4F2" w14:textId="77777777" w:rsidR="00AE2695" w:rsidRDefault="00AE2695" w:rsidP="00D133F3">
      <w:pPr>
        <w:pStyle w:val="Sous-partie2"/>
        <w:numPr>
          <w:ilvl w:val="0"/>
          <w:numId w:val="0"/>
        </w:numPr>
        <w:spacing w:after="120" w:line="276" w:lineRule="auto"/>
        <w:rPr>
          <w:rFonts w:cstheme="minorBidi"/>
          <w:color w:val="auto"/>
        </w:rPr>
      </w:pPr>
    </w:p>
    <w:p w14:paraId="5D91249A" w14:textId="7FB687E0" w:rsidR="00422748" w:rsidRDefault="00AE2695" w:rsidP="00D133F3">
      <w:pPr>
        <w:pStyle w:val="Sous-partie2"/>
        <w:numPr>
          <w:ilvl w:val="0"/>
          <w:numId w:val="0"/>
        </w:numPr>
        <w:spacing w:after="120" w:line="276" w:lineRule="auto"/>
        <w:rPr>
          <w:rFonts w:cstheme="minorBidi"/>
          <w:color w:val="auto"/>
        </w:rPr>
      </w:pPr>
      <w:r>
        <w:rPr>
          <w:rFonts w:cstheme="minorBidi"/>
          <w:color w:val="auto"/>
        </w:rPr>
        <w:t>En référence à la décision 9(b) d</w:t>
      </w:r>
      <w:r w:rsidR="00DE1D33">
        <w:rPr>
          <w:rFonts w:cstheme="minorBidi"/>
          <w:color w:val="auto"/>
        </w:rPr>
        <w:t>u</w:t>
      </w:r>
      <w:r>
        <w:rPr>
          <w:rFonts w:cstheme="minorBidi"/>
          <w:color w:val="auto"/>
        </w:rPr>
        <w:t xml:space="preserve"> COPL du 22-23 avril 2024 et du 07 mai 2024, le document révisé « d’intégration de la jeunesse dans la coopération régionale de l’Indianocéanie » a été circulé aux Etats-membres le 20 août</w:t>
      </w:r>
      <w:r w:rsidR="0020446F">
        <w:rPr>
          <w:rFonts w:cstheme="minorBidi"/>
          <w:color w:val="auto"/>
        </w:rPr>
        <w:t xml:space="preserve"> 2024</w:t>
      </w:r>
      <w:r>
        <w:rPr>
          <w:rFonts w:cstheme="minorBidi"/>
          <w:color w:val="auto"/>
        </w:rPr>
        <w:t xml:space="preserve">, pour derniers commentaires, en vue d’une validation aux prochaines instances. Par </w:t>
      </w:r>
      <w:r w:rsidR="0020446F">
        <w:rPr>
          <w:rFonts w:cstheme="minorBidi"/>
          <w:color w:val="auto"/>
        </w:rPr>
        <w:t>retour de correspondance</w:t>
      </w:r>
      <w:r>
        <w:rPr>
          <w:rFonts w:cstheme="minorBidi"/>
          <w:color w:val="auto"/>
        </w:rPr>
        <w:t>, La Réunion et Maurice ont marqué leur accord pour validation.</w:t>
      </w:r>
    </w:p>
    <w:p w14:paraId="4198F340" w14:textId="77777777" w:rsidR="00AE2695" w:rsidRPr="00422748" w:rsidRDefault="00AE2695" w:rsidP="00D133F3">
      <w:pPr>
        <w:pStyle w:val="Sous-partie2"/>
        <w:numPr>
          <w:ilvl w:val="0"/>
          <w:numId w:val="0"/>
        </w:numPr>
        <w:spacing w:after="120" w:line="276" w:lineRule="auto"/>
        <w:rPr>
          <w:rFonts w:cstheme="minorBidi"/>
          <w:color w:val="auto"/>
        </w:rPr>
      </w:pPr>
    </w:p>
    <w:p w14:paraId="48AB0783" w14:textId="0CA1237F" w:rsidR="00426673" w:rsidRPr="00426673" w:rsidRDefault="00F86E4C" w:rsidP="00D133F3">
      <w:pPr>
        <w:pStyle w:val="Sous-partie2"/>
        <w:spacing w:after="120" w:line="276" w:lineRule="auto"/>
      </w:pPr>
      <w:r>
        <w:t>Con</w:t>
      </w:r>
      <w:r w:rsidR="00AE2695">
        <w:t>tribution à la préparation de la con</w:t>
      </w:r>
      <w:r>
        <w:t>férence régionale sur la paix et la stabilité</w:t>
      </w:r>
    </w:p>
    <w:p w14:paraId="0BEBBB31" w14:textId="3AD7EE27" w:rsidR="002C56ED" w:rsidRDefault="00422748" w:rsidP="00D133F3">
      <w:pPr>
        <w:pStyle w:val="Paragraphe"/>
        <w:spacing w:after="120" w:line="276" w:lineRule="auto"/>
        <w:contextualSpacing/>
      </w:pPr>
      <w:r>
        <w:t>Dans le cadre du partenariat entre la COI et l’ONU</w:t>
      </w:r>
      <w:r>
        <w:rPr>
          <w:rStyle w:val="Appelnotedebasdep"/>
        </w:rPr>
        <w:footnoteReference w:id="1"/>
      </w:r>
      <w:r>
        <w:t>, e</w:t>
      </w:r>
      <w:r w:rsidR="00F86E4C">
        <w:t>n appui au projet « gouvernance, paix et stabilité », l</w:t>
      </w:r>
      <w:r w:rsidR="00A65270">
        <w:t>e DI 2</w:t>
      </w:r>
      <w:r w:rsidR="00F86E4C">
        <w:t xml:space="preserve"> s’est impliqué activement dans la préparation de la </w:t>
      </w:r>
      <w:r>
        <w:t xml:space="preserve">deuxième </w:t>
      </w:r>
      <w:r w:rsidR="00F86E4C">
        <w:t>conférence régionale sur la paix et la stabilité : le rôle de la jeunesse dans les initiatives de consolidation de la paix et de démocratie dans la région de l’océan Indien</w:t>
      </w:r>
      <w:r>
        <w:t>, qui s’est déroulée du 16 au 18 octobre 2024 à Madagascar</w:t>
      </w:r>
      <w:r w:rsidR="00F86E4C">
        <w:t xml:space="preserve">. </w:t>
      </w:r>
    </w:p>
    <w:p w14:paraId="54854EB5" w14:textId="0D6D13F3" w:rsidR="002C56ED" w:rsidRDefault="00777426" w:rsidP="00D133F3">
      <w:pPr>
        <w:pStyle w:val="Sous-partie2"/>
        <w:spacing w:after="120" w:line="276" w:lineRule="auto"/>
      </w:pPr>
      <w:r>
        <w:t xml:space="preserve">Partenariat COI et </w:t>
      </w:r>
      <w:proofErr w:type="spellStart"/>
      <w:r>
        <w:t>Africa</w:t>
      </w:r>
      <w:proofErr w:type="spellEnd"/>
      <w:r>
        <w:t xml:space="preserve">-Europe </w:t>
      </w:r>
      <w:proofErr w:type="spellStart"/>
      <w:r>
        <w:t>Foundation</w:t>
      </w:r>
      <w:proofErr w:type="spellEnd"/>
    </w:p>
    <w:p w14:paraId="41022C19" w14:textId="62E66A0A" w:rsidR="00777426" w:rsidRPr="00777426" w:rsidRDefault="00777426" w:rsidP="00D133F3">
      <w:pPr>
        <w:pStyle w:val="Sous-partie2"/>
        <w:numPr>
          <w:ilvl w:val="0"/>
          <w:numId w:val="0"/>
        </w:numPr>
        <w:spacing w:after="120" w:line="276" w:lineRule="auto"/>
        <w:rPr>
          <w:color w:val="auto"/>
        </w:rPr>
      </w:pPr>
      <w:r w:rsidRPr="00777426">
        <w:rPr>
          <w:color w:val="auto"/>
        </w:rPr>
        <w:t xml:space="preserve">Dans </w:t>
      </w:r>
      <w:r>
        <w:rPr>
          <w:color w:val="auto"/>
        </w:rPr>
        <w:t xml:space="preserve">le cadre du partenariat entre la COI et Africa-Europe Foundation, la COI a participé </w:t>
      </w:r>
      <w:r w:rsidRPr="00777426">
        <w:rPr>
          <w:color w:val="auto"/>
        </w:rPr>
        <w:t>à plusieurs évènements organisés par Africa Europe Foundation et Peace Boat</w:t>
      </w:r>
      <w:r>
        <w:rPr>
          <w:color w:val="auto"/>
        </w:rPr>
        <w:t>, en faveur de l’intégration de la jeunesse dans la prise de décision sur la gouvernance des océans, l’économie bleue et le développement durable</w:t>
      </w:r>
      <w:r w:rsidRPr="00777426">
        <w:rPr>
          <w:color w:val="auto"/>
        </w:rPr>
        <w:t xml:space="preserve"> :</w:t>
      </w:r>
    </w:p>
    <w:p w14:paraId="2B24C8DA" w14:textId="51850A4B" w:rsidR="00777426" w:rsidRPr="00777426" w:rsidRDefault="00777426" w:rsidP="00D133F3">
      <w:pPr>
        <w:pStyle w:val="Sous-partie2"/>
        <w:numPr>
          <w:ilvl w:val="0"/>
          <w:numId w:val="15"/>
        </w:numPr>
        <w:spacing w:after="120" w:line="276" w:lineRule="auto"/>
        <w:rPr>
          <w:color w:val="auto"/>
        </w:rPr>
      </w:pPr>
      <w:r w:rsidRPr="00777426">
        <w:rPr>
          <w:color w:val="auto"/>
        </w:rPr>
        <w:t>La réunion virtuelle des jeunes ambassadeurs Afrique-Europe sur l'océan et l'économie bleue du 06 juin 2024 a mis en évidence l'impact significatif du renforcement de la voix</w:t>
      </w:r>
      <w:r w:rsidR="00AD6AD9">
        <w:rPr>
          <w:color w:val="auto"/>
        </w:rPr>
        <w:t xml:space="preserve"> </w:t>
      </w:r>
      <w:r w:rsidRPr="00777426">
        <w:rPr>
          <w:color w:val="auto"/>
        </w:rPr>
        <w:t>et du leadership des jeunes pour faciliter l'échange de bonnes pratiques</w:t>
      </w:r>
      <w:r w:rsidR="00AD6AD9">
        <w:rPr>
          <w:color w:val="auto"/>
        </w:rPr>
        <w:t>.</w:t>
      </w:r>
      <w:r w:rsidR="00830D9D">
        <w:rPr>
          <w:color w:val="auto"/>
        </w:rPr>
        <w:t xml:space="preserve"> Cette réunion en distanciel a aussi souligné</w:t>
      </w:r>
      <w:r w:rsidRPr="00777426">
        <w:rPr>
          <w:color w:val="auto"/>
        </w:rPr>
        <w:t xml:space="preserve"> la nécessité de donner aux jeunes les moyens </w:t>
      </w:r>
      <w:r w:rsidR="00A55003">
        <w:rPr>
          <w:color w:val="auto"/>
        </w:rPr>
        <w:t>de participer à la construction de leur avenir par</w:t>
      </w:r>
      <w:r w:rsidRPr="00777426">
        <w:rPr>
          <w:color w:val="auto"/>
        </w:rPr>
        <w:t xml:space="preserve"> le biais de la recherche, du plaidoyer et de l'engagement des parties prenantes. </w:t>
      </w:r>
    </w:p>
    <w:p w14:paraId="3011432D" w14:textId="6624AD3C" w:rsidR="00777426" w:rsidRDefault="00777426" w:rsidP="00D133F3">
      <w:pPr>
        <w:pStyle w:val="Sous-partie2"/>
        <w:numPr>
          <w:ilvl w:val="0"/>
          <w:numId w:val="15"/>
        </w:numPr>
        <w:spacing w:after="120" w:line="276" w:lineRule="auto"/>
        <w:rPr>
          <w:color w:val="auto"/>
        </w:rPr>
      </w:pPr>
      <w:r w:rsidRPr="00777426">
        <w:rPr>
          <w:color w:val="auto"/>
        </w:rPr>
        <w:t>La 12</w:t>
      </w:r>
      <w:r w:rsidRPr="00777426">
        <w:rPr>
          <w:rFonts w:ascii="Arial" w:hAnsi="Arial" w:cs="Arial"/>
          <w:color w:val="auto"/>
        </w:rPr>
        <w:t>ᵉ</w:t>
      </w:r>
      <w:r w:rsidRPr="00777426">
        <w:rPr>
          <w:color w:val="auto"/>
        </w:rPr>
        <w:t xml:space="preserve"> session du Forum politique de haut niveau (HLPF) sur le développement durable, qui a été coorganisé par Peace Boat et l'AEF</w:t>
      </w:r>
      <w:r w:rsidR="0071355B">
        <w:rPr>
          <w:color w:val="auto"/>
        </w:rPr>
        <w:t xml:space="preserve"> s’est tenu en distanciel</w:t>
      </w:r>
      <w:r w:rsidRPr="00777426">
        <w:rPr>
          <w:color w:val="auto"/>
        </w:rPr>
        <w:t xml:space="preserve"> le 16 juillet 202</w:t>
      </w:r>
      <w:r>
        <w:rPr>
          <w:color w:val="auto"/>
        </w:rPr>
        <w:t xml:space="preserve">4. </w:t>
      </w:r>
      <w:r w:rsidRPr="00777426">
        <w:rPr>
          <w:color w:val="auto"/>
        </w:rPr>
        <w:t xml:space="preserve">Il portait sur « l'accélération de l'action océan-climat et la mobilisation de tous les </w:t>
      </w:r>
      <w:r w:rsidRPr="00777426">
        <w:rPr>
          <w:color w:val="auto"/>
        </w:rPr>
        <w:lastRenderedPageBreak/>
        <w:t xml:space="preserve">acteurs, y compris les partenariats centrés sur les jeunes, pour conserver et utiliser durablement l'océan ». </w:t>
      </w:r>
    </w:p>
    <w:p w14:paraId="5883CD32" w14:textId="397141EF" w:rsidR="0020446F" w:rsidRPr="00777426" w:rsidRDefault="00777426" w:rsidP="00D133F3">
      <w:pPr>
        <w:pStyle w:val="Sous-partie2"/>
        <w:numPr>
          <w:ilvl w:val="0"/>
          <w:numId w:val="15"/>
        </w:numPr>
        <w:spacing w:after="120" w:line="276" w:lineRule="auto"/>
        <w:rPr>
          <w:color w:val="auto"/>
        </w:rPr>
      </w:pPr>
      <w:r w:rsidRPr="00777426">
        <w:rPr>
          <w:color w:val="auto"/>
        </w:rPr>
        <w:t>Side event de Peace Boat sur « le renforcement des capacités pour la collaboration intergénérationnelle et l'autonomisation des jeunes des PEID en matière d'action sur le climat et les océans », en marge de la 79ème session de l’Assemblée générale des Nations Unies à New York, le 23 septembre 2024.</w:t>
      </w:r>
    </w:p>
    <w:p w14:paraId="004F8498" w14:textId="7F3EDBFB" w:rsidR="00955BB3" w:rsidRDefault="00955BB3" w:rsidP="00D133F3">
      <w:pPr>
        <w:pStyle w:val="Paragraphedeliste"/>
        <w:spacing w:after="120" w:line="276" w:lineRule="auto"/>
        <w:jc w:val="both"/>
        <w:rPr>
          <w:rFonts w:ascii="Verdana" w:hAnsi="Verdana" w:cs="Calibri"/>
          <w:sz w:val="20"/>
          <w:szCs w:val="20"/>
        </w:rPr>
      </w:pPr>
    </w:p>
    <w:p w14:paraId="2F7F5914" w14:textId="608AD6BB" w:rsidR="00955BB3" w:rsidRPr="0008468B" w:rsidRDefault="00955BB3" w:rsidP="00D133F3">
      <w:pPr>
        <w:pStyle w:val="Titrepartie"/>
        <w:spacing w:after="120" w:line="276" w:lineRule="auto"/>
      </w:pPr>
      <w:r w:rsidRPr="0008468B">
        <w:t>Proposition de décision</w:t>
      </w:r>
    </w:p>
    <w:p w14:paraId="05F1F967" w14:textId="472F0F3F" w:rsidR="0008468B" w:rsidRPr="004F5C4B" w:rsidRDefault="0008468B" w:rsidP="00D133F3">
      <w:pPr>
        <w:pStyle w:val="Paragraphe"/>
        <w:spacing w:after="120" w:line="276" w:lineRule="auto"/>
        <w:contextualSpacing/>
      </w:pPr>
      <w:r w:rsidRPr="004F5C4B">
        <w:t>Le Comité des OPL</w:t>
      </w:r>
      <w:r w:rsidR="00E91415">
        <w:t xml:space="preserve"> : </w:t>
      </w:r>
    </w:p>
    <w:p w14:paraId="31EFF9E5" w14:textId="77777777" w:rsidR="001D5AE7" w:rsidRPr="001D5AE7" w:rsidRDefault="00E91415" w:rsidP="00D133F3">
      <w:pPr>
        <w:pStyle w:val="Paragraphe"/>
        <w:numPr>
          <w:ilvl w:val="0"/>
          <w:numId w:val="6"/>
        </w:numPr>
        <w:spacing w:after="120" w:line="276" w:lineRule="auto"/>
        <w:contextualSpacing/>
      </w:pPr>
      <w:r>
        <w:t xml:space="preserve">Valide </w:t>
      </w:r>
      <w:r w:rsidR="00777426">
        <w:rPr>
          <w:rFonts w:cstheme="minorBidi"/>
        </w:rPr>
        <w:t>le document révisé « d’intégration de la jeunesse dans la coopération régionale de l’Indianocéanie »</w:t>
      </w:r>
      <w:r>
        <w:rPr>
          <w:rFonts w:cstheme="minorBidi"/>
        </w:rPr>
        <w:t xml:space="preserve"> et le soumet aux membres du Conseil des ministres pour son approbation finale</w:t>
      </w:r>
      <w:r w:rsidR="001D5AE7">
        <w:rPr>
          <w:rFonts w:cstheme="minorBidi"/>
        </w:rPr>
        <w:t xml:space="preserve"> en vue, notamment, de la mise en place d’une plateforme régionale des jeunes de l’océan Indien ; </w:t>
      </w:r>
    </w:p>
    <w:p w14:paraId="224ADFBC" w14:textId="4BCFC969" w:rsidR="00A65270" w:rsidRPr="0014582F" w:rsidRDefault="007E404E" w:rsidP="007E404E">
      <w:pPr>
        <w:pStyle w:val="Paragraphe"/>
        <w:numPr>
          <w:ilvl w:val="0"/>
          <w:numId w:val="6"/>
        </w:numPr>
        <w:spacing w:after="120" w:line="276" w:lineRule="auto"/>
        <w:contextualSpacing/>
      </w:pPr>
      <w:r>
        <w:rPr>
          <w:rFonts w:cstheme="minorBidi"/>
        </w:rPr>
        <w:t>Encourage le Secrétariat général à poursuivre la mise en œuvre d’</w:t>
      </w:r>
      <w:r w:rsidR="001D5AE7">
        <w:rPr>
          <w:rFonts w:cstheme="minorBidi"/>
        </w:rPr>
        <w:t xml:space="preserve">activités </w:t>
      </w:r>
      <w:r>
        <w:rPr>
          <w:rFonts w:cstheme="minorBidi"/>
        </w:rPr>
        <w:t xml:space="preserve">avec et pour la jeunesse des Etats membres, notamment dans le cadre des projets en cours et </w:t>
      </w:r>
      <w:r w:rsidR="009326E8">
        <w:rPr>
          <w:rFonts w:cstheme="minorBidi"/>
        </w:rPr>
        <w:t xml:space="preserve">d’activités portées par d’autres entités. </w:t>
      </w:r>
    </w:p>
    <w:p w14:paraId="4D347FAA" w14:textId="77777777" w:rsidR="0014582F" w:rsidRPr="00F124E6" w:rsidRDefault="0014582F" w:rsidP="0014582F">
      <w:pPr>
        <w:pStyle w:val="Paragraphe"/>
        <w:spacing w:after="120" w:line="276" w:lineRule="auto"/>
        <w:ind w:left="720"/>
        <w:contextualSpacing/>
      </w:pPr>
    </w:p>
    <w:p w14:paraId="7EAEB404" w14:textId="72ACB4A7" w:rsidR="00955BB3" w:rsidRPr="0008468B" w:rsidRDefault="00955BB3" w:rsidP="00D133F3">
      <w:pPr>
        <w:pStyle w:val="Titrepartie"/>
        <w:spacing w:after="120" w:line="276" w:lineRule="auto"/>
      </w:pPr>
      <w:r w:rsidRPr="0008468B">
        <w:t>Rappel des décisions antérieures</w:t>
      </w:r>
    </w:p>
    <w:bookmarkEnd w:id="0"/>
    <w:p w14:paraId="623000D0" w14:textId="3ACEB8E4" w:rsidR="0008468B" w:rsidRPr="00FE285D" w:rsidRDefault="00FE285D" w:rsidP="00D133F3">
      <w:pPr>
        <w:pStyle w:val="Exergue"/>
        <w:spacing w:after="120" w:line="276" w:lineRule="auto"/>
        <w:contextualSpacing/>
      </w:pPr>
      <w:r>
        <w:t>Cf.</w:t>
      </w:r>
      <w:r w:rsidR="0008468B" w:rsidRPr="00FE285D">
        <w:t xml:space="preserve"> Décision </w:t>
      </w:r>
      <w:r w:rsidR="0055059B" w:rsidRPr="0055059B">
        <w:t xml:space="preserve">9(b) </w:t>
      </w:r>
      <w:r w:rsidR="0055059B">
        <w:t>Axe transversal « jeunesse »</w:t>
      </w:r>
      <w:r w:rsidR="00A76B07">
        <w:t xml:space="preserve">, </w:t>
      </w:r>
      <w:r w:rsidR="0055059B">
        <w:rPr>
          <w:rFonts w:cstheme="minorBidi"/>
        </w:rPr>
        <w:t>COPL, 22-23 avril 2024 et 07 mai 2024</w:t>
      </w:r>
    </w:p>
    <w:p w14:paraId="64304E23" w14:textId="7E5CDEE4" w:rsidR="0055059B" w:rsidRDefault="0055059B" w:rsidP="00D133F3">
      <w:pPr>
        <w:spacing w:after="120" w:line="276" w:lineRule="auto"/>
        <w:contextualSpacing/>
        <w:jc w:val="both"/>
        <w:rPr>
          <w:rFonts w:ascii="Verdana" w:hAnsi="Verdana"/>
          <w:sz w:val="20"/>
          <w:szCs w:val="20"/>
        </w:rPr>
      </w:pPr>
      <w:r w:rsidRPr="0055059B">
        <w:rPr>
          <w:rFonts w:ascii="Verdana" w:hAnsi="Verdana"/>
          <w:sz w:val="20"/>
          <w:szCs w:val="20"/>
        </w:rPr>
        <w:t>Demand</w:t>
      </w:r>
      <w:r>
        <w:rPr>
          <w:rFonts w:ascii="Verdana" w:hAnsi="Verdana"/>
          <w:sz w:val="20"/>
          <w:szCs w:val="20"/>
        </w:rPr>
        <w:t xml:space="preserve">ant </w:t>
      </w:r>
      <w:r w:rsidRPr="0055059B">
        <w:rPr>
          <w:rFonts w:ascii="Verdana" w:hAnsi="Verdana"/>
          <w:sz w:val="20"/>
          <w:szCs w:val="20"/>
        </w:rPr>
        <w:t>au Secrétariat général de transmettre aux Etats membres le document révisé « d’intégration de la jeunesse dans la coopération régionale de l’Indianocéanie » en vue d’une soumission à une prochaine session du Conseil des ministres</w:t>
      </w:r>
      <w:r w:rsidR="005C1713">
        <w:rPr>
          <w:rFonts w:ascii="Verdana" w:hAnsi="Verdana"/>
          <w:sz w:val="20"/>
          <w:szCs w:val="20"/>
        </w:rPr>
        <w:t>.</w:t>
      </w:r>
    </w:p>
    <w:p w14:paraId="6120FDC7" w14:textId="1F4DBAE4" w:rsidR="0055059B" w:rsidRPr="005C1713" w:rsidRDefault="0055059B" w:rsidP="00D133F3">
      <w:pPr>
        <w:pStyle w:val="Exergue"/>
        <w:spacing w:after="120" w:line="276" w:lineRule="auto"/>
        <w:contextualSpacing/>
      </w:pPr>
      <w:r w:rsidRPr="005C1713">
        <w:t>Décision 7(a)</w:t>
      </w:r>
      <w:r w:rsidR="005C1713" w:rsidRPr="005C1713">
        <w:t xml:space="preserve"> Axe transversal « jeunesse »</w:t>
      </w:r>
      <w:r w:rsidRPr="005C1713">
        <w:t xml:space="preserve">, 38ème Conseil des ministres de la COI, </w:t>
      </w:r>
      <w:r w:rsidR="005C1713" w:rsidRPr="005C1713">
        <w:t>16 mai 2024</w:t>
      </w:r>
    </w:p>
    <w:p w14:paraId="2D9CE44D" w14:textId="7744619F" w:rsidR="005C1713" w:rsidRPr="0055059B" w:rsidRDefault="005C1713" w:rsidP="00D133F3">
      <w:pPr>
        <w:spacing w:after="120" w:line="276" w:lineRule="auto"/>
        <w:contextualSpacing/>
        <w:jc w:val="both"/>
        <w:rPr>
          <w:rFonts w:ascii="Verdana" w:hAnsi="Verdana"/>
          <w:sz w:val="20"/>
          <w:szCs w:val="20"/>
        </w:rPr>
      </w:pPr>
      <w:r w:rsidRPr="005C1713">
        <w:rPr>
          <w:rFonts w:ascii="Verdana" w:hAnsi="Verdana"/>
          <w:sz w:val="20"/>
          <w:szCs w:val="20"/>
        </w:rPr>
        <w:t>Réaffirme l’importance de la jeunesse dans la coopération régionale.</w:t>
      </w:r>
    </w:p>
    <w:p w14:paraId="1A08E46E" w14:textId="77777777" w:rsidR="0008468B" w:rsidRDefault="0008468B" w:rsidP="00D133F3">
      <w:pPr>
        <w:spacing w:after="120" w:line="276" w:lineRule="auto"/>
        <w:contextualSpacing/>
        <w:rPr>
          <w:rFonts w:ascii="Verdana" w:hAnsi="Verdana"/>
          <w:b/>
          <w:bCs/>
          <w:i/>
          <w:iCs/>
          <w:sz w:val="20"/>
          <w:szCs w:val="20"/>
        </w:rPr>
      </w:pPr>
    </w:p>
    <w:p w14:paraId="1D6F1669" w14:textId="72833CAD" w:rsidR="00417683" w:rsidRPr="0008468B" w:rsidRDefault="00417683" w:rsidP="00D133F3">
      <w:pPr>
        <w:pStyle w:val="Titrepartie"/>
        <w:spacing w:after="120" w:line="276" w:lineRule="auto"/>
      </w:pPr>
      <w:r w:rsidRPr="0008468B">
        <w:t>Annexe</w:t>
      </w:r>
      <w:r w:rsidR="008F173C" w:rsidRPr="0008468B">
        <w:t>s</w:t>
      </w:r>
      <w:r w:rsidRPr="0008468B">
        <w:t> :</w:t>
      </w:r>
    </w:p>
    <w:p w14:paraId="6A0650C0" w14:textId="0FD4AE62" w:rsidR="0055059B" w:rsidRPr="0050391C" w:rsidRDefault="00620B90" w:rsidP="00D133F3">
      <w:pPr>
        <w:pStyle w:val="Paragraphe"/>
        <w:numPr>
          <w:ilvl w:val="0"/>
          <w:numId w:val="9"/>
        </w:numPr>
        <w:spacing w:after="120" w:line="276" w:lineRule="auto"/>
        <w:contextualSpacing/>
      </w:pPr>
      <w:r>
        <w:t>Annexe 1 </w:t>
      </w:r>
      <w:r w:rsidR="0055059B">
        <w:t xml:space="preserve">: document d’intégration de la jeunesse dans la coopération régionale de l’Indianocéanie tenant compte des derniers commentaires reçus lors du Comité des OPL des 22-23 avril et de la session en distanciel du 07 mai 2024, circulé aux Etats membres le 20 août 2024, pour derniers commentaires. </w:t>
      </w:r>
    </w:p>
    <w:p w14:paraId="4648F921" w14:textId="56A4D58B" w:rsidR="008F173C" w:rsidRPr="00620B90" w:rsidRDefault="008F173C" w:rsidP="00A65270">
      <w:pPr>
        <w:pStyle w:val="Paragraphe"/>
        <w:ind w:left="720"/>
      </w:pPr>
    </w:p>
    <w:sectPr w:rsidR="008F173C" w:rsidRPr="00620B90" w:rsidSect="00063A26">
      <w:headerReference w:type="default" r:id="rId8"/>
      <w:footerReference w:type="default" r:id="rId9"/>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41762" w14:textId="77777777" w:rsidR="00354CE2" w:rsidRDefault="00354CE2">
      <w:pPr>
        <w:spacing w:after="0" w:line="240" w:lineRule="auto"/>
      </w:pPr>
      <w:r>
        <w:separator/>
      </w:r>
    </w:p>
  </w:endnote>
  <w:endnote w:type="continuationSeparator" w:id="0">
    <w:p w14:paraId="78E423E9" w14:textId="77777777" w:rsidR="00354CE2" w:rsidRDefault="0035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EEE46" w14:textId="77777777" w:rsidR="00354CE2" w:rsidRDefault="00354CE2">
      <w:pPr>
        <w:spacing w:after="0" w:line="240" w:lineRule="auto"/>
      </w:pPr>
      <w:r>
        <w:separator/>
      </w:r>
    </w:p>
  </w:footnote>
  <w:footnote w:type="continuationSeparator" w:id="0">
    <w:p w14:paraId="13A1D69F" w14:textId="77777777" w:rsidR="00354CE2" w:rsidRDefault="00354CE2">
      <w:pPr>
        <w:spacing w:after="0" w:line="240" w:lineRule="auto"/>
      </w:pPr>
      <w:r>
        <w:continuationSeparator/>
      </w:r>
    </w:p>
  </w:footnote>
  <w:footnote w:id="1">
    <w:p w14:paraId="670988C5" w14:textId="3ACA878A" w:rsidR="00422748" w:rsidRPr="00117F1A" w:rsidRDefault="00422748">
      <w:pPr>
        <w:pStyle w:val="Notedebasdepage"/>
        <w:rPr>
          <w:sz w:val="18"/>
          <w:szCs w:val="18"/>
        </w:rPr>
      </w:pPr>
      <w:r>
        <w:rPr>
          <w:rStyle w:val="Appelnotedebasdep"/>
        </w:rPr>
        <w:footnoteRef/>
      </w:r>
      <w:r>
        <w:t xml:space="preserve"> </w:t>
      </w:r>
      <w:r w:rsidRPr="00117F1A">
        <w:rPr>
          <w:sz w:val="18"/>
          <w:szCs w:val="18"/>
        </w:rPr>
        <w:t>Un cadre de partenariat a été signé entre la COI et l’Organisation des Nations Unies le 15 juin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B6C79" w14:textId="6ECFE9FE"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6B416E">
      <w:rPr>
        <w:rFonts w:ascii="Verdana" w:hAnsi="Verdana"/>
        <w:b/>
        <w:bCs/>
        <w:sz w:val="20"/>
        <w:szCs w:val="20"/>
      </w:rPr>
      <w:t>2.</w:t>
    </w:r>
    <w:r w:rsidR="000A67B0">
      <w:rPr>
        <w:rFonts w:ascii="Verdana" w:hAnsi="Verdana"/>
        <w:b/>
        <w:bCs/>
        <w:sz w:val="20"/>
        <w:szCs w:val="20"/>
      </w:rPr>
      <w:t>7</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A82884"/>
    <w:multiLevelType w:val="hybridMultilevel"/>
    <w:tmpl w:val="C36EF94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035C9"/>
    <w:multiLevelType w:val="multilevel"/>
    <w:tmpl w:val="2D0448BE"/>
    <w:lvl w:ilvl="0">
      <w:start w:val="1"/>
      <w:numFmt w:val="decimal"/>
      <w:lvlText w:val="%1."/>
      <w:lvlJc w:val="left"/>
      <w:pPr>
        <w:ind w:left="360" w:hanging="360"/>
      </w:pPr>
      <w:rPr>
        <w:rFonts w:hint="default"/>
      </w:rPr>
    </w:lvl>
    <w:lvl w:ilvl="1">
      <w:numFmt w:val="bullet"/>
      <w:lvlText w:val="-"/>
      <w:lvlJc w:val="left"/>
      <w:pPr>
        <w:ind w:left="360" w:hanging="360"/>
      </w:pPr>
      <w:rPr>
        <w:rFonts w:ascii="Aptos" w:eastAsiaTheme="minorHAnsi" w:hAnsi="Aptos"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47832A94"/>
    <w:multiLevelType w:val="multilevel"/>
    <w:tmpl w:val="EA461D2C"/>
    <w:lvl w:ilvl="0">
      <w:numFmt w:val="bullet"/>
      <w:lvlText w:val="-"/>
      <w:lvlJc w:val="left"/>
      <w:pPr>
        <w:ind w:left="360" w:hanging="360"/>
      </w:pPr>
      <w:rPr>
        <w:rFonts w:ascii="Aptos" w:eastAsiaTheme="minorHAnsi" w:hAnsi="Aptos" w:cstheme="minorBidi" w:hint="default"/>
      </w:rPr>
    </w:lvl>
    <w:lvl w:ilvl="1">
      <w:numFmt w:val="bullet"/>
      <w:lvlText w:val="-"/>
      <w:lvlJc w:val="left"/>
      <w:pPr>
        <w:ind w:left="360" w:hanging="360"/>
      </w:pPr>
      <w:rPr>
        <w:rFonts w:ascii="Aptos" w:eastAsiaTheme="minorHAnsi" w:hAnsi="Aptos"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562F12A2"/>
    <w:multiLevelType w:val="multilevel"/>
    <w:tmpl w:val="5D1083C0"/>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52060334">
    <w:abstractNumId w:val="5"/>
  </w:num>
  <w:num w:numId="2" w16cid:durableId="730155708">
    <w:abstractNumId w:val="11"/>
  </w:num>
  <w:num w:numId="3" w16cid:durableId="1226992778">
    <w:abstractNumId w:val="3"/>
  </w:num>
  <w:num w:numId="4" w16cid:durableId="131143113">
    <w:abstractNumId w:val="0"/>
  </w:num>
  <w:num w:numId="5" w16cid:durableId="2012178635">
    <w:abstractNumId w:val="10"/>
  </w:num>
  <w:num w:numId="6" w16cid:durableId="758718310">
    <w:abstractNumId w:val="4"/>
  </w:num>
  <w:num w:numId="7" w16cid:durableId="1547988449">
    <w:abstractNumId w:val="6"/>
  </w:num>
  <w:num w:numId="8" w16cid:durableId="1117337497">
    <w:abstractNumId w:val="3"/>
    <w:lvlOverride w:ilvl="0">
      <w:startOverride w:val="1"/>
    </w:lvlOverride>
  </w:num>
  <w:num w:numId="9" w16cid:durableId="1107774655">
    <w:abstractNumId w:val="2"/>
  </w:num>
  <w:num w:numId="10" w16cid:durableId="1865903141">
    <w:abstractNumId w:val="1"/>
  </w:num>
  <w:num w:numId="11" w16cid:durableId="409931527">
    <w:abstractNumId w:val="3"/>
  </w:num>
  <w:num w:numId="12" w16cid:durableId="1956594569">
    <w:abstractNumId w:val="9"/>
  </w:num>
  <w:num w:numId="13" w16cid:durableId="568005613">
    <w:abstractNumId w:val="7"/>
  </w:num>
  <w:num w:numId="14" w16cid:durableId="1140994487">
    <w:abstractNumId w:val="3"/>
  </w:num>
  <w:num w:numId="15" w16cid:durableId="7524360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373B2"/>
    <w:rsid w:val="00042CF5"/>
    <w:rsid w:val="00060CA0"/>
    <w:rsid w:val="00063A26"/>
    <w:rsid w:val="00084640"/>
    <w:rsid w:val="0008468B"/>
    <w:rsid w:val="000A468A"/>
    <w:rsid w:val="000A67B0"/>
    <w:rsid w:val="000B0FBD"/>
    <w:rsid w:val="000B489A"/>
    <w:rsid w:val="000D5325"/>
    <w:rsid w:val="000F4728"/>
    <w:rsid w:val="00107D9D"/>
    <w:rsid w:val="00117F1A"/>
    <w:rsid w:val="0014582F"/>
    <w:rsid w:val="0018252D"/>
    <w:rsid w:val="001A56F1"/>
    <w:rsid w:val="001B4738"/>
    <w:rsid w:val="001D5AE7"/>
    <w:rsid w:val="0020446F"/>
    <w:rsid w:val="00206F6E"/>
    <w:rsid w:val="00256088"/>
    <w:rsid w:val="002A0933"/>
    <w:rsid w:val="002A096E"/>
    <w:rsid w:val="002C56ED"/>
    <w:rsid w:val="002D3C5B"/>
    <w:rsid w:val="00354CE2"/>
    <w:rsid w:val="003604B9"/>
    <w:rsid w:val="003772FB"/>
    <w:rsid w:val="00391152"/>
    <w:rsid w:val="003C2538"/>
    <w:rsid w:val="003D485F"/>
    <w:rsid w:val="003D5328"/>
    <w:rsid w:val="0041278C"/>
    <w:rsid w:val="00417683"/>
    <w:rsid w:val="00422748"/>
    <w:rsid w:val="00426673"/>
    <w:rsid w:val="0044097B"/>
    <w:rsid w:val="004607F7"/>
    <w:rsid w:val="004F5C4B"/>
    <w:rsid w:val="0053773D"/>
    <w:rsid w:val="0055059B"/>
    <w:rsid w:val="005C1713"/>
    <w:rsid w:val="00601ECF"/>
    <w:rsid w:val="00620B90"/>
    <w:rsid w:val="006356AF"/>
    <w:rsid w:val="006548BF"/>
    <w:rsid w:val="00660504"/>
    <w:rsid w:val="006B416E"/>
    <w:rsid w:val="006D2266"/>
    <w:rsid w:val="006E2D9E"/>
    <w:rsid w:val="0071355B"/>
    <w:rsid w:val="00721142"/>
    <w:rsid w:val="00777426"/>
    <w:rsid w:val="007B245C"/>
    <w:rsid w:val="007C78FC"/>
    <w:rsid w:val="007E404E"/>
    <w:rsid w:val="00816DAC"/>
    <w:rsid w:val="00830D9D"/>
    <w:rsid w:val="0083290E"/>
    <w:rsid w:val="00843FF2"/>
    <w:rsid w:val="008453AB"/>
    <w:rsid w:val="00854EEA"/>
    <w:rsid w:val="008551DA"/>
    <w:rsid w:val="008D193F"/>
    <w:rsid w:val="008F173C"/>
    <w:rsid w:val="009326E8"/>
    <w:rsid w:val="00941EE5"/>
    <w:rsid w:val="00955BB3"/>
    <w:rsid w:val="009A38AD"/>
    <w:rsid w:val="009B0DE6"/>
    <w:rsid w:val="009F496C"/>
    <w:rsid w:val="00A148A1"/>
    <w:rsid w:val="00A15099"/>
    <w:rsid w:val="00A36C09"/>
    <w:rsid w:val="00A37C9F"/>
    <w:rsid w:val="00A55003"/>
    <w:rsid w:val="00A65270"/>
    <w:rsid w:val="00A70123"/>
    <w:rsid w:val="00A76B07"/>
    <w:rsid w:val="00A81B98"/>
    <w:rsid w:val="00A90305"/>
    <w:rsid w:val="00AA63A3"/>
    <w:rsid w:val="00AB5EB7"/>
    <w:rsid w:val="00AD4D97"/>
    <w:rsid w:val="00AD6AD9"/>
    <w:rsid w:val="00AE2453"/>
    <w:rsid w:val="00AE2695"/>
    <w:rsid w:val="00AE3DF4"/>
    <w:rsid w:val="00B05DFC"/>
    <w:rsid w:val="00B22EC6"/>
    <w:rsid w:val="00B36EEA"/>
    <w:rsid w:val="00BA4B55"/>
    <w:rsid w:val="00BD5927"/>
    <w:rsid w:val="00C12C93"/>
    <w:rsid w:val="00C325F5"/>
    <w:rsid w:val="00C457E8"/>
    <w:rsid w:val="00C609B9"/>
    <w:rsid w:val="00CE2386"/>
    <w:rsid w:val="00D133F3"/>
    <w:rsid w:val="00DE1D33"/>
    <w:rsid w:val="00E32408"/>
    <w:rsid w:val="00E3648C"/>
    <w:rsid w:val="00E845D4"/>
    <w:rsid w:val="00E91415"/>
    <w:rsid w:val="00EC22CC"/>
    <w:rsid w:val="00ED6B69"/>
    <w:rsid w:val="00EE34F4"/>
    <w:rsid w:val="00EF22A4"/>
    <w:rsid w:val="00F124E6"/>
    <w:rsid w:val="00F54EA0"/>
    <w:rsid w:val="00F86E4C"/>
    <w:rsid w:val="00F96EE9"/>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tedebasdepage">
    <w:name w:val="footnote text"/>
    <w:basedOn w:val="Normal"/>
    <w:link w:val="NotedebasdepageCar"/>
    <w:uiPriority w:val="99"/>
    <w:semiHidden/>
    <w:unhideWhenUsed/>
    <w:rsid w:val="009F496C"/>
    <w:pPr>
      <w:spacing w:after="0" w:line="240" w:lineRule="auto"/>
      <w:jc w:val="both"/>
    </w:pPr>
    <w:rPr>
      <w:rFonts w:ascii="Verdana" w:hAnsi="Verdana"/>
      <w:sz w:val="20"/>
      <w:szCs w:val="20"/>
      <w14:ligatures w14:val="standardContextual"/>
    </w:rPr>
  </w:style>
  <w:style w:type="character" w:customStyle="1" w:styleId="NotedebasdepageCar">
    <w:name w:val="Note de bas de page Car"/>
    <w:basedOn w:val="Policepardfaut"/>
    <w:link w:val="Notedebasdepage"/>
    <w:uiPriority w:val="99"/>
    <w:semiHidden/>
    <w:rsid w:val="009F496C"/>
    <w:rPr>
      <w:rFonts w:ascii="Verdana" w:hAnsi="Verdana"/>
      <w:sz w:val="20"/>
      <w:szCs w:val="20"/>
      <w14:ligatures w14:val="standardContextual"/>
    </w:rPr>
  </w:style>
  <w:style w:type="character" w:styleId="Appelnotedebasdep">
    <w:name w:val="footnote reference"/>
    <w:basedOn w:val="Policepardfaut"/>
    <w:uiPriority w:val="99"/>
    <w:semiHidden/>
    <w:unhideWhenUsed/>
    <w:rsid w:val="009F496C"/>
    <w:rPr>
      <w:vertAlign w:val="superscript"/>
    </w:rPr>
  </w:style>
  <w:style w:type="paragraph" w:styleId="Corpsdetexte2">
    <w:name w:val="Body Text 2"/>
    <w:basedOn w:val="Normal"/>
    <w:link w:val="Corpsdetexte2Car"/>
    <w:rsid w:val="00721142"/>
    <w:pPr>
      <w:spacing w:after="120" w:line="480" w:lineRule="auto"/>
    </w:pPr>
    <w:rPr>
      <w:rFonts w:ascii="Tahoma" w:eastAsia="Times New Roman" w:hAnsi="Tahoma" w:cs="Times New Roman"/>
      <w:szCs w:val="20"/>
      <w:lang w:eastAsia="fr-FR"/>
    </w:rPr>
  </w:style>
  <w:style w:type="character" w:customStyle="1" w:styleId="Corpsdetexte2Car">
    <w:name w:val="Corps de texte 2 Car"/>
    <w:basedOn w:val="Policepardfaut"/>
    <w:link w:val="Corpsdetexte2"/>
    <w:rsid w:val="00721142"/>
    <w:rPr>
      <w:rFonts w:ascii="Tahoma" w:eastAsia="Times New Roman" w:hAnsi="Tahoma"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9202B-E6C4-4A10-8208-740EB96D0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722</Words>
  <Characters>3977</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11</cp:revision>
  <dcterms:created xsi:type="dcterms:W3CDTF">2024-11-12T11:14:00Z</dcterms:created>
  <dcterms:modified xsi:type="dcterms:W3CDTF">2024-11-14T10:38:00Z</dcterms:modified>
</cp:coreProperties>
</file>