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ACC40C" w14:textId="3AEE0FA8" w:rsidR="00DE0A61" w:rsidRPr="00DE0A61" w:rsidRDefault="00DE0A61">
      <w:pPr>
        <w:jc w:val="center"/>
        <w:rPr>
          <w:rFonts w:ascii="Arial" w:hAnsi="Arial" w:cs="Arial"/>
          <w:b/>
          <w:bCs/>
          <w:sz w:val="20"/>
          <w:szCs w:val="20"/>
          <w:u w:val="single"/>
        </w:rPr>
      </w:pPr>
      <w:bookmarkStart w:id="0" w:name="_Hlk182330155"/>
      <w:r w:rsidRPr="00DE0A61">
        <w:rPr>
          <w:rFonts w:ascii="Arial" w:hAnsi="Arial" w:cs="Arial"/>
          <w:b/>
          <w:bCs/>
          <w:sz w:val="20"/>
          <w:szCs w:val="20"/>
          <w:u w:val="single"/>
        </w:rPr>
        <w:t>NOTE D’INFORMATION</w:t>
      </w:r>
    </w:p>
    <w:p w14:paraId="25C55E31" w14:textId="173F6906" w:rsidR="00A0111D" w:rsidRDefault="00A0111D">
      <w:pPr>
        <w:jc w:val="center"/>
        <w:rPr>
          <w:rFonts w:ascii="Arial" w:hAnsi="Arial" w:cs="Arial"/>
          <w:b/>
          <w:bCs/>
          <w:sz w:val="20"/>
          <w:szCs w:val="20"/>
        </w:rPr>
      </w:pPr>
      <w:r>
        <w:rPr>
          <w:rFonts w:ascii="Arial" w:hAnsi="Arial" w:cs="Arial"/>
          <w:b/>
          <w:bCs/>
          <w:sz w:val="20"/>
          <w:szCs w:val="20"/>
        </w:rPr>
        <w:t>Création d'un Institut régional maritime sud océan Indien</w:t>
      </w:r>
    </w:p>
    <w:bookmarkEnd w:id="0"/>
    <w:p w14:paraId="1FBB3506" w14:textId="77777777" w:rsidR="00A0111D" w:rsidRDefault="00A0111D">
      <w:pPr>
        <w:jc w:val="center"/>
        <w:rPr>
          <w:rFonts w:ascii="Arial" w:hAnsi="Arial" w:cs="Arial"/>
          <w:b/>
          <w:bCs/>
          <w:sz w:val="20"/>
          <w:szCs w:val="20"/>
          <w:u w:val="single"/>
        </w:rPr>
      </w:pPr>
      <w:r>
        <w:rPr>
          <w:rFonts w:ascii="Arial" w:hAnsi="Arial" w:cs="Arial"/>
          <w:b/>
          <w:bCs/>
          <w:sz w:val="20"/>
          <w:szCs w:val="20"/>
        </w:rPr>
        <w:t>Vision stratégique et objet de la convention soumise à l'avis des Etats-membres</w:t>
      </w:r>
    </w:p>
    <w:p w14:paraId="6BEDFBFF" w14:textId="77777777" w:rsidR="00A0111D" w:rsidRDefault="00A0111D">
      <w:pPr>
        <w:rPr>
          <w:rFonts w:ascii="Arial" w:hAnsi="Arial" w:cs="Arial"/>
          <w:sz w:val="20"/>
          <w:szCs w:val="20"/>
        </w:rPr>
      </w:pPr>
      <w:r>
        <w:rPr>
          <w:rFonts w:ascii="Arial" w:hAnsi="Arial" w:cs="Arial"/>
          <w:b/>
          <w:bCs/>
          <w:sz w:val="20"/>
          <w:szCs w:val="20"/>
          <w:u w:val="single"/>
        </w:rPr>
        <w:t>1. L'outil ambitieux d'un renforcement de l'Architecture régionale de sécurité maritime</w:t>
      </w:r>
    </w:p>
    <w:p w14:paraId="23E95728" w14:textId="77777777" w:rsidR="00A0111D" w:rsidRDefault="00A0111D">
      <w:pPr>
        <w:jc w:val="both"/>
        <w:rPr>
          <w:rFonts w:ascii="Arial" w:hAnsi="Arial" w:cs="Arial"/>
          <w:sz w:val="20"/>
          <w:szCs w:val="20"/>
        </w:rPr>
      </w:pPr>
      <w:r>
        <w:rPr>
          <w:rFonts w:ascii="Arial" w:hAnsi="Arial" w:cs="Arial"/>
          <w:sz w:val="20"/>
          <w:szCs w:val="20"/>
        </w:rPr>
        <w:t>L'océan Indien concentre tous les grands enjeux maritimes du XXIᵉ siècle, qu'ils soient géostratégiques, environnementaux, économiques ou climatiques. La maîtrise et la protection des espaces et flux maritimes constituent à ce titre des priorités pour les États côtiers de la zone.</w:t>
      </w:r>
    </w:p>
    <w:p w14:paraId="49C15433" w14:textId="77777777" w:rsidR="00931FB1" w:rsidRDefault="00931FB1">
      <w:pPr>
        <w:jc w:val="both"/>
        <w:rPr>
          <w:rFonts w:ascii="Arial" w:hAnsi="Arial" w:cs="Arial"/>
          <w:b/>
          <w:bCs/>
          <w:sz w:val="20"/>
          <w:szCs w:val="20"/>
        </w:rPr>
      </w:pPr>
    </w:p>
    <w:p w14:paraId="18C80AFC" w14:textId="77777777" w:rsidR="00A0111D" w:rsidRDefault="00A0111D">
      <w:pPr>
        <w:numPr>
          <w:ilvl w:val="1"/>
          <w:numId w:val="1"/>
        </w:numPr>
        <w:jc w:val="both"/>
        <w:rPr>
          <w:rFonts w:ascii="Arial" w:hAnsi="Arial" w:cs="Arial"/>
          <w:sz w:val="20"/>
          <w:szCs w:val="20"/>
        </w:rPr>
      </w:pPr>
      <w:r>
        <w:rPr>
          <w:rFonts w:ascii="Arial" w:hAnsi="Arial" w:cs="Arial"/>
          <w:b/>
          <w:bCs/>
          <w:sz w:val="20"/>
          <w:szCs w:val="20"/>
        </w:rPr>
        <w:t>Une priorité d</w:t>
      </w:r>
      <w:r w:rsidR="00931FB1">
        <w:rPr>
          <w:rFonts w:ascii="Arial" w:hAnsi="Arial" w:cs="Arial"/>
          <w:b/>
          <w:bCs/>
          <w:sz w:val="20"/>
          <w:szCs w:val="20"/>
        </w:rPr>
        <w:t>e l’Architecture régionale de sécurité maritime</w:t>
      </w:r>
    </w:p>
    <w:p w14:paraId="4D5A32F3" w14:textId="77777777" w:rsidR="00A0111D" w:rsidRDefault="00A0111D">
      <w:pPr>
        <w:spacing w:after="0" w:line="100" w:lineRule="atLeast"/>
        <w:jc w:val="both"/>
        <w:rPr>
          <w:rFonts w:ascii="Arial" w:hAnsi="Arial" w:cs="Arial"/>
          <w:sz w:val="20"/>
          <w:szCs w:val="20"/>
        </w:rPr>
      </w:pPr>
      <w:r>
        <w:rPr>
          <w:rFonts w:ascii="Arial" w:hAnsi="Arial" w:cs="Arial"/>
          <w:sz w:val="20"/>
          <w:szCs w:val="20"/>
        </w:rPr>
        <w:t xml:space="preserve">Dans le cadre du programme MASE, financé par l’Union européenne (UE), la Commission de l’océan Indien (COI) a posé les fondations d’une </w:t>
      </w:r>
      <w:r>
        <w:rPr>
          <w:rFonts w:ascii="Arial" w:hAnsi="Arial" w:cs="Arial"/>
          <w:b/>
          <w:bCs/>
          <w:sz w:val="20"/>
          <w:szCs w:val="20"/>
        </w:rPr>
        <w:t xml:space="preserve">architecture régionale de sécurité maritime, (ARSM) </w:t>
      </w:r>
      <w:r>
        <w:rPr>
          <w:rFonts w:ascii="Arial" w:hAnsi="Arial" w:cs="Arial"/>
          <w:sz w:val="20"/>
          <w:szCs w:val="20"/>
        </w:rPr>
        <w:t xml:space="preserve">s’appuyant sur deux centres complémentaires, le CRFIM (centre régional de fusion de l’information maritime, installé à </w:t>
      </w:r>
      <w:r w:rsidR="00F06012" w:rsidRPr="00EF08B8">
        <w:rPr>
          <w:rFonts w:ascii="Arial" w:hAnsi="Arial" w:cs="Arial"/>
          <w:sz w:val="20"/>
          <w:szCs w:val="20"/>
        </w:rPr>
        <w:t>Antana</w:t>
      </w:r>
      <w:r w:rsidR="00EF08B8" w:rsidRPr="00EF08B8">
        <w:rPr>
          <w:rFonts w:ascii="Arial" w:hAnsi="Arial" w:cs="Arial"/>
          <w:sz w:val="20"/>
          <w:szCs w:val="20"/>
        </w:rPr>
        <w:t>na</w:t>
      </w:r>
      <w:r w:rsidR="00F06012" w:rsidRPr="00EF08B8">
        <w:rPr>
          <w:rFonts w:ascii="Arial" w:hAnsi="Arial" w:cs="Arial"/>
          <w:sz w:val="20"/>
          <w:szCs w:val="20"/>
        </w:rPr>
        <w:t xml:space="preserve">rivo - </w:t>
      </w:r>
      <w:r w:rsidR="00EF08B8" w:rsidRPr="00EF08B8">
        <w:rPr>
          <w:rFonts w:ascii="Arial" w:hAnsi="Arial" w:cs="Arial"/>
          <w:sz w:val="20"/>
          <w:szCs w:val="20"/>
        </w:rPr>
        <w:t>Madagascar</w:t>
      </w:r>
      <w:r w:rsidRPr="00EF08B8">
        <w:rPr>
          <w:rFonts w:ascii="Arial" w:hAnsi="Arial" w:cs="Arial"/>
          <w:sz w:val="20"/>
          <w:szCs w:val="20"/>
        </w:rPr>
        <w:t xml:space="preserve">) et le CRCO (centre régional de coordination des opérations, sis </w:t>
      </w:r>
      <w:r w:rsidR="00EF08B8" w:rsidRPr="00EF08B8">
        <w:rPr>
          <w:rFonts w:ascii="Arial" w:hAnsi="Arial" w:cs="Arial"/>
          <w:sz w:val="20"/>
          <w:szCs w:val="20"/>
        </w:rPr>
        <w:t xml:space="preserve">à Mahé </w:t>
      </w:r>
      <w:r w:rsidRPr="00EF08B8">
        <w:rPr>
          <w:rFonts w:ascii="Arial" w:hAnsi="Arial" w:cs="Arial"/>
          <w:sz w:val="20"/>
          <w:szCs w:val="20"/>
        </w:rPr>
        <w:t>aux</w:t>
      </w:r>
      <w:r>
        <w:rPr>
          <w:rFonts w:ascii="Arial" w:hAnsi="Arial" w:cs="Arial"/>
          <w:sz w:val="20"/>
          <w:szCs w:val="20"/>
        </w:rPr>
        <w:t xml:space="preserve"> Seychelles), respectivement issus d’un accord régional créant un mécanisme régional d’échange et de partage d’informations maritimes, ainsi </w:t>
      </w:r>
      <w:proofErr w:type="spellStart"/>
      <w:r w:rsidR="00F06012">
        <w:rPr>
          <w:rFonts w:ascii="Arial" w:hAnsi="Arial" w:cs="Arial"/>
          <w:sz w:val="20"/>
          <w:szCs w:val="20"/>
        </w:rPr>
        <w:t>qu</w:t>
      </w:r>
      <w:proofErr w:type="spellEnd"/>
      <w:r w:rsidR="00F06012">
        <w:rPr>
          <w:rFonts w:ascii="Arial" w:hAnsi="Arial" w:cs="Arial"/>
          <w:sz w:val="20"/>
          <w:szCs w:val="20"/>
        </w:rPr>
        <w:t xml:space="preserve"> un</w:t>
      </w:r>
      <w:r>
        <w:rPr>
          <w:rFonts w:ascii="Arial" w:hAnsi="Arial" w:cs="Arial"/>
          <w:sz w:val="20"/>
          <w:szCs w:val="20"/>
        </w:rPr>
        <w:t xml:space="preserve"> accord sur la coordination de</w:t>
      </w:r>
      <w:r w:rsidR="00F06012">
        <w:rPr>
          <w:rFonts w:ascii="Arial" w:hAnsi="Arial" w:cs="Arial"/>
          <w:sz w:val="20"/>
          <w:szCs w:val="20"/>
        </w:rPr>
        <w:t>s opérations en mer</w:t>
      </w:r>
      <w:r>
        <w:rPr>
          <w:rFonts w:ascii="Arial" w:hAnsi="Arial" w:cs="Arial"/>
          <w:sz w:val="20"/>
          <w:szCs w:val="20"/>
        </w:rPr>
        <w:t xml:space="preserve"> </w:t>
      </w:r>
    </w:p>
    <w:p w14:paraId="1861601C" w14:textId="77777777" w:rsidR="00A0111D" w:rsidRDefault="00A0111D">
      <w:pPr>
        <w:spacing w:after="0" w:line="100" w:lineRule="atLeast"/>
        <w:jc w:val="both"/>
        <w:rPr>
          <w:rFonts w:ascii="Arial" w:hAnsi="Arial" w:cs="Arial"/>
          <w:sz w:val="20"/>
          <w:szCs w:val="20"/>
        </w:rPr>
      </w:pPr>
    </w:p>
    <w:p w14:paraId="6AB0BEC0" w14:textId="77777777" w:rsidR="00A0111D" w:rsidRDefault="00A0111D">
      <w:pPr>
        <w:spacing w:after="0" w:line="100" w:lineRule="atLeast"/>
        <w:jc w:val="both"/>
        <w:rPr>
          <w:rFonts w:ascii="Arial" w:hAnsi="Arial" w:cs="Arial"/>
          <w:sz w:val="20"/>
          <w:szCs w:val="20"/>
        </w:rPr>
      </w:pPr>
      <w:r>
        <w:rPr>
          <w:rFonts w:ascii="Arial" w:hAnsi="Arial" w:cs="Arial"/>
          <w:sz w:val="20"/>
          <w:szCs w:val="20"/>
        </w:rPr>
        <w:t xml:space="preserve">Au titre du programme </w:t>
      </w:r>
      <w:r>
        <w:rPr>
          <w:rFonts w:ascii="Arial" w:hAnsi="Arial" w:cs="Arial"/>
          <w:i/>
          <w:iCs/>
          <w:sz w:val="20"/>
          <w:szCs w:val="20"/>
        </w:rPr>
        <w:t xml:space="preserve">Safe </w:t>
      </w:r>
      <w:proofErr w:type="spellStart"/>
      <w:r>
        <w:rPr>
          <w:rFonts w:ascii="Arial" w:hAnsi="Arial" w:cs="Arial"/>
          <w:i/>
          <w:iCs/>
          <w:sz w:val="20"/>
          <w:szCs w:val="20"/>
        </w:rPr>
        <w:t>Seas</w:t>
      </w:r>
      <w:proofErr w:type="spellEnd"/>
      <w:r>
        <w:rPr>
          <w:rFonts w:ascii="Arial" w:hAnsi="Arial" w:cs="Arial"/>
          <w:i/>
          <w:iCs/>
          <w:sz w:val="20"/>
          <w:szCs w:val="20"/>
        </w:rPr>
        <w:t xml:space="preserve"> </w:t>
      </w:r>
      <w:proofErr w:type="spellStart"/>
      <w:r>
        <w:rPr>
          <w:rFonts w:ascii="Arial" w:hAnsi="Arial" w:cs="Arial"/>
          <w:i/>
          <w:iCs/>
          <w:sz w:val="20"/>
          <w:szCs w:val="20"/>
        </w:rPr>
        <w:t>Africa</w:t>
      </w:r>
      <w:proofErr w:type="spellEnd"/>
      <w:r>
        <w:rPr>
          <w:rFonts w:ascii="Arial" w:hAnsi="Arial" w:cs="Arial"/>
          <w:i/>
          <w:iCs/>
          <w:sz w:val="20"/>
          <w:szCs w:val="20"/>
        </w:rPr>
        <w:t>,</w:t>
      </w:r>
      <w:r>
        <w:rPr>
          <w:rFonts w:ascii="Arial" w:hAnsi="Arial" w:cs="Arial"/>
          <w:sz w:val="20"/>
          <w:szCs w:val="20"/>
        </w:rPr>
        <w:t xml:space="preserve"> prolongement de MASE, </w:t>
      </w:r>
      <w:bookmarkStart w:id="1" w:name="_Hlk182330258"/>
      <w:r>
        <w:rPr>
          <w:rFonts w:ascii="Arial" w:hAnsi="Arial" w:cs="Arial"/>
          <w:sz w:val="20"/>
          <w:szCs w:val="20"/>
        </w:rPr>
        <w:t>le secrétariat général de la COI s'est vu confier la responsabilité</w:t>
      </w:r>
      <w:r w:rsidR="00F06012">
        <w:rPr>
          <w:rFonts w:ascii="Arial" w:hAnsi="Arial" w:cs="Arial"/>
          <w:sz w:val="20"/>
          <w:szCs w:val="20"/>
        </w:rPr>
        <w:t xml:space="preserve"> </w:t>
      </w:r>
      <w:r w:rsidR="00EF08B8">
        <w:rPr>
          <w:rFonts w:ascii="Arial" w:hAnsi="Arial" w:cs="Arial"/>
          <w:sz w:val="20"/>
          <w:szCs w:val="20"/>
        </w:rPr>
        <w:t>d’</w:t>
      </w:r>
      <w:r w:rsidR="00F06012">
        <w:rPr>
          <w:rFonts w:ascii="Arial" w:hAnsi="Arial" w:cs="Arial"/>
          <w:sz w:val="20"/>
          <w:szCs w:val="20"/>
        </w:rPr>
        <w:t xml:space="preserve">accompagner les deux </w:t>
      </w:r>
      <w:r>
        <w:rPr>
          <w:rFonts w:ascii="Arial" w:hAnsi="Arial" w:cs="Arial"/>
          <w:sz w:val="20"/>
          <w:szCs w:val="20"/>
        </w:rPr>
        <w:t>centres régionaux, au même titre que celles des Etats côtiers qui en exprimeront la demande</w:t>
      </w:r>
      <w:r w:rsidR="00F06012">
        <w:rPr>
          <w:rFonts w:ascii="Arial" w:hAnsi="Arial" w:cs="Arial"/>
          <w:sz w:val="20"/>
          <w:szCs w:val="20"/>
        </w:rPr>
        <w:t xml:space="preserve"> dans le renforcement des capacités opérationnelles</w:t>
      </w:r>
      <w:r>
        <w:rPr>
          <w:rFonts w:ascii="Arial" w:hAnsi="Arial" w:cs="Arial"/>
          <w:sz w:val="20"/>
          <w:szCs w:val="20"/>
        </w:rPr>
        <w:t xml:space="preserve">, dans l’objectif de développer une culture opérationnelle commune. Cependant, les besoins de formation identifiés dans le cadre de MASE ont mis en exergue le caractère lacunaire et dépourvu de cohérence </w:t>
      </w:r>
      <w:r w:rsidR="00F06012">
        <w:rPr>
          <w:rFonts w:ascii="Arial" w:hAnsi="Arial" w:cs="Arial"/>
          <w:sz w:val="20"/>
          <w:szCs w:val="20"/>
        </w:rPr>
        <w:t xml:space="preserve">l’ensemble </w:t>
      </w:r>
      <w:r>
        <w:rPr>
          <w:rFonts w:ascii="Arial" w:hAnsi="Arial" w:cs="Arial"/>
          <w:sz w:val="20"/>
          <w:szCs w:val="20"/>
        </w:rPr>
        <w:t xml:space="preserve">de l’offre de formation disponible dans la région en matière de sécurité et de sûreté maritimes, </w:t>
      </w:r>
      <w:bookmarkEnd w:id="1"/>
      <w:r>
        <w:rPr>
          <w:rFonts w:ascii="Arial" w:hAnsi="Arial" w:cs="Arial"/>
          <w:sz w:val="20"/>
          <w:szCs w:val="20"/>
        </w:rPr>
        <w:t>en l’absence de structure similaire à l’Institut de sécurité maritime inter-régional (ISMI) d’Abidjan en Afrique de l’Ouest</w:t>
      </w:r>
      <w:r w:rsidR="00F06012">
        <w:rPr>
          <w:rFonts w:ascii="Arial" w:hAnsi="Arial" w:cs="Arial"/>
          <w:sz w:val="20"/>
          <w:szCs w:val="20"/>
        </w:rPr>
        <w:t xml:space="preserve"> ou dans </w:t>
      </w:r>
      <w:r w:rsidR="00EF08B8">
        <w:rPr>
          <w:rFonts w:ascii="Arial" w:hAnsi="Arial" w:cs="Arial"/>
          <w:sz w:val="20"/>
          <w:szCs w:val="20"/>
        </w:rPr>
        <w:t>d’autres</w:t>
      </w:r>
      <w:r w:rsidR="00F06012">
        <w:rPr>
          <w:rFonts w:ascii="Arial" w:hAnsi="Arial" w:cs="Arial"/>
          <w:sz w:val="20"/>
          <w:szCs w:val="20"/>
        </w:rPr>
        <w:t xml:space="preserve"> </w:t>
      </w:r>
      <w:r w:rsidR="00EF08B8">
        <w:rPr>
          <w:rFonts w:ascii="Arial" w:hAnsi="Arial" w:cs="Arial"/>
          <w:sz w:val="20"/>
          <w:szCs w:val="20"/>
        </w:rPr>
        <w:t>région</w:t>
      </w:r>
      <w:r>
        <w:rPr>
          <w:rFonts w:ascii="Arial" w:hAnsi="Arial" w:cs="Arial"/>
          <w:sz w:val="20"/>
          <w:szCs w:val="20"/>
        </w:rPr>
        <w:t xml:space="preserve">. </w:t>
      </w:r>
    </w:p>
    <w:p w14:paraId="1992CEE1" w14:textId="77777777" w:rsidR="00A0111D" w:rsidRDefault="00A0111D">
      <w:pPr>
        <w:spacing w:after="0" w:line="100" w:lineRule="atLeast"/>
        <w:jc w:val="both"/>
        <w:rPr>
          <w:rFonts w:ascii="Arial" w:hAnsi="Arial" w:cs="Arial"/>
          <w:sz w:val="20"/>
          <w:szCs w:val="20"/>
        </w:rPr>
      </w:pPr>
    </w:p>
    <w:p w14:paraId="30173C45" w14:textId="77777777" w:rsidR="00A0111D" w:rsidRDefault="00A0111D">
      <w:pPr>
        <w:numPr>
          <w:ilvl w:val="1"/>
          <w:numId w:val="2"/>
        </w:numPr>
        <w:rPr>
          <w:rFonts w:ascii="Arial" w:hAnsi="Arial" w:cs="Arial"/>
          <w:sz w:val="20"/>
          <w:szCs w:val="20"/>
        </w:rPr>
      </w:pPr>
      <w:r>
        <w:rPr>
          <w:rFonts w:ascii="Arial" w:hAnsi="Arial" w:cs="Arial"/>
          <w:b/>
          <w:bCs/>
          <w:sz w:val="20"/>
          <w:szCs w:val="20"/>
        </w:rPr>
        <w:t xml:space="preserve"> Des partenaires réunis en consortium pour conduire une opération transnationale</w:t>
      </w:r>
    </w:p>
    <w:p w14:paraId="066FF531" w14:textId="77777777" w:rsidR="00A0111D" w:rsidRDefault="00A0111D">
      <w:pPr>
        <w:jc w:val="both"/>
        <w:rPr>
          <w:rFonts w:ascii="Arial" w:hAnsi="Arial" w:cs="Arial"/>
          <w:sz w:val="20"/>
          <w:szCs w:val="20"/>
        </w:rPr>
      </w:pPr>
      <w:bookmarkStart w:id="2" w:name="_Hlk182330633"/>
      <w:r>
        <w:rPr>
          <w:rFonts w:ascii="Arial" w:hAnsi="Arial" w:cs="Arial"/>
          <w:sz w:val="20"/>
          <w:szCs w:val="20"/>
        </w:rPr>
        <w:t xml:space="preserve">Partant de ce constat, le secrétariat général de la COI, la Région Réunion </w:t>
      </w:r>
      <w:r w:rsidR="00F06012">
        <w:rPr>
          <w:rFonts w:ascii="Arial" w:hAnsi="Arial" w:cs="Arial"/>
          <w:sz w:val="20"/>
          <w:szCs w:val="20"/>
        </w:rPr>
        <w:t xml:space="preserve">en </w:t>
      </w:r>
      <w:r>
        <w:rPr>
          <w:rFonts w:ascii="Arial" w:hAnsi="Arial" w:cs="Arial"/>
          <w:sz w:val="20"/>
          <w:szCs w:val="20"/>
        </w:rPr>
        <w:t xml:space="preserve">sa qualité de gestionnaire du programme européen Interreg Océan Indien 2021-2027, la direction de la coopération de sécurité et de défense (DCSD) du ministère des affaires étrangères de la France, et l’École d’apprentissage maritime de la Réunion (EAMR), ont décidé en décembre 2023 d’œuvrer conjointement à la </w:t>
      </w:r>
      <w:proofErr w:type="spellStart"/>
      <w:r>
        <w:rPr>
          <w:rFonts w:ascii="Arial" w:hAnsi="Arial" w:cs="Arial"/>
          <w:sz w:val="20"/>
          <w:szCs w:val="20"/>
        </w:rPr>
        <w:t>pré-figuration</w:t>
      </w:r>
      <w:proofErr w:type="spellEnd"/>
      <w:r>
        <w:rPr>
          <w:rFonts w:ascii="Arial" w:hAnsi="Arial" w:cs="Arial"/>
          <w:sz w:val="20"/>
          <w:szCs w:val="20"/>
        </w:rPr>
        <w:t xml:space="preserve"> de la structure à vocation régionale </w:t>
      </w:r>
      <w:bookmarkEnd w:id="2"/>
    </w:p>
    <w:p w14:paraId="101E0F47" w14:textId="77777777" w:rsidR="00A0111D" w:rsidRDefault="00A0111D">
      <w:pPr>
        <w:jc w:val="both"/>
        <w:rPr>
          <w:rFonts w:ascii="Arial" w:hAnsi="Arial" w:cs="Arial"/>
          <w:sz w:val="20"/>
          <w:szCs w:val="20"/>
        </w:rPr>
      </w:pPr>
      <w:r>
        <w:rPr>
          <w:rFonts w:ascii="Arial" w:hAnsi="Arial" w:cs="Arial"/>
          <w:sz w:val="20"/>
          <w:szCs w:val="20"/>
        </w:rPr>
        <w:t xml:space="preserve">La méthode, définie conjointement par ce consortium, consiste à déterminer progressivement, dans le cadre d'une opération co-financée par la DCSD et le programme Interreg Océan Indien 2021-2027, le modèle juridique, économique et pédagogique. Il s'agit plus précisément, dans une phase expérimentale de deux ans, de constituer une petite équipe chargée de construire un catalogue et d’organiser des formations répondant au plus juste et à un niveau d’excellence à la demande des administrations et agences gouvernementales exerçant des compétences dans le domaine de la sécurité et de la sûreté maritimes. </w:t>
      </w:r>
    </w:p>
    <w:p w14:paraId="6C3CCC4A" w14:textId="77777777" w:rsidR="00A0111D" w:rsidRDefault="00A0111D">
      <w:pPr>
        <w:jc w:val="both"/>
        <w:rPr>
          <w:rFonts w:ascii="Arial" w:hAnsi="Arial" w:cs="Arial"/>
          <w:sz w:val="20"/>
          <w:szCs w:val="20"/>
        </w:rPr>
      </w:pPr>
      <w:r>
        <w:rPr>
          <w:rFonts w:ascii="Arial" w:hAnsi="Arial" w:cs="Arial"/>
          <w:sz w:val="20"/>
          <w:szCs w:val="20"/>
        </w:rPr>
        <w:t xml:space="preserve">Aussi a-t-il été décidé en novembre 2023 par la DCSD et le </w:t>
      </w:r>
      <w:r w:rsidR="00931FB1">
        <w:rPr>
          <w:rFonts w:ascii="Arial" w:hAnsi="Arial" w:cs="Arial"/>
          <w:sz w:val="20"/>
          <w:szCs w:val="20"/>
        </w:rPr>
        <w:t>S</w:t>
      </w:r>
      <w:r>
        <w:rPr>
          <w:rFonts w:ascii="Arial" w:hAnsi="Arial" w:cs="Arial"/>
          <w:sz w:val="20"/>
          <w:szCs w:val="20"/>
        </w:rPr>
        <w:t>ecréta</w:t>
      </w:r>
      <w:r w:rsidR="00931FB1">
        <w:rPr>
          <w:rFonts w:ascii="Arial" w:hAnsi="Arial" w:cs="Arial"/>
          <w:sz w:val="20"/>
          <w:szCs w:val="20"/>
        </w:rPr>
        <w:t xml:space="preserve">ire </w:t>
      </w:r>
      <w:r>
        <w:rPr>
          <w:rFonts w:ascii="Arial" w:hAnsi="Arial" w:cs="Arial"/>
          <w:sz w:val="20"/>
          <w:szCs w:val="20"/>
        </w:rPr>
        <w:t xml:space="preserve">général de la COI de confier la mission de coordination de cette opération Interreg au coopérant déjà prévu par ailleurs </w:t>
      </w:r>
      <w:r w:rsidR="00A4228F">
        <w:rPr>
          <w:rFonts w:ascii="Arial" w:hAnsi="Arial" w:cs="Arial"/>
          <w:sz w:val="20"/>
          <w:szCs w:val="20"/>
        </w:rPr>
        <w:t xml:space="preserve">d’être mis à la disposition </w:t>
      </w:r>
      <w:r>
        <w:rPr>
          <w:rFonts w:ascii="Arial" w:hAnsi="Arial" w:cs="Arial"/>
          <w:sz w:val="20"/>
          <w:szCs w:val="20"/>
        </w:rPr>
        <w:t xml:space="preserve">du secrétariat général pour </w:t>
      </w:r>
      <w:r w:rsidR="00A4228F">
        <w:rPr>
          <w:rFonts w:ascii="Arial" w:hAnsi="Arial" w:cs="Arial"/>
          <w:sz w:val="20"/>
          <w:szCs w:val="20"/>
        </w:rPr>
        <w:t>œuvrer</w:t>
      </w:r>
      <w:r>
        <w:rPr>
          <w:rFonts w:ascii="Arial" w:hAnsi="Arial" w:cs="Arial"/>
          <w:sz w:val="20"/>
          <w:szCs w:val="20"/>
        </w:rPr>
        <w:t xml:space="preserve"> au renforcement de l'ARSM, au titre d'une contribution volontaire de la </w:t>
      </w:r>
      <w:r w:rsidR="00EF08B8">
        <w:rPr>
          <w:rFonts w:ascii="Arial" w:hAnsi="Arial" w:cs="Arial"/>
          <w:sz w:val="20"/>
          <w:szCs w:val="20"/>
        </w:rPr>
        <w:t>France.</w:t>
      </w:r>
    </w:p>
    <w:p w14:paraId="7376273E" w14:textId="77777777" w:rsidR="00931FB1" w:rsidRDefault="00931FB1">
      <w:pPr>
        <w:jc w:val="both"/>
        <w:rPr>
          <w:rFonts w:ascii="Arial" w:hAnsi="Arial" w:cs="Arial"/>
          <w:b/>
          <w:bCs/>
          <w:sz w:val="20"/>
          <w:szCs w:val="20"/>
          <w:u w:val="single"/>
        </w:rPr>
      </w:pPr>
    </w:p>
    <w:p w14:paraId="16CC792D" w14:textId="77777777" w:rsidR="00A0111D" w:rsidRDefault="00A0111D">
      <w:pPr>
        <w:rPr>
          <w:rFonts w:ascii="Arial" w:hAnsi="Arial" w:cs="Arial"/>
          <w:sz w:val="20"/>
          <w:szCs w:val="20"/>
        </w:rPr>
      </w:pPr>
      <w:r>
        <w:rPr>
          <w:rFonts w:ascii="Arial" w:hAnsi="Arial" w:cs="Arial"/>
          <w:b/>
          <w:bCs/>
          <w:sz w:val="20"/>
          <w:szCs w:val="20"/>
          <w:u w:val="single"/>
        </w:rPr>
        <w:t>2. Une convention de partenariat qui vient initier le processus de définition de l'opération INTERREG et non l'entériner</w:t>
      </w:r>
    </w:p>
    <w:p w14:paraId="3D516C5E" w14:textId="77777777" w:rsidR="00A0111D" w:rsidRDefault="00A0111D">
      <w:pPr>
        <w:jc w:val="both"/>
        <w:rPr>
          <w:rFonts w:ascii="Arial" w:hAnsi="Arial" w:cs="Arial"/>
          <w:b/>
          <w:bCs/>
          <w:sz w:val="20"/>
          <w:szCs w:val="20"/>
        </w:rPr>
      </w:pPr>
      <w:r>
        <w:rPr>
          <w:rFonts w:ascii="Arial" w:hAnsi="Arial" w:cs="Arial"/>
          <w:sz w:val="20"/>
          <w:szCs w:val="20"/>
        </w:rPr>
        <w:t xml:space="preserve">La signature d'une convention entre les membres du consortium constitue l'indispensable préalable au dépôt d'un dossier de demande de subvention auprès du service instructeur du programme Interreg. Le contenu du dossier, notamment les priorités d'actions de formation et technique, seront ensuite définies collégialement par les Etats-membres, représentés au sein d'un comité de pilotage de l'opération Interreg. </w:t>
      </w:r>
    </w:p>
    <w:p w14:paraId="77B734C0" w14:textId="77777777" w:rsidR="00A0111D" w:rsidRDefault="00A0111D">
      <w:pPr>
        <w:numPr>
          <w:ilvl w:val="1"/>
          <w:numId w:val="3"/>
        </w:numPr>
        <w:rPr>
          <w:rFonts w:ascii="Arial" w:hAnsi="Arial" w:cs="Arial"/>
          <w:sz w:val="20"/>
          <w:szCs w:val="20"/>
        </w:rPr>
      </w:pPr>
      <w:r>
        <w:rPr>
          <w:rFonts w:ascii="Arial" w:hAnsi="Arial" w:cs="Arial"/>
          <w:b/>
          <w:bCs/>
          <w:sz w:val="20"/>
          <w:szCs w:val="20"/>
        </w:rPr>
        <w:t>La formalisation du partenariat entre membres du consortium, un prérequis pour pouvoir déposer un dossier de demande de subvention du programme Interreg</w:t>
      </w:r>
    </w:p>
    <w:p w14:paraId="4A6FAB73" w14:textId="77777777" w:rsidR="00A0111D" w:rsidRDefault="00A0111D">
      <w:pPr>
        <w:jc w:val="both"/>
        <w:rPr>
          <w:rFonts w:ascii="Arial" w:hAnsi="Arial" w:cs="Arial"/>
          <w:b/>
          <w:bCs/>
          <w:sz w:val="20"/>
          <w:szCs w:val="20"/>
        </w:rPr>
      </w:pPr>
      <w:r>
        <w:rPr>
          <w:rFonts w:ascii="Arial" w:hAnsi="Arial" w:cs="Arial"/>
          <w:sz w:val="20"/>
          <w:szCs w:val="20"/>
        </w:rPr>
        <w:t xml:space="preserve">Il s'agit en effet prioritairement de : </w:t>
      </w:r>
    </w:p>
    <w:p w14:paraId="391144CD" w14:textId="77777777" w:rsidR="00A0111D" w:rsidRDefault="00A0111D">
      <w:pPr>
        <w:numPr>
          <w:ilvl w:val="0"/>
          <w:numId w:val="5"/>
        </w:numPr>
        <w:jc w:val="both"/>
        <w:rPr>
          <w:rFonts w:ascii="Arial" w:hAnsi="Arial" w:cs="Arial"/>
          <w:sz w:val="20"/>
          <w:szCs w:val="20"/>
        </w:rPr>
      </w:pPr>
      <w:r>
        <w:rPr>
          <w:rFonts w:ascii="Arial" w:hAnsi="Arial" w:cs="Arial"/>
          <w:b/>
          <w:bCs/>
          <w:sz w:val="20"/>
          <w:szCs w:val="20"/>
        </w:rPr>
        <w:lastRenderedPageBreak/>
        <w:t>Désigner un « chef de file » chargé de déposer et de porter le dossier auprès du service d'instructeur, notamment en apportant toutes les garanties juridiques et comptables requises</w:t>
      </w:r>
    </w:p>
    <w:p w14:paraId="66894722" w14:textId="77777777" w:rsidR="00A0111D" w:rsidRDefault="00A0111D">
      <w:pPr>
        <w:spacing w:after="0"/>
        <w:jc w:val="both"/>
        <w:rPr>
          <w:rFonts w:ascii="Arial" w:hAnsi="Arial" w:cs="Arial"/>
          <w:sz w:val="20"/>
          <w:szCs w:val="20"/>
        </w:rPr>
      </w:pPr>
      <w:r>
        <w:rPr>
          <w:rFonts w:ascii="Arial" w:hAnsi="Arial" w:cs="Arial"/>
          <w:sz w:val="20"/>
          <w:szCs w:val="20"/>
        </w:rPr>
        <w:t>Le principal objet de la convention est ainsi de désigner l'Ecole d'apprentissage maritime de la Réunion (EAMR) comme chef de file du consortium, et de préciser que celle-ci endossera à ce titre la charge administrative correspondante ainsi que les responsabilités comptables et budgétaires que cela emporte vis-à-vis des partenaires et des corps de contrôle.</w:t>
      </w:r>
    </w:p>
    <w:p w14:paraId="3B7ADB50" w14:textId="77777777" w:rsidR="00A0111D" w:rsidRDefault="00A0111D">
      <w:pPr>
        <w:spacing w:after="0"/>
        <w:jc w:val="both"/>
        <w:rPr>
          <w:rFonts w:ascii="Arial" w:hAnsi="Arial" w:cs="Arial"/>
          <w:sz w:val="20"/>
          <w:szCs w:val="20"/>
        </w:rPr>
      </w:pPr>
    </w:p>
    <w:p w14:paraId="733C5E7B" w14:textId="77777777" w:rsidR="00A0111D" w:rsidRDefault="00A0111D">
      <w:pPr>
        <w:spacing w:after="0"/>
        <w:jc w:val="both"/>
        <w:rPr>
          <w:rFonts w:ascii="Arial" w:hAnsi="Arial" w:cs="Arial"/>
          <w:sz w:val="20"/>
          <w:szCs w:val="20"/>
        </w:rPr>
      </w:pPr>
      <w:r>
        <w:rPr>
          <w:rFonts w:ascii="Arial" w:hAnsi="Arial" w:cs="Arial"/>
          <w:sz w:val="20"/>
          <w:szCs w:val="20"/>
        </w:rPr>
        <w:t xml:space="preserve">Il convient de préciser d'emblée le rôle </w:t>
      </w:r>
      <w:r w:rsidR="00EF08B8">
        <w:rPr>
          <w:rFonts w:ascii="Arial" w:hAnsi="Arial" w:cs="Arial"/>
          <w:sz w:val="20"/>
          <w:szCs w:val="20"/>
        </w:rPr>
        <w:t>d</w:t>
      </w:r>
      <w:proofErr w:type="gramStart"/>
      <w:r w:rsidR="00EF08B8">
        <w:rPr>
          <w:rFonts w:ascii="Arial" w:hAnsi="Arial" w:cs="Arial"/>
          <w:sz w:val="20"/>
          <w:szCs w:val="20"/>
        </w:rPr>
        <w:t>’«</w:t>
      </w:r>
      <w:proofErr w:type="gramEnd"/>
      <w:r>
        <w:rPr>
          <w:rFonts w:ascii="Arial" w:hAnsi="Arial" w:cs="Arial"/>
          <w:sz w:val="20"/>
          <w:szCs w:val="20"/>
        </w:rPr>
        <w:t> incubateur » confié à l'EAMR :</w:t>
      </w:r>
    </w:p>
    <w:p w14:paraId="6E018D64" w14:textId="77777777" w:rsidR="00A0111D" w:rsidRDefault="00A0111D">
      <w:pPr>
        <w:spacing w:after="0"/>
        <w:jc w:val="both"/>
        <w:rPr>
          <w:rFonts w:ascii="Arial" w:hAnsi="Arial" w:cs="Arial"/>
          <w:sz w:val="20"/>
          <w:szCs w:val="20"/>
        </w:rPr>
      </w:pPr>
    </w:p>
    <w:p w14:paraId="4C9A2725" w14:textId="77777777" w:rsidR="00A0111D" w:rsidRDefault="00A0111D">
      <w:pPr>
        <w:pStyle w:val="Contenudetableau"/>
        <w:jc w:val="both"/>
        <w:rPr>
          <w:rFonts w:ascii="Arial" w:hAnsi="Arial" w:cs="Arial"/>
          <w:b/>
          <w:bCs/>
          <w:sz w:val="20"/>
          <w:szCs w:val="20"/>
        </w:rPr>
      </w:pPr>
      <w:r>
        <w:rPr>
          <w:rFonts w:ascii="Arial" w:hAnsi="Arial" w:cs="Arial"/>
          <w:b/>
          <w:bCs/>
          <w:sz w:val="20"/>
          <w:szCs w:val="20"/>
        </w:rPr>
        <w:t xml:space="preserve">-l'EAMR n'est pas et n'a pas vocation à devenir l'Institut : </w:t>
      </w:r>
      <w:r>
        <w:rPr>
          <w:rFonts w:ascii="Arial" w:hAnsi="Arial" w:cs="Arial"/>
          <w:sz w:val="20"/>
          <w:szCs w:val="20"/>
        </w:rPr>
        <w:t>elle ne sera pas chargée de délivrer les formations qui seront proposées par l'Institut, ni même de les héberger systématiquement dans ses locaux ;</w:t>
      </w:r>
    </w:p>
    <w:p w14:paraId="50DC8CFC" w14:textId="77777777" w:rsidR="00A0111D" w:rsidRDefault="00A0111D">
      <w:pPr>
        <w:pStyle w:val="Contenudetableau"/>
        <w:jc w:val="both"/>
        <w:rPr>
          <w:rFonts w:ascii="Arial" w:hAnsi="Arial" w:cs="Arial"/>
          <w:b/>
          <w:bCs/>
          <w:sz w:val="20"/>
          <w:szCs w:val="20"/>
        </w:rPr>
      </w:pPr>
      <w:r>
        <w:rPr>
          <w:rFonts w:ascii="Arial" w:hAnsi="Arial" w:cs="Arial"/>
          <w:b/>
          <w:bCs/>
          <w:sz w:val="20"/>
          <w:szCs w:val="20"/>
        </w:rPr>
        <w:t xml:space="preserve">-l'EAMR n'en est que </w:t>
      </w:r>
      <w:r w:rsidR="00A4228F">
        <w:rPr>
          <w:rFonts w:ascii="Arial" w:hAnsi="Arial" w:cs="Arial"/>
          <w:b/>
          <w:bCs/>
          <w:sz w:val="20"/>
          <w:szCs w:val="20"/>
        </w:rPr>
        <w:t>l</w:t>
      </w:r>
      <w:proofErr w:type="gramStart"/>
      <w:r w:rsidR="00A4228F">
        <w:rPr>
          <w:rFonts w:ascii="Arial" w:hAnsi="Arial" w:cs="Arial"/>
          <w:b/>
          <w:bCs/>
          <w:sz w:val="20"/>
          <w:szCs w:val="20"/>
        </w:rPr>
        <w:t>’«</w:t>
      </w:r>
      <w:proofErr w:type="gramEnd"/>
      <w:r>
        <w:rPr>
          <w:rFonts w:ascii="Arial" w:hAnsi="Arial" w:cs="Arial"/>
          <w:b/>
          <w:bCs/>
          <w:sz w:val="20"/>
          <w:szCs w:val="20"/>
        </w:rPr>
        <w:t> incubateur » idéal </w:t>
      </w:r>
      <w:r>
        <w:rPr>
          <w:rFonts w:ascii="Arial" w:hAnsi="Arial" w:cs="Arial"/>
          <w:sz w:val="20"/>
          <w:szCs w:val="20"/>
        </w:rPr>
        <w:t>eu égard à sa capacité administrative et financière à gérer des fonds européens, les possibilités que lui offre son statut d'association d'appeler des financements de toute nature, les infrastructures et équipements dont elle dispose, son réseau et sa crédibilité au niveau régional, ainsi que ses liens forts avec les acteurs de l'économie maritime.</w:t>
      </w:r>
    </w:p>
    <w:p w14:paraId="38197185" w14:textId="77777777" w:rsidR="00A0111D" w:rsidRDefault="00A0111D">
      <w:pPr>
        <w:pStyle w:val="Contenudetableau"/>
        <w:numPr>
          <w:ilvl w:val="0"/>
          <w:numId w:val="6"/>
        </w:numPr>
        <w:jc w:val="both"/>
        <w:rPr>
          <w:rFonts w:ascii="Arial" w:hAnsi="Arial" w:cs="Arial"/>
          <w:sz w:val="20"/>
          <w:szCs w:val="20"/>
        </w:rPr>
      </w:pPr>
      <w:r>
        <w:rPr>
          <w:rFonts w:ascii="Arial" w:hAnsi="Arial" w:cs="Arial"/>
          <w:b/>
          <w:bCs/>
          <w:sz w:val="20"/>
          <w:szCs w:val="20"/>
        </w:rPr>
        <w:t xml:space="preserve">D'apporter </w:t>
      </w:r>
      <w:r w:rsidR="00A4228F">
        <w:rPr>
          <w:rFonts w:ascii="Arial" w:hAnsi="Arial" w:cs="Arial"/>
          <w:b/>
          <w:bCs/>
          <w:sz w:val="20"/>
          <w:szCs w:val="20"/>
        </w:rPr>
        <w:t>toutes les garanties</w:t>
      </w:r>
      <w:r>
        <w:rPr>
          <w:rFonts w:ascii="Arial" w:hAnsi="Arial" w:cs="Arial"/>
          <w:b/>
          <w:bCs/>
          <w:sz w:val="20"/>
          <w:szCs w:val="20"/>
        </w:rPr>
        <w:t xml:space="preserve"> au service-instructeur du programme Interreg quant à la robustesse du plan de financement proposé</w:t>
      </w:r>
    </w:p>
    <w:p w14:paraId="4324CA37" w14:textId="77777777" w:rsidR="00A0111D" w:rsidRDefault="00A0111D">
      <w:pPr>
        <w:pStyle w:val="Contenudetableau"/>
        <w:jc w:val="both"/>
        <w:rPr>
          <w:rFonts w:ascii="Arial" w:hAnsi="Arial" w:cs="Arial"/>
          <w:sz w:val="20"/>
          <w:szCs w:val="20"/>
        </w:rPr>
      </w:pPr>
      <w:r>
        <w:rPr>
          <w:rFonts w:ascii="Arial" w:hAnsi="Arial" w:cs="Arial"/>
          <w:sz w:val="20"/>
          <w:szCs w:val="20"/>
        </w:rPr>
        <w:t xml:space="preserve">L'objet de la convention est en outre d'attester de la disponibilité et de l'origine des « contreparties nationales » (ou « CPN ») qui doivent impérativement être apportées par un Etat-membre de l'UE pour pouvoir appeler des cofinancements de fonds structurels européens. </w:t>
      </w:r>
    </w:p>
    <w:p w14:paraId="756E8415" w14:textId="77777777" w:rsidR="00A0111D" w:rsidRDefault="00A0111D">
      <w:pPr>
        <w:pStyle w:val="Contenudetableau"/>
        <w:jc w:val="both"/>
        <w:rPr>
          <w:rFonts w:ascii="Arial" w:hAnsi="Arial" w:cs="Arial"/>
          <w:b/>
          <w:bCs/>
          <w:sz w:val="20"/>
          <w:szCs w:val="20"/>
        </w:rPr>
      </w:pPr>
      <w:r>
        <w:rPr>
          <w:rFonts w:ascii="Arial" w:hAnsi="Arial" w:cs="Arial"/>
          <w:sz w:val="20"/>
          <w:szCs w:val="20"/>
        </w:rPr>
        <w:t xml:space="preserve">En l'espèce, le projet de convention spécifie que l'expert en sécurité maritime mis à disposition du secrétariat général de COI par la DCSD consacrera 50% de son temps de travail à la coordination de ce projet, et qu'à ce titre les coûts salariaux correspondants (soit 50% de son salaire brut) serviront de co-financement à la subvention Interreg demandée.  </w:t>
      </w:r>
    </w:p>
    <w:p w14:paraId="2BCE0D3F" w14:textId="77777777" w:rsidR="00A0111D" w:rsidRDefault="00A0111D">
      <w:pPr>
        <w:numPr>
          <w:ilvl w:val="1"/>
          <w:numId w:val="4"/>
        </w:numPr>
        <w:jc w:val="both"/>
        <w:rPr>
          <w:rFonts w:ascii="Arial" w:hAnsi="Arial" w:cs="Arial"/>
          <w:bCs/>
          <w:sz w:val="20"/>
          <w:szCs w:val="20"/>
        </w:rPr>
      </w:pPr>
      <w:r>
        <w:rPr>
          <w:rFonts w:ascii="Arial" w:hAnsi="Arial" w:cs="Arial"/>
          <w:b/>
          <w:bCs/>
          <w:sz w:val="20"/>
          <w:szCs w:val="20"/>
        </w:rPr>
        <w:t>Les Etats-membres seront associés à la gouvernance et à la définition du contenu du projet dès dépôt du dossier de demande de subvention auprès du service-instructeur du programme Interreg</w:t>
      </w:r>
    </w:p>
    <w:p w14:paraId="1ADEE7DB" w14:textId="77777777" w:rsidR="00A0111D" w:rsidRDefault="00A0111D">
      <w:pPr>
        <w:jc w:val="both"/>
        <w:rPr>
          <w:rFonts w:ascii="Arial" w:hAnsi="Arial" w:cs="Arial"/>
          <w:bCs/>
          <w:sz w:val="20"/>
          <w:szCs w:val="20"/>
        </w:rPr>
      </w:pPr>
      <w:r>
        <w:rPr>
          <w:rFonts w:ascii="Arial" w:hAnsi="Arial" w:cs="Arial"/>
          <w:bCs/>
          <w:sz w:val="20"/>
          <w:szCs w:val="20"/>
        </w:rPr>
        <w:t>Si la convention a pour effet de soulager les Etats membres et le secrétariat général de la COI de tout engagement de ressources budgétaires, humaines ou administratives dans le montage puis la mise en œuvre du projet, ceux-ci seront bien évidemment étroitement associés à la définition et à priorisation des actions à mener.</w:t>
      </w:r>
    </w:p>
    <w:p w14:paraId="74717859" w14:textId="77777777" w:rsidR="00A0111D" w:rsidRDefault="00A0111D">
      <w:pPr>
        <w:jc w:val="both"/>
        <w:rPr>
          <w:rFonts w:ascii="Arial" w:hAnsi="Arial" w:cs="Arial"/>
          <w:sz w:val="20"/>
          <w:szCs w:val="20"/>
        </w:rPr>
      </w:pPr>
      <w:r>
        <w:rPr>
          <w:rFonts w:ascii="Arial" w:hAnsi="Arial" w:cs="Arial"/>
          <w:bCs/>
          <w:sz w:val="20"/>
          <w:szCs w:val="20"/>
        </w:rPr>
        <w:t xml:space="preserve">Un recensement précis des besoins de formation et d'appui de chaque Etat sera ainsi effectué dans les prochaines semaines par un expert mandaté pour ce faire par le secrétariat général de la COI dans le cadre du programme </w:t>
      </w:r>
      <w:r>
        <w:rPr>
          <w:rFonts w:ascii="Arial" w:hAnsi="Arial" w:cs="Arial"/>
          <w:bCs/>
          <w:i/>
          <w:iCs/>
          <w:sz w:val="20"/>
          <w:szCs w:val="20"/>
        </w:rPr>
        <w:t xml:space="preserve">Safe </w:t>
      </w:r>
      <w:proofErr w:type="spellStart"/>
      <w:r>
        <w:rPr>
          <w:rFonts w:ascii="Arial" w:hAnsi="Arial" w:cs="Arial"/>
          <w:bCs/>
          <w:i/>
          <w:iCs/>
          <w:sz w:val="20"/>
          <w:szCs w:val="20"/>
        </w:rPr>
        <w:t>Seas</w:t>
      </w:r>
      <w:proofErr w:type="spellEnd"/>
      <w:r>
        <w:rPr>
          <w:rFonts w:ascii="Arial" w:hAnsi="Arial" w:cs="Arial"/>
          <w:bCs/>
          <w:i/>
          <w:iCs/>
          <w:sz w:val="20"/>
          <w:szCs w:val="20"/>
        </w:rPr>
        <w:t xml:space="preserve"> </w:t>
      </w:r>
      <w:proofErr w:type="spellStart"/>
      <w:r>
        <w:rPr>
          <w:rFonts w:ascii="Arial" w:hAnsi="Arial" w:cs="Arial"/>
          <w:bCs/>
          <w:i/>
          <w:iCs/>
          <w:sz w:val="20"/>
          <w:szCs w:val="20"/>
        </w:rPr>
        <w:t>Africa</w:t>
      </w:r>
      <w:proofErr w:type="spellEnd"/>
      <w:r>
        <w:rPr>
          <w:rFonts w:ascii="Arial" w:hAnsi="Arial" w:cs="Arial"/>
          <w:bCs/>
          <w:sz w:val="20"/>
          <w:szCs w:val="20"/>
        </w:rPr>
        <w:t xml:space="preserve">. </w:t>
      </w:r>
    </w:p>
    <w:p w14:paraId="4022EC96" w14:textId="77777777" w:rsidR="00A0111D" w:rsidRDefault="00A0111D" w:rsidP="00931FB1">
      <w:pPr>
        <w:spacing w:after="0"/>
        <w:jc w:val="both"/>
        <w:rPr>
          <w:rFonts w:ascii="Arial" w:hAnsi="Arial" w:cs="Arial"/>
          <w:sz w:val="20"/>
          <w:szCs w:val="20"/>
        </w:rPr>
      </w:pPr>
      <w:r>
        <w:rPr>
          <w:rFonts w:ascii="Arial" w:hAnsi="Arial" w:cs="Arial"/>
          <w:sz w:val="20"/>
          <w:szCs w:val="20"/>
        </w:rPr>
        <w:t>Ce même expert sera chargé d</w:t>
      </w:r>
      <w:r w:rsidR="00931FB1">
        <w:rPr>
          <w:rFonts w:ascii="Arial" w:hAnsi="Arial" w:cs="Arial"/>
          <w:sz w:val="20"/>
          <w:szCs w:val="20"/>
        </w:rPr>
        <w:t>e faciliter la mise en place d’</w:t>
      </w:r>
      <w:r>
        <w:rPr>
          <w:rFonts w:ascii="Arial" w:hAnsi="Arial" w:cs="Arial"/>
          <w:sz w:val="20"/>
          <w:szCs w:val="20"/>
        </w:rPr>
        <w:t xml:space="preserve">un comité de pilotage régional du projet, au sein duquel chaque Etat membre sera représenté et aura ainsi la possibilité de faire valoir sa vision stratégique, ses idées et ses besoins. </w:t>
      </w:r>
    </w:p>
    <w:p w14:paraId="16DB12E2" w14:textId="77777777" w:rsidR="00A4228F" w:rsidRDefault="00A4228F">
      <w:pPr>
        <w:jc w:val="both"/>
        <w:rPr>
          <w:rFonts w:ascii="Arial" w:hAnsi="Arial" w:cs="Arial"/>
          <w:sz w:val="20"/>
          <w:szCs w:val="20"/>
        </w:rPr>
      </w:pPr>
    </w:p>
    <w:sectPr w:rsidR="00A4228F" w:rsidSect="00DE0A61">
      <w:headerReference w:type="default" r:id="rId7"/>
      <w:pgSz w:w="11906" w:h="16838"/>
      <w:pgMar w:top="1134" w:right="1134" w:bottom="964"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6AE124" w14:textId="77777777" w:rsidR="00A0111D" w:rsidRDefault="00A0111D" w:rsidP="00A0111D">
      <w:pPr>
        <w:spacing w:after="0" w:line="240" w:lineRule="auto"/>
      </w:pPr>
      <w:r>
        <w:separator/>
      </w:r>
    </w:p>
  </w:endnote>
  <w:endnote w:type="continuationSeparator" w:id="0">
    <w:p w14:paraId="7C71316B" w14:textId="77777777" w:rsidR="00A0111D" w:rsidRDefault="00A0111D" w:rsidP="00A01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rianne">
    <w:charset w:val="80"/>
    <w:family w:val="roman"/>
    <w:pitch w:val="variable"/>
  </w:font>
  <w:font w:name="Liberation Sans">
    <w:charset w:val="8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88F728" w14:textId="77777777" w:rsidR="00A0111D" w:rsidRDefault="00A0111D" w:rsidP="00A0111D">
      <w:pPr>
        <w:spacing w:after="0" w:line="240" w:lineRule="auto"/>
      </w:pPr>
      <w:r>
        <w:separator/>
      </w:r>
    </w:p>
  </w:footnote>
  <w:footnote w:type="continuationSeparator" w:id="0">
    <w:p w14:paraId="655E0DB5" w14:textId="77777777" w:rsidR="00A0111D" w:rsidRDefault="00A0111D" w:rsidP="00A01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29E9F" w14:textId="7CE9250D" w:rsidR="00A0111D" w:rsidRPr="00A0111D" w:rsidRDefault="00A0111D" w:rsidP="00A0111D">
    <w:pPr>
      <w:pStyle w:val="En-tte"/>
      <w:jc w:val="right"/>
      <w:rPr>
        <w:rFonts w:ascii="Verdana" w:hAnsi="Verdana"/>
      </w:rPr>
    </w:pPr>
    <w:r w:rsidRPr="00A0111D">
      <w:rPr>
        <w:rFonts w:ascii="Verdana" w:hAnsi="Verdana"/>
      </w:rPr>
      <w:t>2.</w:t>
    </w:r>
    <w:r w:rsidR="00DE0A61">
      <w:rPr>
        <w:rFonts w:ascii="Verdana" w:hAnsi="Verdana"/>
      </w:rPr>
      <w:t>6</w:t>
    </w:r>
    <w:r w:rsidRPr="00A0111D">
      <w:rPr>
        <w:rFonts w:ascii="Verdana" w:hAnsi="Verdana"/>
      </w:rPr>
      <w:t xml:space="preserve">. Annexe 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Arial" w:hAnsi="Arial" w:cs="Arial"/>
        <w:b/>
        <w:bCs/>
        <w:sz w:val="20"/>
        <w:szCs w:val="2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360"/>
      </w:pPr>
      <w:rPr>
        <w:rFonts w:ascii="Arial" w:hAnsi="Arial" w:cs="Arial"/>
        <w:b/>
        <w:bCs/>
        <w:sz w:val="20"/>
        <w:szCs w:val="2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00000003"/>
    <w:name w:val="WW8Num3"/>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4"/>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rPr>
        <w:caps w:val="0"/>
        <w:smallCaps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6" w15:restartNumberingAfterBreak="0">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244799074">
    <w:abstractNumId w:val="0"/>
  </w:num>
  <w:num w:numId="2" w16cid:durableId="313263880">
    <w:abstractNumId w:val="1"/>
  </w:num>
  <w:num w:numId="3" w16cid:durableId="2090075127">
    <w:abstractNumId w:val="2"/>
  </w:num>
  <w:num w:numId="4" w16cid:durableId="1073040812">
    <w:abstractNumId w:val="3"/>
  </w:num>
  <w:num w:numId="5" w16cid:durableId="39063799">
    <w:abstractNumId w:val="4"/>
  </w:num>
  <w:num w:numId="6" w16cid:durableId="171845414">
    <w:abstractNumId w:val="5"/>
  </w:num>
  <w:num w:numId="7" w16cid:durableId="3686058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54B"/>
    <w:rsid w:val="003137E5"/>
    <w:rsid w:val="00931FB1"/>
    <w:rsid w:val="00A0111D"/>
    <w:rsid w:val="00A37C51"/>
    <w:rsid w:val="00A4228F"/>
    <w:rsid w:val="00C30875"/>
    <w:rsid w:val="00C5354B"/>
    <w:rsid w:val="00DE0A61"/>
    <w:rsid w:val="00EF08B8"/>
    <w:rsid w:val="00F060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F689C3B"/>
  <w15:chartTrackingRefBased/>
  <w15:docId w15:val="{B5B22638-181D-4699-9ECD-AD3D640AB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2" w:lineRule="auto"/>
    </w:pPr>
    <w:rPr>
      <w:rFonts w:eastAsia="Calibri" w:cs="Tahoma"/>
      <w:kern w:val="1"/>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rPr>
      <w:rFonts w:ascii="Arial" w:hAnsi="Arial" w:cs="Arial"/>
      <w:b/>
      <w:bCs/>
      <w:sz w:val="20"/>
      <w:szCs w:val="20"/>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ascii="Arial" w:hAnsi="Arial" w:cs="Arial"/>
      <w:b/>
      <w:bCs/>
      <w:sz w:val="20"/>
      <w:szCs w:val="20"/>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rPr>
      <w:caps w:val="0"/>
      <w:smallCaps w:val="0"/>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6z0">
    <w:name w:val="WW8Num6z0"/>
    <w:rPr>
      <w:rFonts w:cs="Arial"/>
    </w:rPr>
  </w:style>
  <w:style w:type="character" w:customStyle="1" w:styleId="WW8Num6z1">
    <w:name w:val="WW8Num6z1"/>
  </w:style>
  <w:style w:type="character" w:customStyle="1" w:styleId="WW8Num7z0">
    <w:name w:val="WW8Num7z0"/>
    <w:rPr>
      <w:rFonts w:cs="Arial"/>
      <w:b w:val="0"/>
      <w:bCs w:val="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0">
    <w:name w:val="WW8Num8z0"/>
    <w:rPr>
      <w:rFonts w:ascii="Symbol" w:hAnsi="Symbol" w:cs="OpenSymbol"/>
    </w:rPr>
  </w:style>
  <w:style w:type="character" w:customStyle="1" w:styleId="WW8Num8z1">
    <w:name w:val="WW8Num8z1"/>
    <w:rPr>
      <w:rFonts w:ascii="OpenSymbol" w:hAnsi="OpenSymbol" w:cs="OpenSymbol"/>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Marquedecommentaire1">
    <w:name w:val="Marque de commentaire1"/>
    <w:rPr>
      <w:sz w:val="16"/>
      <w:szCs w:val="16"/>
    </w:rPr>
  </w:style>
  <w:style w:type="character" w:customStyle="1" w:styleId="CommentaireCar">
    <w:name w:val="Commentaire Car"/>
    <w:rPr>
      <w:rFonts w:ascii="Times New Roman" w:hAnsi="Times New Roman" w:cs="Times New Roman"/>
      <w:sz w:val="20"/>
      <w:szCs w:val="20"/>
    </w:rPr>
  </w:style>
  <w:style w:type="character" w:customStyle="1" w:styleId="ObjetducommentaireCar">
    <w:name w:val="Objet du commentaire Car"/>
    <w:rPr>
      <w:rFonts w:ascii="Times New Roman" w:hAnsi="Times New Roman" w:cs="Times New Roman"/>
      <w:b/>
      <w:bCs/>
      <w:sz w:val="20"/>
      <w:szCs w:val="20"/>
    </w:rPr>
  </w:style>
  <w:style w:type="character" w:customStyle="1" w:styleId="TextedebullesCar">
    <w:name w:val="Texte de bulles Car"/>
    <w:rPr>
      <w:rFonts w:ascii="Segoe UI" w:hAnsi="Segoe UI" w:cs="Segoe UI"/>
      <w:sz w:val="18"/>
      <w:szCs w:val="18"/>
    </w:rPr>
  </w:style>
  <w:style w:type="character" w:customStyle="1" w:styleId="En-tteCar">
    <w:name w:val="En-tête Car"/>
    <w:rPr>
      <w:rFonts w:ascii="Times New Roman" w:hAnsi="Times New Roman" w:cs="Times New Roman"/>
      <w:sz w:val="24"/>
      <w:szCs w:val="24"/>
    </w:rPr>
  </w:style>
  <w:style w:type="character" w:customStyle="1" w:styleId="PieddepageCar">
    <w:name w:val="Pied de page Car"/>
    <w:rPr>
      <w:rFonts w:ascii="Times New Roman" w:hAnsi="Times New Roman" w:cs="Times New Roman"/>
      <w:sz w:val="24"/>
      <w:szCs w:val="24"/>
    </w:rPr>
  </w:style>
  <w:style w:type="character" w:customStyle="1" w:styleId="Sous-titre2Car">
    <w:name w:val="Sous-titre 2 Car"/>
    <w:rPr>
      <w:rFonts w:ascii="Arial" w:hAnsi="Arial" w:cs="Arial"/>
      <w:sz w:val="16"/>
      <w:szCs w:val="16"/>
    </w:rPr>
  </w:style>
  <w:style w:type="character" w:customStyle="1" w:styleId="CorpsdetexteCar">
    <w:name w:val="Corps de texte Car"/>
    <w:rPr>
      <w:rFonts w:ascii="Times New Roman" w:hAnsi="Times New Roman" w:cs="Times New Roman"/>
      <w:sz w:val="24"/>
      <w:szCs w:val="24"/>
    </w:rPr>
  </w:style>
  <w:style w:type="character" w:customStyle="1" w:styleId="Titre1demapageCar">
    <w:name w:val="Titre 1 de ma page Car"/>
    <w:rPr>
      <w:rFonts w:ascii="Marianne" w:hAnsi="Marianne" w:cs="Arial"/>
      <w:b/>
      <w:bCs/>
      <w:sz w:val="24"/>
      <w:szCs w:val="20"/>
    </w:rPr>
  </w:style>
  <w:style w:type="character" w:customStyle="1" w:styleId="Titre2demapageCar">
    <w:name w:val="Titre 2 de ma page Car"/>
    <w:rPr>
      <w:rFonts w:ascii="Marianne" w:hAnsi="Marianne" w:cs="Arial"/>
      <w:b/>
      <w:bCs/>
      <w:sz w:val="20"/>
      <w:szCs w:val="16"/>
    </w:rPr>
  </w:style>
  <w:style w:type="character" w:customStyle="1" w:styleId="Titre3demapageCar">
    <w:name w:val="Titre 3 de ma page Car"/>
    <w:rPr>
      <w:rFonts w:ascii="Marianne" w:hAnsi="Marianne" w:cs="Arial"/>
      <w:b w:val="0"/>
      <w:bCs w:val="0"/>
      <w:sz w:val="20"/>
      <w:szCs w:val="16"/>
    </w:rPr>
  </w:style>
  <w:style w:type="character" w:styleId="lev">
    <w:name w:val="Strong"/>
    <w:qFormat/>
    <w:rPr>
      <w:b/>
      <w:bCs/>
    </w:rPr>
  </w:style>
  <w:style w:type="character" w:customStyle="1" w:styleId="ParagraphedelisteCar">
    <w:name w:val="Paragraphe de liste Car"/>
  </w:style>
  <w:style w:type="character" w:customStyle="1" w:styleId="Caractresdenumrotation">
    <w:name w:val="Caractères de numérotation"/>
    <w:rPr>
      <w:b w:val="0"/>
      <w:bCs w:val="0"/>
    </w:rPr>
  </w:style>
  <w:style w:type="character" w:customStyle="1" w:styleId="Puces">
    <w:name w:val="Puces"/>
    <w:rPr>
      <w:rFonts w:ascii="OpenSymbol" w:eastAsia="OpenSymbol" w:hAnsi="OpenSymbol" w:cs="OpenSymbol"/>
    </w:rPr>
  </w:style>
  <w:style w:type="character" w:customStyle="1" w:styleId="ListLabel1">
    <w:name w:val="ListLabel 1"/>
    <w:rPr>
      <w:rFonts w:cs="Symbol"/>
    </w:rPr>
  </w:style>
  <w:style w:type="character" w:customStyle="1" w:styleId="ListLabel2">
    <w:name w:val="ListLabel 2"/>
    <w:rPr>
      <w:rFonts w:cs="Symbol"/>
    </w:rPr>
  </w:style>
  <w:style w:type="character" w:customStyle="1" w:styleId="ListLabel3">
    <w:name w:val="ListLabel 3"/>
    <w:rPr>
      <w:rFonts w:cs="Symbol"/>
    </w:rPr>
  </w:style>
  <w:style w:type="character" w:customStyle="1" w:styleId="ListLabel4">
    <w:name w:val="ListLabel 4"/>
    <w:rPr>
      <w:rFonts w:cs="Symbol"/>
    </w:rPr>
  </w:style>
  <w:style w:type="character" w:customStyle="1" w:styleId="ListLabel5">
    <w:name w:val="ListLabel 5"/>
    <w:rPr>
      <w:rFonts w:cs="Symbol"/>
    </w:rPr>
  </w:style>
  <w:style w:type="character" w:customStyle="1" w:styleId="ListLabel6">
    <w:name w:val="ListLabel 6"/>
    <w:rPr>
      <w:rFonts w:cs="Symbol"/>
    </w:rPr>
  </w:style>
  <w:style w:type="character" w:customStyle="1" w:styleId="ListLabel7">
    <w:name w:val="ListLabel 7"/>
    <w:rPr>
      <w:rFonts w:cs="Symbol"/>
    </w:rPr>
  </w:style>
  <w:style w:type="character" w:customStyle="1" w:styleId="ListLabel8">
    <w:name w:val="ListLabel 8"/>
    <w:rPr>
      <w:rFonts w:cs="Symbol"/>
    </w:rPr>
  </w:style>
  <w:style w:type="character" w:customStyle="1" w:styleId="ListLabel9">
    <w:name w:val="ListLabel 9"/>
    <w:rPr>
      <w:rFonts w:cs="Symbol"/>
    </w:rPr>
  </w:style>
  <w:style w:type="character" w:customStyle="1" w:styleId="ListLabel10">
    <w:name w:val="ListLabel 10"/>
    <w:rPr>
      <w:rFonts w:cs="Symbol"/>
    </w:rPr>
  </w:style>
  <w:style w:type="character" w:customStyle="1" w:styleId="ListLabel11">
    <w:name w:val="ListLabel 11"/>
    <w:rPr>
      <w:rFonts w:cs="OpenSymbol"/>
    </w:rPr>
  </w:style>
  <w:style w:type="character" w:customStyle="1" w:styleId="ListLabel12">
    <w:name w:val="ListLabel 12"/>
    <w:rPr>
      <w:rFonts w:cs="OpenSymbol"/>
    </w:rPr>
  </w:style>
  <w:style w:type="character" w:customStyle="1" w:styleId="ListLabel13">
    <w:name w:val="ListLabel 13"/>
    <w:rPr>
      <w:rFonts w:cs="Symbol"/>
    </w:rPr>
  </w:style>
  <w:style w:type="character" w:customStyle="1" w:styleId="ListLabel14">
    <w:name w:val="ListLabel 14"/>
    <w:rPr>
      <w:rFonts w:cs="OpenSymbol"/>
    </w:rPr>
  </w:style>
  <w:style w:type="character" w:customStyle="1" w:styleId="ListLabel15">
    <w:name w:val="ListLabel 15"/>
    <w:rPr>
      <w:rFonts w:cs="OpenSymbol"/>
    </w:rPr>
  </w:style>
  <w:style w:type="character" w:customStyle="1" w:styleId="ListLabel16">
    <w:name w:val="ListLabel 16"/>
    <w:rPr>
      <w:rFonts w:cs="Symbol"/>
    </w:rPr>
  </w:style>
  <w:style w:type="character" w:customStyle="1" w:styleId="ListLabel17">
    <w:name w:val="ListLabel 17"/>
    <w:rPr>
      <w:rFonts w:cs="OpenSymbol"/>
    </w:rPr>
  </w:style>
  <w:style w:type="character" w:customStyle="1" w:styleId="ListLabel18">
    <w:name w:val="ListLabel 18"/>
    <w:rPr>
      <w:rFonts w:cs="OpenSymbol"/>
    </w:rPr>
  </w:style>
  <w:style w:type="character" w:customStyle="1" w:styleId="ListLabel19">
    <w:name w:val="ListLabel 19"/>
    <w:rPr>
      <w:rFonts w:cs="Symbol"/>
    </w:rPr>
  </w:style>
  <w:style w:type="character" w:customStyle="1" w:styleId="ListLabel20">
    <w:name w:val="ListLabel 20"/>
    <w:rPr>
      <w:rFonts w:cs="OpenSymbol"/>
    </w:rPr>
  </w:style>
  <w:style w:type="character" w:customStyle="1" w:styleId="ListLabel21">
    <w:name w:val="ListLabel 21"/>
    <w:rPr>
      <w:rFonts w:cs="OpenSymbol"/>
    </w:rPr>
  </w:style>
  <w:style w:type="character" w:customStyle="1" w:styleId="ListLabel22">
    <w:name w:val="ListLabel 22"/>
    <w:rPr>
      <w:rFonts w:cs="Symbol"/>
    </w:rPr>
  </w:style>
  <w:style w:type="character" w:customStyle="1" w:styleId="ListLabel23">
    <w:name w:val="ListLabel 23"/>
    <w:rPr>
      <w:rFonts w:cs="OpenSymbol"/>
    </w:rPr>
  </w:style>
  <w:style w:type="character" w:customStyle="1" w:styleId="ListLabel24">
    <w:name w:val="ListLabel 24"/>
    <w:rPr>
      <w:rFonts w:cs="OpenSymbol"/>
    </w:rPr>
  </w:style>
  <w:style w:type="character" w:customStyle="1" w:styleId="ListLabel25">
    <w:name w:val="ListLabel 25"/>
    <w:rPr>
      <w:rFonts w:cs="Symbol"/>
    </w:rPr>
  </w:style>
  <w:style w:type="character" w:customStyle="1" w:styleId="ListLabel26">
    <w:name w:val="ListLabel 26"/>
    <w:rPr>
      <w:rFonts w:cs="OpenSymbol"/>
    </w:rPr>
  </w:style>
  <w:style w:type="character" w:customStyle="1" w:styleId="ListLabel27">
    <w:name w:val="ListLabel 27"/>
    <w:rPr>
      <w:rFonts w:cs="OpenSymbol"/>
    </w:rPr>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styleId="Lienhypertexte">
    <w:name w:val="Hyperlink"/>
    <w:rPr>
      <w:color w:val="000080"/>
      <w:u w:val="single"/>
    </w:rPr>
  </w:style>
  <w:style w:type="paragraph" w:customStyle="1" w:styleId="Titre1">
    <w:name w:val="Titre1"/>
    <w:basedOn w:val="Normal"/>
    <w:next w:val="Corpsdetexte"/>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20"/>
    </w:pPr>
  </w:style>
  <w:style w:type="paragraph" w:styleId="Liste">
    <w:name w:val="List"/>
    <w:basedOn w:val="Corpsdetexte"/>
    <w:rPr>
      <w:rFonts w:cs="Lucida Sans"/>
    </w:rPr>
  </w:style>
  <w:style w:type="paragraph" w:customStyle="1" w:styleId="Lgende1">
    <w:name w:val="Légende1"/>
    <w:basedOn w:val="Normal"/>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Commentaire1">
    <w:name w:val="Commentaire1"/>
    <w:basedOn w:val="Normal"/>
    <w:pPr>
      <w:spacing w:line="100" w:lineRule="atLeast"/>
    </w:pPr>
    <w:rPr>
      <w:sz w:val="20"/>
      <w:szCs w:val="20"/>
    </w:rPr>
  </w:style>
  <w:style w:type="paragraph" w:customStyle="1" w:styleId="Objetducommentaire1">
    <w:name w:val="Objet du commentaire1"/>
    <w:basedOn w:val="Commentaire1"/>
    <w:next w:val="Commentaire1"/>
    <w:rPr>
      <w:b/>
      <w:bCs/>
    </w:rPr>
  </w:style>
  <w:style w:type="paragraph" w:styleId="Textedebulles">
    <w:name w:val="Balloon Text"/>
    <w:basedOn w:val="Normal"/>
    <w:pPr>
      <w:spacing w:after="0" w:line="100" w:lineRule="atLeast"/>
    </w:pPr>
    <w:rPr>
      <w:rFonts w:ascii="Segoe UI" w:hAnsi="Segoe UI" w:cs="Segoe UI"/>
      <w:sz w:val="18"/>
      <w:szCs w:val="18"/>
    </w:rPr>
  </w:style>
  <w:style w:type="paragraph" w:customStyle="1" w:styleId="HeaderandFooter">
    <w:name w:val="Header and Footer"/>
    <w:basedOn w:val="Normal"/>
  </w:style>
  <w:style w:type="paragraph" w:styleId="En-tte">
    <w:name w:val="header"/>
    <w:basedOn w:val="Normal"/>
    <w:pPr>
      <w:tabs>
        <w:tab w:val="center" w:pos="4536"/>
        <w:tab w:val="right" w:pos="9072"/>
      </w:tabs>
      <w:spacing w:after="0" w:line="100" w:lineRule="atLeast"/>
    </w:pPr>
  </w:style>
  <w:style w:type="paragraph" w:styleId="Pieddepage">
    <w:name w:val="footer"/>
    <w:basedOn w:val="Normal"/>
    <w:pPr>
      <w:tabs>
        <w:tab w:val="center" w:pos="4536"/>
        <w:tab w:val="right" w:pos="9072"/>
      </w:tabs>
      <w:spacing w:after="0" w:line="100" w:lineRule="atLeast"/>
    </w:pPr>
  </w:style>
  <w:style w:type="paragraph" w:customStyle="1" w:styleId="Sous-titre2">
    <w:name w:val="Sous-titre 2"/>
    <w:basedOn w:val="Normal"/>
    <w:next w:val="Corpsdetexte"/>
    <w:pPr>
      <w:widowControl w:val="0"/>
      <w:spacing w:after="0" w:line="100" w:lineRule="atLeast"/>
      <w:jc w:val="center"/>
    </w:pPr>
    <w:rPr>
      <w:rFonts w:ascii="Arial" w:hAnsi="Arial" w:cs="Arial"/>
      <w:sz w:val="16"/>
      <w:szCs w:val="16"/>
    </w:rPr>
  </w:style>
  <w:style w:type="paragraph" w:customStyle="1" w:styleId="Titre1demapage">
    <w:name w:val="Titre 1 de ma page"/>
    <w:basedOn w:val="Corpsdetexte"/>
    <w:next w:val="Corpsdetexte"/>
    <w:pPr>
      <w:widowControl w:val="0"/>
      <w:spacing w:before="1" w:after="0" w:line="100" w:lineRule="atLeast"/>
      <w:jc w:val="center"/>
    </w:pPr>
    <w:rPr>
      <w:rFonts w:ascii="Marianne" w:hAnsi="Marianne" w:cs="Arial"/>
      <w:b/>
      <w:bCs/>
      <w:szCs w:val="20"/>
      <w:u w:val="single"/>
    </w:rPr>
  </w:style>
  <w:style w:type="paragraph" w:customStyle="1" w:styleId="Titre2demapage">
    <w:name w:val="Titre 2 de ma page"/>
    <w:basedOn w:val="Titre1demapage"/>
    <w:next w:val="Corpsdetexte"/>
    <w:pPr>
      <w:spacing w:line="276" w:lineRule="auto"/>
    </w:pPr>
    <w:rPr>
      <w:sz w:val="20"/>
      <w:szCs w:val="16"/>
    </w:rPr>
  </w:style>
  <w:style w:type="paragraph" w:customStyle="1" w:styleId="Titre3demapage">
    <w:name w:val="Titre 3 de ma page"/>
    <w:basedOn w:val="Titre2demapage"/>
    <w:next w:val="Corpsdetexte"/>
    <w:rPr>
      <w:b w:val="0"/>
      <w:bCs w:val="0"/>
    </w:rPr>
  </w:style>
  <w:style w:type="paragraph" w:customStyle="1" w:styleId="Textbody">
    <w:name w:val="Text body"/>
    <w:basedOn w:val="Normal"/>
    <w:pPr>
      <w:spacing w:after="140" w:line="276" w:lineRule="auto"/>
      <w:textAlignment w:val="baseline"/>
    </w:pPr>
    <w:rPr>
      <w:rFonts w:ascii="Liberation Serif" w:eastAsia="SimSun" w:hAnsi="Liberation Serif" w:cs="Mangal"/>
      <w:lang w:eastAsia="hi-IN" w:bidi="hi-IN"/>
    </w:rPr>
  </w:style>
  <w:style w:type="paragraph" w:styleId="Paragraphedeliste">
    <w:name w:val="List Paragraph"/>
    <w:basedOn w:val="Normal"/>
    <w:qFormat/>
    <w:pPr>
      <w:ind w:left="720"/>
    </w:pPr>
    <w:rPr>
      <w:rFonts w:ascii="Calibri" w:hAnsi="Calibri" w:cs="Calibri"/>
      <w:sz w:val="22"/>
      <w:szCs w:val="22"/>
    </w:rPr>
  </w:style>
  <w:style w:type="paragraph" w:customStyle="1" w:styleId="Contenudetableau">
    <w:name w:val="Contenu de tableau"/>
    <w:basedOn w:val="Normal"/>
    <w:pPr>
      <w:widowControl w:val="0"/>
      <w:suppressLineNumbers/>
    </w:pPr>
  </w:style>
  <w:style w:type="paragraph" w:customStyle="1" w:styleId="Titredetableau">
    <w:name w:val="Titre de tableau"/>
    <w:basedOn w:val="Contenudetableau"/>
    <w:pPr>
      <w:jc w:val="center"/>
    </w:pPr>
    <w:rPr>
      <w:b/>
      <w:bCs/>
    </w:rPr>
  </w:style>
  <w:style w:type="paragraph" w:customStyle="1" w:styleId="TableauNormal1">
    <w:name w:val="Tableau Normal1"/>
    <w:pPr>
      <w:suppressAutoHyphens/>
    </w:pPr>
    <w:rPr>
      <w:rFonts w:ascii="Calibri" w:eastAsia="Cambria Math" w:hAnsi="Calibri" w:cs="Calibri"/>
      <w:kern w:val="1"/>
      <w:sz w:val="22"/>
      <w:szCs w:val="22"/>
      <w:lang w:eastAsia="ar-SA"/>
    </w:rPr>
  </w:style>
  <w:style w:type="paragraph" w:styleId="Rvision">
    <w:name w:val="Revision"/>
    <w:hidden/>
    <w:uiPriority w:val="99"/>
    <w:semiHidden/>
    <w:rsid w:val="00F06012"/>
    <w:rPr>
      <w:rFonts w:eastAsia="Calibri" w:cs="Tahoma"/>
      <w:kern w:val="1"/>
      <w:sz w:val="24"/>
      <w:szCs w:val="24"/>
      <w:lang w:eastAsia="ar-SA"/>
    </w:rPr>
  </w:style>
  <w:style w:type="character" w:styleId="Marquedecommentaire">
    <w:name w:val="annotation reference"/>
    <w:uiPriority w:val="99"/>
    <w:semiHidden/>
    <w:unhideWhenUsed/>
    <w:rsid w:val="00F06012"/>
    <w:rPr>
      <w:sz w:val="16"/>
      <w:szCs w:val="16"/>
    </w:rPr>
  </w:style>
  <w:style w:type="paragraph" w:styleId="Commentaire">
    <w:name w:val="annotation text"/>
    <w:basedOn w:val="Normal"/>
    <w:link w:val="CommentaireCar1"/>
    <w:uiPriority w:val="99"/>
    <w:unhideWhenUsed/>
    <w:rsid w:val="00F06012"/>
    <w:rPr>
      <w:sz w:val="20"/>
      <w:szCs w:val="20"/>
    </w:rPr>
  </w:style>
  <w:style w:type="character" w:customStyle="1" w:styleId="CommentaireCar1">
    <w:name w:val="Commentaire Car1"/>
    <w:link w:val="Commentaire"/>
    <w:uiPriority w:val="99"/>
    <w:rsid w:val="00F06012"/>
    <w:rPr>
      <w:rFonts w:eastAsia="Calibri" w:cs="Tahoma"/>
      <w:kern w:val="1"/>
      <w:lang w:val="fr-FR" w:eastAsia="ar-SA"/>
    </w:rPr>
  </w:style>
  <w:style w:type="paragraph" w:styleId="Objetducommentaire">
    <w:name w:val="annotation subject"/>
    <w:basedOn w:val="Commentaire"/>
    <w:next w:val="Commentaire"/>
    <w:link w:val="ObjetducommentaireCar1"/>
    <w:uiPriority w:val="99"/>
    <w:semiHidden/>
    <w:unhideWhenUsed/>
    <w:rsid w:val="00F06012"/>
    <w:rPr>
      <w:b/>
      <w:bCs/>
    </w:rPr>
  </w:style>
  <w:style w:type="character" w:customStyle="1" w:styleId="ObjetducommentaireCar1">
    <w:name w:val="Objet du commentaire Car1"/>
    <w:link w:val="Objetducommentaire"/>
    <w:uiPriority w:val="99"/>
    <w:semiHidden/>
    <w:rsid w:val="00F06012"/>
    <w:rPr>
      <w:rFonts w:eastAsia="Calibri" w:cs="Tahoma"/>
      <w:b/>
      <w:bCs/>
      <w:kern w:val="1"/>
      <w:lang w:val="fr-F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1098</Words>
  <Characters>6039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 MOHABEER</dc:creator>
  <cp:keywords/>
  <cp:lastModifiedBy>Gilles RIBOUET</cp:lastModifiedBy>
  <cp:revision>2</cp:revision>
  <cp:lastPrinted>2024-06-17T06:52:00Z</cp:lastPrinted>
  <dcterms:created xsi:type="dcterms:W3CDTF">2024-11-15T05:24:00Z</dcterms:created>
  <dcterms:modified xsi:type="dcterms:W3CDTF">2024-11-15T05:24:00Z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DSIC</vt:lpwstr>
  </property>
</Properties>
</file>