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10060" w:type="dxa"/>
        <w:tblLook w:val="04A0" w:firstRow="1" w:lastRow="0" w:firstColumn="1" w:lastColumn="0" w:noHBand="0" w:noVBand="1"/>
      </w:tblPr>
      <w:tblGrid>
        <w:gridCol w:w="7225"/>
        <w:gridCol w:w="2835"/>
      </w:tblGrid>
      <w:tr w:rsidR="00EC22CC" w:rsidRPr="00F7050A" w14:paraId="51109D41" w14:textId="77777777" w:rsidTr="001D531C">
        <w:tc>
          <w:tcPr>
            <w:tcW w:w="10060" w:type="dxa"/>
            <w:gridSpan w:val="2"/>
          </w:tcPr>
          <w:p w14:paraId="6FC76F95" w14:textId="49FF72DD" w:rsidR="00EC22CC" w:rsidRPr="00134792" w:rsidRDefault="001D531C" w:rsidP="00854EEA">
            <w:pPr>
              <w:jc w:val="center"/>
              <w:rPr>
                <w:rFonts w:ascii="Roboto" w:hAnsi="Roboto"/>
                <w:b/>
                <w:bCs/>
                <w:sz w:val="24"/>
                <w:szCs w:val="24"/>
              </w:rPr>
            </w:pPr>
            <w:r w:rsidRPr="00134792">
              <w:rPr>
                <w:rFonts w:ascii="Verdana" w:eastAsia="Times New Roman" w:hAnsi="Verdana"/>
                <w:b/>
                <w:bCs/>
                <w:sz w:val="20"/>
                <w:szCs w:val="20"/>
              </w:rPr>
              <w:t xml:space="preserve"> </w:t>
            </w:r>
            <w:r w:rsidR="00134792">
              <w:rPr>
                <w:rFonts w:ascii="Verdana" w:eastAsia="Times New Roman" w:hAnsi="Verdana"/>
                <w:b/>
                <w:bCs/>
                <w:sz w:val="20"/>
                <w:szCs w:val="20"/>
              </w:rPr>
              <w:t>P</w:t>
            </w:r>
            <w:r w:rsidRPr="00134792">
              <w:rPr>
                <w:rFonts w:ascii="Verdana" w:eastAsia="Times New Roman" w:hAnsi="Verdana"/>
                <w:b/>
                <w:bCs/>
                <w:sz w:val="20"/>
                <w:szCs w:val="20"/>
              </w:rPr>
              <w:t>rojet</w:t>
            </w:r>
            <w:r w:rsidR="00493A7B">
              <w:rPr>
                <w:rFonts w:ascii="Verdana" w:eastAsia="Times New Roman" w:hAnsi="Verdana"/>
                <w:b/>
                <w:bCs/>
                <w:sz w:val="20"/>
                <w:szCs w:val="20"/>
              </w:rPr>
              <w:t xml:space="preserve"> </w:t>
            </w:r>
            <w:proofErr w:type="spellStart"/>
            <w:r w:rsidRPr="00134792">
              <w:rPr>
                <w:rFonts w:ascii="Verdana" w:eastAsia="Times New Roman" w:hAnsi="Verdana"/>
                <w:b/>
                <w:bCs/>
                <w:sz w:val="20"/>
                <w:szCs w:val="20"/>
              </w:rPr>
              <w:t>ExPLOI</w:t>
            </w:r>
            <w:proofErr w:type="spellEnd"/>
            <w:r w:rsidR="00493A7B">
              <w:rPr>
                <w:rFonts w:ascii="Verdana" w:eastAsia="Times New Roman" w:hAnsi="Verdana"/>
                <w:b/>
                <w:bCs/>
                <w:sz w:val="20"/>
                <w:szCs w:val="20"/>
              </w:rPr>
              <w:t> : Démarrage des activités de la mission d’assistance technique PROMAN</w:t>
            </w:r>
          </w:p>
        </w:tc>
      </w:tr>
      <w:tr w:rsidR="001D531C" w:rsidRPr="00F7050A" w14:paraId="7F1B63D2" w14:textId="77777777" w:rsidTr="001D531C">
        <w:tc>
          <w:tcPr>
            <w:tcW w:w="7225" w:type="dxa"/>
          </w:tcPr>
          <w:p w14:paraId="056D9B10" w14:textId="5BE21491" w:rsidR="001D531C" w:rsidRPr="00F7050A" w:rsidRDefault="001D531C" w:rsidP="001D531C">
            <w:pPr>
              <w:rPr>
                <w:rFonts w:ascii="Roboto" w:hAnsi="Roboto"/>
                <w:sz w:val="24"/>
                <w:szCs w:val="24"/>
              </w:rPr>
            </w:pPr>
            <w:r>
              <w:rPr>
                <w:rFonts w:ascii="Verdana" w:hAnsi="Verdana"/>
                <w:sz w:val="20"/>
                <w:szCs w:val="20"/>
              </w:rPr>
              <w:t>Comité des OPL n°0</w:t>
            </w:r>
            <w:r w:rsidR="00493A7B">
              <w:rPr>
                <w:rFonts w:ascii="Verdana" w:hAnsi="Verdana"/>
                <w:sz w:val="20"/>
                <w:szCs w:val="20"/>
              </w:rPr>
              <w:t>2</w:t>
            </w:r>
            <w:r>
              <w:rPr>
                <w:rFonts w:ascii="Verdana" w:hAnsi="Verdana"/>
                <w:sz w:val="20"/>
                <w:szCs w:val="20"/>
              </w:rPr>
              <w:t xml:space="preserve">/24 | </w:t>
            </w:r>
            <w:r w:rsidR="00493A7B">
              <w:rPr>
                <w:rFonts w:ascii="Verdana" w:hAnsi="Verdana"/>
                <w:sz w:val="20"/>
                <w:szCs w:val="20"/>
              </w:rPr>
              <w:t>0</w:t>
            </w:r>
            <w:r>
              <w:rPr>
                <w:rFonts w:ascii="Verdana" w:hAnsi="Verdana"/>
                <w:sz w:val="20"/>
                <w:szCs w:val="20"/>
              </w:rPr>
              <w:t xml:space="preserve">2 et </w:t>
            </w:r>
            <w:r w:rsidR="00493A7B">
              <w:rPr>
                <w:rFonts w:ascii="Verdana" w:hAnsi="Verdana"/>
                <w:sz w:val="20"/>
                <w:szCs w:val="20"/>
              </w:rPr>
              <w:t>0</w:t>
            </w:r>
            <w:r>
              <w:rPr>
                <w:rFonts w:ascii="Verdana" w:hAnsi="Verdana"/>
                <w:sz w:val="20"/>
                <w:szCs w:val="20"/>
              </w:rPr>
              <w:t xml:space="preserve">3 </w:t>
            </w:r>
            <w:r w:rsidR="00493A7B">
              <w:rPr>
                <w:rFonts w:ascii="Verdana" w:hAnsi="Verdana"/>
                <w:sz w:val="20"/>
                <w:szCs w:val="20"/>
              </w:rPr>
              <w:t>décembre</w:t>
            </w:r>
            <w:r>
              <w:rPr>
                <w:rFonts w:ascii="Verdana" w:hAnsi="Verdana"/>
                <w:sz w:val="20"/>
                <w:szCs w:val="20"/>
              </w:rPr>
              <w:t xml:space="preserve"> 2024</w:t>
            </w:r>
          </w:p>
        </w:tc>
        <w:tc>
          <w:tcPr>
            <w:tcW w:w="2835" w:type="dxa"/>
          </w:tcPr>
          <w:p w14:paraId="58E25D1F" w14:textId="15CAE524" w:rsidR="001D531C" w:rsidRPr="00F7050A" w:rsidRDefault="001D531C" w:rsidP="001D531C">
            <w:pPr>
              <w:jc w:val="center"/>
              <w:rPr>
                <w:rFonts w:ascii="Roboto" w:hAnsi="Roboto"/>
                <w:sz w:val="24"/>
                <w:szCs w:val="24"/>
              </w:rPr>
            </w:pPr>
            <w:r w:rsidRPr="00F7050A">
              <w:rPr>
                <w:rFonts w:ascii="Roboto" w:hAnsi="Roboto"/>
                <w:sz w:val="24"/>
                <w:szCs w:val="24"/>
              </w:rPr>
              <w:t xml:space="preserve">Point </w:t>
            </w:r>
            <w:r w:rsidR="003D21F8">
              <w:rPr>
                <w:rFonts w:ascii="Roboto" w:hAnsi="Roboto"/>
                <w:sz w:val="24"/>
                <w:szCs w:val="24"/>
              </w:rPr>
              <w:t>2.</w:t>
            </w:r>
            <w:r w:rsidR="00493A7B">
              <w:rPr>
                <w:rFonts w:ascii="Roboto" w:hAnsi="Roboto"/>
                <w:sz w:val="24"/>
                <w:szCs w:val="24"/>
              </w:rPr>
              <w:t>3</w:t>
            </w:r>
          </w:p>
        </w:tc>
      </w:tr>
      <w:tr w:rsidR="001D531C" w:rsidRPr="00F7050A" w14:paraId="537D1DE5" w14:textId="77777777" w:rsidTr="001D531C">
        <w:tc>
          <w:tcPr>
            <w:tcW w:w="7225" w:type="dxa"/>
          </w:tcPr>
          <w:p w14:paraId="43DEF09E" w14:textId="72B546C2" w:rsidR="001D531C" w:rsidRPr="00F7050A" w:rsidRDefault="001D531C" w:rsidP="001D531C">
            <w:pPr>
              <w:rPr>
                <w:rFonts w:ascii="Roboto" w:hAnsi="Roboto"/>
                <w:sz w:val="24"/>
                <w:szCs w:val="24"/>
              </w:rPr>
            </w:pPr>
            <w:r w:rsidRPr="00A148A1">
              <w:rPr>
                <w:rFonts w:ascii="Verdana" w:hAnsi="Verdana"/>
                <w:i/>
                <w:iCs/>
                <w:sz w:val="20"/>
                <w:szCs w:val="20"/>
              </w:rPr>
              <w:t>Dossier suivi par :</w:t>
            </w:r>
            <w:r>
              <w:rPr>
                <w:rFonts w:ascii="Verdana" w:hAnsi="Verdana"/>
                <w:sz w:val="20"/>
                <w:szCs w:val="20"/>
              </w:rPr>
              <w:t xml:space="preserve"> Anfani MSOILI, Chargé de mission</w:t>
            </w:r>
          </w:p>
        </w:tc>
        <w:tc>
          <w:tcPr>
            <w:tcW w:w="2835" w:type="dxa"/>
          </w:tcPr>
          <w:p w14:paraId="5AC1AFAB" w14:textId="219CCEC0" w:rsidR="001D531C" w:rsidRPr="00F7050A" w:rsidRDefault="005676D6" w:rsidP="001D531C">
            <w:pPr>
              <w:jc w:val="center"/>
              <w:rPr>
                <w:rFonts w:ascii="Roboto" w:hAnsi="Roboto"/>
                <w:sz w:val="24"/>
                <w:szCs w:val="24"/>
              </w:rPr>
            </w:pPr>
            <w:r>
              <w:rPr>
                <w:rFonts w:ascii="Roboto" w:hAnsi="Roboto"/>
                <w:sz w:val="24"/>
                <w:szCs w:val="24"/>
              </w:rPr>
              <w:t>Décision</w:t>
            </w:r>
          </w:p>
        </w:tc>
      </w:tr>
      <w:tr w:rsidR="001D531C" w:rsidRPr="00F7050A" w14:paraId="6896DB30" w14:textId="77777777" w:rsidTr="001D531C">
        <w:tc>
          <w:tcPr>
            <w:tcW w:w="10060" w:type="dxa"/>
            <w:gridSpan w:val="2"/>
          </w:tcPr>
          <w:p w14:paraId="0495241B" w14:textId="66C5DEB3" w:rsidR="001D531C" w:rsidRPr="00F7050A" w:rsidRDefault="001D531C" w:rsidP="001D531C">
            <w:pPr>
              <w:rPr>
                <w:rFonts w:ascii="Roboto" w:hAnsi="Roboto"/>
                <w:sz w:val="24"/>
                <w:szCs w:val="24"/>
              </w:rPr>
            </w:pPr>
            <w:r w:rsidRPr="00F7050A">
              <w:rPr>
                <w:rFonts w:ascii="Roboto" w:hAnsi="Roboto"/>
                <w:i/>
                <w:iCs/>
                <w:sz w:val="24"/>
                <w:szCs w:val="24"/>
              </w:rPr>
              <w:t>Version du</w:t>
            </w:r>
            <w:r>
              <w:rPr>
                <w:rFonts w:ascii="Roboto" w:hAnsi="Roboto"/>
                <w:i/>
                <w:iCs/>
                <w:sz w:val="24"/>
                <w:szCs w:val="24"/>
              </w:rPr>
              <w:t xml:space="preserve"> </w:t>
            </w:r>
            <w:r w:rsidR="00D20205">
              <w:rPr>
                <w:rFonts w:ascii="Roboto" w:hAnsi="Roboto"/>
                <w:i/>
                <w:iCs/>
                <w:sz w:val="24"/>
                <w:szCs w:val="24"/>
              </w:rPr>
              <w:t>1</w:t>
            </w:r>
            <w:r w:rsidR="00D20205" w:rsidRPr="00D20205">
              <w:rPr>
                <w:rFonts w:ascii="Roboto" w:hAnsi="Roboto"/>
                <w:i/>
                <w:iCs/>
                <w:sz w:val="24"/>
                <w:szCs w:val="24"/>
                <w:vertAlign w:val="superscript"/>
              </w:rPr>
              <w:t>er</w:t>
            </w:r>
            <w:r w:rsidR="00D20205">
              <w:rPr>
                <w:rFonts w:ascii="Roboto" w:hAnsi="Roboto"/>
                <w:i/>
                <w:iCs/>
                <w:sz w:val="24"/>
                <w:szCs w:val="24"/>
              </w:rPr>
              <w:t xml:space="preserve"> </w:t>
            </w:r>
            <w:r w:rsidR="00A118E1">
              <w:rPr>
                <w:rFonts w:ascii="Roboto" w:hAnsi="Roboto"/>
                <w:i/>
                <w:iCs/>
                <w:sz w:val="24"/>
                <w:szCs w:val="24"/>
              </w:rPr>
              <w:t>novembre 2024</w:t>
            </w:r>
          </w:p>
        </w:tc>
      </w:tr>
    </w:tbl>
    <w:p w14:paraId="14706AD9" w14:textId="77777777" w:rsidR="00C91BD0" w:rsidRPr="00042846" w:rsidRDefault="00C91BD0" w:rsidP="00C91BD0">
      <w:pPr>
        <w:pStyle w:val="Titrepartie"/>
        <w:numPr>
          <w:ilvl w:val="0"/>
          <w:numId w:val="0"/>
        </w:numPr>
        <w:ind w:left="720"/>
        <w:rPr>
          <w:sz w:val="20"/>
        </w:rPr>
      </w:pPr>
      <w:bookmarkStart w:id="0" w:name="_Hlk24535240"/>
    </w:p>
    <w:p w14:paraId="3D01EB40" w14:textId="2FD7A3A4" w:rsidR="001D531C" w:rsidRPr="00042846" w:rsidRDefault="00C91BD0" w:rsidP="00A06670">
      <w:pPr>
        <w:pStyle w:val="Titrepartie"/>
        <w:rPr>
          <w:sz w:val="20"/>
        </w:rPr>
      </w:pPr>
      <w:r w:rsidRPr="00042846">
        <w:rPr>
          <w:sz w:val="20"/>
        </w:rPr>
        <w:t>Présentation générale</w:t>
      </w:r>
      <w:r w:rsidR="001D531C" w:rsidRPr="00042846">
        <w:rPr>
          <w:sz w:val="20"/>
        </w:rPr>
        <w:t xml:space="preserve"> </w:t>
      </w:r>
    </w:p>
    <w:p w14:paraId="03E844F8" w14:textId="77777777" w:rsidR="00015AB8" w:rsidRPr="00042846" w:rsidRDefault="00015AB8" w:rsidP="007C4850">
      <w:pPr>
        <w:pStyle w:val="Titrepartie"/>
        <w:numPr>
          <w:ilvl w:val="0"/>
          <w:numId w:val="0"/>
        </w:numPr>
        <w:ind w:left="360"/>
        <w:rPr>
          <w:rFonts w:cstheme="minorBidi"/>
          <w:b w:val="0"/>
          <w:bCs w:val="0"/>
          <w:color w:val="auto"/>
          <w:sz w:val="20"/>
        </w:rPr>
      </w:pPr>
    </w:p>
    <w:p w14:paraId="5DCFDA11" w14:textId="22D2BC9D" w:rsidR="00031236" w:rsidRPr="00042846" w:rsidRDefault="00A3566B" w:rsidP="00031236">
      <w:pPr>
        <w:pStyle w:val="Titrepartie"/>
        <w:numPr>
          <w:ilvl w:val="0"/>
          <w:numId w:val="0"/>
        </w:numPr>
        <w:rPr>
          <w:b w:val="0"/>
          <w:bCs w:val="0"/>
          <w:color w:val="auto"/>
          <w:sz w:val="20"/>
        </w:rPr>
      </w:pPr>
      <w:r w:rsidRPr="00042846">
        <w:rPr>
          <w:b w:val="0"/>
          <w:bCs w:val="0"/>
          <w:color w:val="auto"/>
          <w:sz w:val="20"/>
        </w:rPr>
        <w:t xml:space="preserve">Le projet Expédition Plastique dans l’océan Indien </w:t>
      </w:r>
      <w:r w:rsidRPr="00042846">
        <w:rPr>
          <w:color w:val="auto"/>
          <w:sz w:val="20"/>
        </w:rPr>
        <w:t>(</w:t>
      </w:r>
      <w:proofErr w:type="spellStart"/>
      <w:r w:rsidRPr="00042846">
        <w:rPr>
          <w:color w:val="auto"/>
          <w:sz w:val="20"/>
        </w:rPr>
        <w:t>ExPLOI</w:t>
      </w:r>
      <w:proofErr w:type="spellEnd"/>
      <w:r w:rsidRPr="00042846">
        <w:rPr>
          <w:b w:val="0"/>
          <w:bCs w:val="0"/>
          <w:color w:val="auto"/>
          <w:sz w:val="20"/>
        </w:rPr>
        <w:t>)</w:t>
      </w:r>
      <w:r w:rsidR="000A4960">
        <w:rPr>
          <w:b w:val="0"/>
          <w:bCs w:val="0"/>
          <w:color w:val="auto"/>
          <w:sz w:val="20"/>
        </w:rPr>
        <w:t xml:space="preserve">, qui </w:t>
      </w:r>
      <w:r w:rsidR="000A4960" w:rsidRPr="00042846">
        <w:rPr>
          <w:b w:val="0"/>
          <w:bCs w:val="0"/>
          <w:color w:val="auto"/>
          <w:sz w:val="20"/>
        </w:rPr>
        <w:t>participe à la mise en œuvre du plan d’action de réduction et de gestion des déchets de la COI (2019)</w:t>
      </w:r>
      <w:r w:rsidR="000A4960">
        <w:rPr>
          <w:b w:val="0"/>
          <w:bCs w:val="0"/>
          <w:color w:val="auto"/>
          <w:sz w:val="20"/>
        </w:rPr>
        <w:t>, bénéficie des financements de</w:t>
      </w:r>
      <w:r w:rsidRPr="00042846">
        <w:rPr>
          <w:b w:val="0"/>
          <w:bCs w:val="0"/>
          <w:color w:val="auto"/>
          <w:sz w:val="20"/>
        </w:rPr>
        <w:t xml:space="preserve"> l’Agence française de développement (AFD) à hauteur de cinq millions d’euros (5 000 000 Euros) et </w:t>
      </w:r>
      <w:r w:rsidR="000A4960">
        <w:rPr>
          <w:b w:val="0"/>
          <w:bCs w:val="0"/>
          <w:color w:val="auto"/>
          <w:sz w:val="20"/>
        </w:rPr>
        <w:t>du</w:t>
      </w:r>
      <w:r w:rsidR="000A4960" w:rsidRPr="00042846">
        <w:rPr>
          <w:b w:val="0"/>
          <w:bCs w:val="0"/>
          <w:color w:val="auto"/>
          <w:sz w:val="20"/>
        </w:rPr>
        <w:t xml:space="preserve"> </w:t>
      </w:r>
      <w:r w:rsidRPr="00042846">
        <w:rPr>
          <w:b w:val="0"/>
          <w:bCs w:val="0"/>
          <w:color w:val="auto"/>
          <w:sz w:val="20"/>
        </w:rPr>
        <w:t xml:space="preserve">Fonds français pour l’environnement mondial (FFEM) à hauteur </w:t>
      </w:r>
      <w:r w:rsidR="00E0445A" w:rsidRPr="00042846">
        <w:rPr>
          <w:b w:val="0"/>
          <w:bCs w:val="0"/>
          <w:color w:val="auto"/>
          <w:sz w:val="20"/>
        </w:rPr>
        <w:t>d’un</w:t>
      </w:r>
      <w:r w:rsidRPr="00042846">
        <w:rPr>
          <w:b w:val="0"/>
          <w:bCs w:val="0"/>
          <w:color w:val="auto"/>
          <w:sz w:val="20"/>
        </w:rPr>
        <w:t xml:space="preserve"> million sept cent mille euros (1.700.000 euros).</w:t>
      </w:r>
      <w:r w:rsidR="00031236" w:rsidRPr="00042846">
        <w:rPr>
          <w:b w:val="0"/>
          <w:bCs w:val="0"/>
          <w:color w:val="auto"/>
          <w:sz w:val="20"/>
        </w:rPr>
        <w:t xml:space="preserve"> </w:t>
      </w:r>
    </w:p>
    <w:p w14:paraId="7CA28F77" w14:textId="77777777" w:rsidR="00031236" w:rsidRPr="00042846" w:rsidRDefault="00031236" w:rsidP="00031236">
      <w:pPr>
        <w:pStyle w:val="Titrepartie"/>
        <w:numPr>
          <w:ilvl w:val="0"/>
          <w:numId w:val="0"/>
        </w:numPr>
        <w:rPr>
          <w:b w:val="0"/>
          <w:bCs w:val="0"/>
          <w:color w:val="auto"/>
          <w:sz w:val="20"/>
        </w:rPr>
      </w:pPr>
    </w:p>
    <w:p w14:paraId="6EBDB11A" w14:textId="0BD0371B" w:rsidR="00A3566B" w:rsidRPr="00042846" w:rsidRDefault="00031236" w:rsidP="00031236">
      <w:pPr>
        <w:pStyle w:val="Titrepartie"/>
        <w:numPr>
          <w:ilvl w:val="0"/>
          <w:numId w:val="0"/>
        </w:numPr>
        <w:rPr>
          <w:b w:val="0"/>
          <w:bCs w:val="0"/>
          <w:color w:val="auto"/>
          <w:sz w:val="20"/>
        </w:rPr>
      </w:pPr>
      <w:proofErr w:type="spellStart"/>
      <w:r w:rsidRPr="00042846">
        <w:rPr>
          <w:b w:val="0"/>
          <w:bCs w:val="0"/>
          <w:color w:val="auto"/>
          <w:sz w:val="20"/>
        </w:rPr>
        <w:t>ExPLOI</w:t>
      </w:r>
      <w:proofErr w:type="spellEnd"/>
      <w:r w:rsidR="00A3566B" w:rsidRPr="00042846">
        <w:rPr>
          <w:b w:val="0"/>
          <w:bCs w:val="0"/>
          <w:color w:val="auto"/>
          <w:sz w:val="20"/>
        </w:rPr>
        <w:t xml:space="preserve"> vise</w:t>
      </w:r>
      <w:r w:rsidR="00C52327">
        <w:rPr>
          <w:b w:val="0"/>
          <w:bCs w:val="0"/>
          <w:color w:val="auto"/>
          <w:sz w:val="20"/>
        </w:rPr>
        <w:t>, notamment,</w:t>
      </w:r>
      <w:r w:rsidR="00A3566B" w:rsidRPr="00042846">
        <w:rPr>
          <w:b w:val="0"/>
          <w:bCs w:val="0"/>
          <w:color w:val="auto"/>
          <w:sz w:val="20"/>
        </w:rPr>
        <w:t xml:space="preserve"> à créer les conditions </w:t>
      </w:r>
      <w:r w:rsidR="00C52327" w:rsidRPr="00042846">
        <w:rPr>
          <w:b w:val="0"/>
          <w:bCs w:val="0"/>
          <w:color w:val="auto"/>
          <w:sz w:val="20"/>
        </w:rPr>
        <w:t>d</w:t>
      </w:r>
      <w:r w:rsidR="00C52327">
        <w:rPr>
          <w:b w:val="0"/>
          <w:bCs w:val="0"/>
          <w:color w:val="auto"/>
          <w:sz w:val="20"/>
        </w:rPr>
        <w:t>’un</w:t>
      </w:r>
      <w:r w:rsidR="00C52327" w:rsidRPr="00042846">
        <w:rPr>
          <w:b w:val="0"/>
          <w:bCs w:val="0"/>
          <w:color w:val="auto"/>
          <w:sz w:val="20"/>
        </w:rPr>
        <w:t xml:space="preserve"> </w:t>
      </w:r>
      <w:r w:rsidR="00A3566B" w:rsidRPr="00042846">
        <w:rPr>
          <w:b w:val="0"/>
          <w:bCs w:val="0"/>
          <w:color w:val="auto"/>
          <w:sz w:val="20"/>
        </w:rPr>
        <w:t>partenariat public-privé, en étroite collaboration avec les États membres de la COI, les organisations non gouvernementale</w:t>
      </w:r>
      <w:r w:rsidR="00107E7A">
        <w:rPr>
          <w:b w:val="0"/>
          <w:bCs w:val="0"/>
          <w:color w:val="auto"/>
          <w:sz w:val="20"/>
        </w:rPr>
        <w:t>s</w:t>
      </w:r>
      <w:r w:rsidR="00A3566B" w:rsidRPr="00042846">
        <w:rPr>
          <w:b w:val="0"/>
          <w:bCs w:val="0"/>
          <w:color w:val="auto"/>
          <w:sz w:val="20"/>
        </w:rPr>
        <w:t xml:space="preserve"> (ONG) et</w:t>
      </w:r>
      <w:r w:rsidR="00C828E0">
        <w:rPr>
          <w:b w:val="0"/>
          <w:bCs w:val="0"/>
          <w:color w:val="auto"/>
          <w:sz w:val="20"/>
        </w:rPr>
        <w:t xml:space="preserve"> </w:t>
      </w:r>
      <w:r w:rsidR="00107E7A">
        <w:rPr>
          <w:b w:val="0"/>
          <w:bCs w:val="0"/>
          <w:color w:val="auto"/>
          <w:sz w:val="20"/>
        </w:rPr>
        <w:t xml:space="preserve">les institutions </w:t>
      </w:r>
      <w:r w:rsidR="00C828E0">
        <w:rPr>
          <w:b w:val="0"/>
          <w:bCs w:val="0"/>
          <w:color w:val="auto"/>
          <w:sz w:val="20"/>
        </w:rPr>
        <w:t>de</w:t>
      </w:r>
      <w:r w:rsidR="00A3566B" w:rsidRPr="00042846">
        <w:rPr>
          <w:b w:val="0"/>
          <w:bCs w:val="0"/>
          <w:color w:val="auto"/>
          <w:sz w:val="20"/>
        </w:rPr>
        <w:t xml:space="preserve"> la recherche pour soutenir, au niveau régional, l’évolution des comportements et l’engagement des parties prenantes, particulièrement les entreprises, dans une dynamique « 3R » (Réduire, Réutiliser, Recycler)</w:t>
      </w:r>
      <w:r w:rsidR="00C52327">
        <w:rPr>
          <w:b w:val="0"/>
          <w:bCs w:val="0"/>
          <w:color w:val="auto"/>
          <w:sz w:val="20"/>
        </w:rPr>
        <w:t xml:space="preserve"> dans la réponse à la problématique des déchets plastiques à l’échelle régionale</w:t>
      </w:r>
      <w:r w:rsidR="00A3566B" w:rsidRPr="00042846">
        <w:rPr>
          <w:b w:val="0"/>
          <w:bCs w:val="0"/>
          <w:color w:val="auto"/>
          <w:sz w:val="20"/>
        </w:rPr>
        <w:t xml:space="preserve">. </w:t>
      </w:r>
    </w:p>
    <w:p w14:paraId="0F72EA6A" w14:textId="10A2417B" w:rsidR="008F39D3" w:rsidRPr="00042846" w:rsidRDefault="008F39D3" w:rsidP="00E0445A">
      <w:pPr>
        <w:pStyle w:val="Titrepartie"/>
        <w:numPr>
          <w:ilvl w:val="0"/>
          <w:numId w:val="0"/>
        </w:numPr>
        <w:ind w:left="360"/>
        <w:rPr>
          <w:b w:val="0"/>
          <w:bCs w:val="0"/>
          <w:color w:val="auto"/>
          <w:sz w:val="20"/>
        </w:rPr>
      </w:pPr>
    </w:p>
    <w:p w14:paraId="086A3C57" w14:textId="2A144F53" w:rsidR="00A3566B" w:rsidRPr="00042846" w:rsidRDefault="00A3566B" w:rsidP="00587D27">
      <w:pPr>
        <w:pStyle w:val="Titrepartie"/>
        <w:numPr>
          <w:ilvl w:val="0"/>
          <w:numId w:val="0"/>
        </w:numPr>
        <w:rPr>
          <w:b w:val="0"/>
          <w:bCs w:val="0"/>
          <w:color w:val="auto"/>
          <w:sz w:val="20"/>
        </w:rPr>
      </w:pPr>
      <w:r w:rsidRPr="00042846">
        <w:rPr>
          <w:b w:val="0"/>
          <w:bCs w:val="0"/>
          <w:color w:val="auto"/>
          <w:sz w:val="20"/>
        </w:rPr>
        <w:t xml:space="preserve">Le projet se base sur </w:t>
      </w:r>
      <w:r w:rsidR="00E0445A" w:rsidRPr="00042846">
        <w:rPr>
          <w:b w:val="0"/>
          <w:bCs w:val="0"/>
          <w:color w:val="auto"/>
          <w:sz w:val="20"/>
        </w:rPr>
        <w:t>l</w:t>
      </w:r>
      <w:r w:rsidR="00031236" w:rsidRPr="00042846">
        <w:rPr>
          <w:b w:val="0"/>
          <w:bCs w:val="0"/>
          <w:color w:val="auto"/>
          <w:sz w:val="20"/>
        </w:rPr>
        <w:t>e</w:t>
      </w:r>
      <w:r w:rsidR="00E0445A" w:rsidRPr="00042846">
        <w:rPr>
          <w:b w:val="0"/>
          <w:bCs w:val="0"/>
          <w:color w:val="auto"/>
          <w:sz w:val="20"/>
        </w:rPr>
        <w:t xml:space="preserve">s </w:t>
      </w:r>
      <w:r w:rsidRPr="00042846">
        <w:rPr>
          <w:b w:val="0"/>
          <w:bCs w:val="0"/>
          <w:color w:val="auto"/>
          <w:sz w:val="20"/>
        </w:rPr>
        <w:t xml:space="preserve">cinq composantes </w:t>
      </w:r>
      <w:r w:rsidR="00E0445A" w:rsidRPr="00042846">
        <w:rPr>
          <w:b w:val="0"/>
          <w:bCs w:val="0"/>
          <w:color w:val="auto"/>
          <w:sz w:val="20"/>
        </w:rPr>
        <w:t xml:space="preserve">suivantes </w:t>
      </w:r>
      <w:r w:rsidRPr="00042846">
        <w:rPr>
          <w:b w:val="0"/>
          <w:bCs w:val="0"/>
          <w:color w:val="auto"/>
          <w:sz w:val="20"/>
        </w:rPr>
        <w:t xml:space="preserve">: </w:t>
      </w:r>
    </w:p>
    <w:p w14:paraId="15A3AFEB" w14:textId="4FCD9010" w:rsidR="00A3566B" w:rsidRPr="00042846" w:rsidRDefault="00A3566B" w:rsidP="00031236">
      <w:pPr>
        <w:pStyle w:val="Titrepartie"/>
        <w:numPr>
          <w:ilvl w:val="0"/>
          <w:numId w:val="30"/>
        </w:numPr>
        <w:rPr>
          <w:b w:val="0"/>
          <w:bCs w:val="0"/>
          <w:i/>
          <w:iCs/>
          <w:color w:val="auto"/>
          <w:sz w:val="20"/>
        </w:rPr>
      </w:pPr>
      <w:r w:rsidRPr="00042846">
        <w:rPr>
          <w:b w:val="0"/>
          <w:bCs w:val="0"/>
          <w:i/>
          <w:iCs/>
          <w:color w:val="auto"/>
          <w:sz w:val="20"/>
        </w:rPr>
        <w:t xml:space="preserve">Développer des connaissances scientifiques partagées sur l’état des pollutions marines dans la région du Sud-Ouest de l’océan Indien ; </w:t>
      </w:r>
    </w:p>
    <w:p w14:paraId="7E848573" w14:textId="728981DA" w:rsidR="00A3566B" w:rsidRPr="00042846" w:rsidRDefault="00A3566B" w:rsidP="00031236">
      <w:pPr>
        <w:pStyle w:val="Titrepartie"/>
        <w:numPr>
          <w:ilvl w:val="0"/>
          <w:numId w:val="30"/>
        </w:numPr>
        <w:rPr>
          <w:b w:val="0"/>
          <w:bCs w:val="0"/>
          <w:i/>
          <w:iCs/>
          <w:color w:val="auto"/>
          <w:sz w:val="20"/>
        </w:rPr>
      </w:pPr>
      <w:r w:rsidRPr="00042846">
        <w:rPr>
          <w:b w:val="0"/>
          <w:bCs w:val="0"/>
          <w:i/>
          <w:iCs/>
          <w:color w:val="auto"/>
          <w:sz w:val="20"/>
        </w:rPr>
        <w:t xml:space="preserve">Impliquer et responsabiliser les publics cibles ; </w:t>
      </w:r>
    </w:p>
    <w:p w14:paraId="58C5CF96" w14:textId="20478793" w:rsidR="00A3566B" w:rsidRPr="00042846" w:rsidRDefault="00A3566B" w:rsidP="00031236">
      <w:pPr>
        <w:pStyle w:val="Titrepartie"/>
        <w:numPr>
          <w:ilvl w:val="0"/>
          <w:numId w:val="30"/>
        </w:numPr>
        <w:rPr>
          <w:b w:val="0"/>
          <w:bCs w:val="0"/>
          <w:i/>
          <w:iCs/>
          <w:color w:val="auto"/>
          <w:sz w:val="20"/>
        </w:rPr>
      </w:pPr>
      <w:r w:rsidRPr="00042846">
        <w:rPr>
          <w:b w:val="0"/>
          <w:bCs w:val="0"/>
          <w:i/>
          <w:iCs/>
          <w:color w:val="auto"/>
          <w:sz w:val="20"/>
        </w:rPr>
        <w:t>Accompagner et stimuler les initiatives et les projets ;</w:t>
      </w:r>
    </w:p>
    <w:p w14:paraId="63C03717" w14:textId="02C5662B" w:rsidR="00A3566B" w:rsidRPr="00042846" w:rsidRDefault="00A3566B" w:rsidP="00031236">
      <w:pPr>
        <w:pStyle w:val="Titrepartie"/>
        <w:numPr>
          <w:ilvl w:val="0"/>
          <w:numId w:val="30"/>
        </w:numPr>
        <w:rPr>
          <w:b w:val="0"/>
          <w:bCs w:val="0"/>
          <w:i/>
          <w:iCs/>
          <w:color w:val="auto"/>
          <w:sz w:val="20"/>
        </w:rPr>
      </w:pPr>
      <w:r w:rsidRPr="00042846">
        <w:rPr>
          <w:b w:val="0"/>
          <w:bCs w:val="0"/>
          <w:i/>
          <w:iCs/>
          <w:color w:val="auto"/>
          <w:sz w:val="20"/>
        </w:rPr>
        <w:t xml:space="preserve">Identifier et accompagner les projets de substitution ou de recyclage du plastique. </w:t>
      </w:r>
    </w:p>
    <w:p w14:paraId="56F18FA5" w14:textId="4DDEB916" w:rsidR="00A3566B" w:rsidRPr="00042846" w:rsidRDefault="00A3566B" w:rsidP="00031236">
      <w:pPr>
        <w:pStyle w:val="Titrepartie"/>
        <w:numPr>
          <w:ilvl w:val="0"/>
          <w:numId w:val="30"/>
        </w:numPr>
        <w:rPr>
          <w:b w:val="0"/>
          <w:bCs w:val="0"/>
          <w:i/>
          <w:iCs/>
          <w:color w:val="auto"/>
          <w:sz w:val="20"/>
        </w:rPr>
      </w:pPr>
      <w:r w:rsidRPr="00042846">
        <w:rPr>
          <w:b w:val="0"/>
          <w:bCs w:val="0"/>
          <w:i/>
          <w:iCs/>
          <w:color w:val="auto"/>
          <w:sz w:val="20"/>
        </w:rPr>
        <w:t>Gestion du projet</w:t>
      </w:r>
      <w:r w:rsidR="00C52327">
        <w:rPr>
          <w:b w:val="0"/>
          <w:bCs w:val="0"/>
          <w:i/>
          <w:iCs/>
          <w:color w:val="auto"/>
          <w:sz w:val="20"/>
        </w:rPr>
        <w:t>.</w:t>
      </w:r>
    </w:p>
    <w:p w14:paraId="58F4B060" w14:textId="77777777" w:rsidR="00A3566B" w:rsidRPr="00042846" w:rsidRDefault="00A3566B" w:rsidP="00A3566B">
      <w:pPr>
        <w:pStyle w:val="Titrepartie"/>
        <w:numPr>
          <w:ilvl w:val="0"/>
          <w:numId w:val="0"/>
        </w:numPr>
        <w:ind w:left="360"/>
        <w:rPr>
          <w:b w:val="0"/>
          <w:bCs w:val="0"/>
          <w:color w:val="auto"/>
          <w:sz w:val="20"/>
        </w:rPr>
      </w:pPr>
    </w:p>
    <w:p w14:paraId="7E19198E" w14:textId="77777777" w:rsidR="00776BA1" w:rsidRPr="00042846" w:rsidRDefault="00776BA1" w:rsidP="008F39D3">
      <w:pPr>
        <w:pStyle w:val="Titrepartie"/>
        <w:numPr>
          <w:ilvl w:val="0"/>
          <w:numId w:val="0"/>
        </w:numPr>
        <w:ind w:left="360"/>
        <w:rPr>
          <w:b w:val="0"/>
          <w:bCs w:val="0"/>
          <w:color w:val="auto"/>
          <w:sz w:val="20"/>
        </w:rPr>
      </w:pPr>
    </w:p>
    <w:p w14:paraId="64050702" w14:textId="4F1FB49A" w:rsidR="00E0445A" w:rsidRPr="00042846" w:rsidRDefault="00A6160D" w:rsidP="004E6993">
      <w:pPr>
        <w:pStyle w:val="Sous-partie2"/>
        <w:numPr>
          <w:ilvl w:val="0"/>
          <w:numId w:val="0"/>
        </w:numPr>
        <w:ind w:left="1080"/>
        <w:rPr>
          <w:b/>
          <w:bCs/>
        </w:rPr>
      </w:pPr>
      <w:r>
        <w:t xml:space="preserve">1.1. </w:t>
      </w:r>
      <w:r w:rsidR="00E0445A" w:rsidRPr="00042846">
        <w:t xml:space="preserve">Etat d’avancement </w:t>
      </w:r>
    </w:p>
    <w:p w14:paraId="30CFADA8" w14:textId="7C05859E" w:rsidR="00107E7A" w:rsidRDefault="00107E7A" w:rsidP="00107E7A">
      <w:pPr>
        <w:pStyle w:val="Titrepartie"/>
        <w:numPr>
          <w:ilvl w:val="0"/>
          <w:numId w:val="0"/>
        </w:numPr>
        <w:rPr>
          <w:b w:val="0"/>
          <w:bCs w:val="0"/>
          <w:color w:val="auto"/>
          <w:sz w:val="20"/>
        </w:rPr>
      </w:pPr>
      <w:r w:rsidRPr="00042846">
        <w:rPr>
          <w:b w:val="0"/>
          <w:bCs w:val="0"/>
          <w:color w:val="auto"/>
          <w:sz w:val="20"/>
        </w:rPr>
        <w:t xml:space="preserve">Le recrutement de l’Unité de Gestion du Projet (UGP) est </w:t>
      </w:r>
      <w:r>
        <w:rPr>
          <w:b w:val="0"/>
          <w:bCs w:val="0"/>
          <w:color w:val="auto"/>
          <w:sz w:val="20"/>
        </w:rPr>
        <w:t>achevé</w:t>
      </w:r>
      <w:r w:rsidRPr="00042846">
        <w:rPr>
          <w:b w:val="0"/>
          <w:bCs w:val="0"/>
          <w:color w:val="auto"/>
          <w:sz w:val="20"/>
        </w:rPr>
        <w:t xml:space="preserve">, le contrat est </w:t>
      </w:r>
      <w:r>
        <w:rPr>
          <w:b w:val="0"/>
          <w:bCs w:val="0"/>
          <w:color w:val="auto"/>
          <w:sz w:val="20"/>
        </w:rPr>
        <w:t xml:space="preserve">signé avec </w:t>
      </w:r>
      <w:r w:rsidR="00C52327">
        <w:rPr>
          <w:b w:val="0"/>
          <w:bCs w:val="0"/>
          <w:color w:val="auto"/>
          <w:sz w:val="20"/>
        </w:rPr>
        <w:t xml:space="preserve">le Cabinet </w:t>
      </w:r>
      <w:r>
        <w:rPr>
          <w:b w:val="0"/>
          <w:bCs w:val="0"/>
          <w:color w:val="auto"/>
          <w:sz w:val="20"/>
        </w:rPr>
        <w:t>PROMAN et l’assistance technique est installée au siège de la COI depuis fin juin 2024.</w:t>
      </w:r>
    </w:p>
    <w:p w14:paraId="5D111C3D" w14:textId="37E541FF" w:rsidR="00C828E0" w:rsidRDefault="00107E7A" w:rsidP="00FD1031">
      <w:pPr>
        <w:jc w:val="both"/>
        <w:rPr>
          <w:rFonts w:ascii="Verdana" w:hAnsi="Verdana" w:cs="Calibri"/>
          <w:sz w:val="20"/>
          <w:szCs w:val="20"/>
        </w:rPr>
      </w:pPr>
      <w:r>
        <w:rPr>
          <w:rFonts w:ascii="Verdana" w:hAnsi="Verdana" w:cs="Calibri"/>
          <w:sz w:val="20"/>
          <w:szCs w:val="20"/>
        </w:rPr>
        <w:t>Cette équipe est</w:t>
      </w:r>
      <w:r w:rsidR="00C828E0">
        <w:rPr>
          <w:rFonts w:ascii="Verdana" w:hAnsi="Verdana" w:cs="Calibri"/>
          <w:sz w:val="20"/>
          <w:szCs w:val="20"/>
        </w:rPr>
        <w:t xml:space="preserve"> composée d’un coordinateur régional du projet, d</w:t>
      </w:r>
      <w:r w:rsidR="00EB00DA">
        <w:rPr>
          <w:rFonts w:ascii="Verdana" w:hAnsi="Verdana" w:cs="Calibri"/>
          <w:sz w:val="20"/>
          <w:szCs w:val="20"/>
        </w:rPr>
        <w:t>’</w:t>
      </w:r>
      <w:r w:rsidR="00C828E0">
        <w:rPr>
          <w:rFonts w:ascii="Verdana" w:hAnsi="Verdana" w:cs="Calibri"/>
          <w:sz w:val="20"/>
          <w:szCs w:val="20"/>
        </w:rPr>
        <w:t>u</w:t>
      </w:r>
      <w:r w:rsidR="00EB00DA">
        <w:rPr>
          <w:rFonts w:ascii="Verdana" w:hAnsi="Verdana" w:cs="Calibri"/>
          <w:sz w:val="20"/>
          <w:szCs w:val="20"/>
        </w:rPr>
        <w:t>n</w:t>
      </w:r>
      <w:r w:rsidR="00C828E0">
        <w:rPr>
          <w:rFonts w:ascii="Verdana" w:hAnsi="Verdana" w:cs="Calibri"/>
          <w:sz w:val="20"/>
          <w:szCs w:val="20"/>
        </w:rPr>
        <w:t xml:space="preserve"> </w:t>
      </w:r>
      <w:r w:rsidR="00EB00DA">
        <w:rPr>
          <w:rFonts w:ascii="Verdana" w:hAnsi="Verdana" w:cs="Calibri"/>
          <w:sz w:val="20"/>
          <w:szCs w:val="20"/>
        </w:rPr>
        <w:t>r</w:t>
      </w:r>
      <w:r w:rsidR="00C828E0">
        <w:rPr>
          <w:rFonts w:ascii="Verdana" w:hAnsi="Verdana" w:cs="Calibri"/>
          <w:sz w:val="20"/>
          <w:szCs w:val="20"/>
        </w:rPr>
        <w:t xml:space="preserve">esponsable </w:t>
      </w:r>
      <w:r w:rsidR="00EB00DA">
        <w:rPr>
          <w:rFonts w:ascii="Verdana" w:hAnsi="Verdana" w:cs="Calibri"/>
          <w:sz w:val="20"/>
          <w:szCs w:val="20"/>
        </w:rPr>
        <w:t>a</w:t>
      </w:r>
      <w:r w:rsidR="00C828E0">
        <w:rPr>
          <w:rFonts w:ascii="Verdana" w:hAnsi="Verdana" w:cs="Calibri"/>
          <w:sz w:val="20"/>
          <w:szCs w:val="20"/>
        </w:rPr>
        <w:t xml:space="preserve">dministratif et </w:t>
      </w:r>
      <w:r w:rsidR="00EB00DA">
        <w:rPr>
          <w:rFonts w:ascii="Verdana" w:hAnsi="Verdana" w:cs="Calibri"/>
          <w:sz w:val="20"/>
          <w:szCs w:val="20"/>
        </w:rPr>
        <w:t>f</w:t>
      </w:r>
      <w:r w:rsidR="00C828E0">
        <w:rPr>
          <w:rFonts w:ascii="Verdana" w:hAnsi="Verdana" w:cs="Calibri"/>
          <w:sz w:val="20"/>
          <w:szCs w:val="20"/>
        </w:rPr>
        <w:t>inancier et d’un expert en économie circulaire.</w:t>
      </w:r>
      <w:r w:rsidR="004B6FBB">
        <w:rPr>
          <w:rFonts w:ascii="Verdana" w:hAnsi="Verdana" w:cs="Calibri"/>
          <w:sz w:val="20"/>
          <w:szCs w:val="20"/>
        </w:rPr>
        <w:t xml:space="preserve"> </w:t>
      </w:r>
    </w:p>
    <w:p w14:paraId="7957BA77" w14:textId="50523D98" w:rsidR="00FE1639" w:rsidRPr="00042846" w:rsidRDefault="00FE1639" w:rsidP="00FD1031">
      <w:pPr>
        <w:jc w:val="both"/>
        <w:rPr>
          <w:rFonts w:ascii="Verdana" w:hAnsi="Verdana"/>
          <w:sz w:val="20"/>
          <w:szCs w:val="20"/>
        </w:rPr>
      </w:pPr>
      <w:r w:rsidRPr="00042846">
        <w:rPr>
          <w:rFonts w:ascii="Verdana" w:hAnsi="Verdana" w:cs="Calibri"/>
          <w:sz w:val="20"/>
          <w:szCs w:val="20"/>
        </w:rPr>
        <w:t xml:space="preserve">Malgré </w:t>
      </w:r>
      <w:r w:rsidR="00EB00DA">
        <w:rPr>
          <w:rFonts w:ascii="Verdana" w:hAnsi="Verdana" w:cs="Calibri"/>
          <w:sz w:val="20"/>
          <w:szCs w:val="20"/>
        </w:rPr>
        <w:t>l</w:t>
      </w:r>
      <w:r w:rsidRPr="00042846">
        <w:rPr>
          <w:rFonts w:ascii="Verdana" w:hAnsi="Verdana" w:cs="Calibri"/>
          <w:sz w:val="20"/>
          <w:szCs w:val="20"/>
        </w:rPr>
        <w:t xml:space="preserve">es retards dans le recrutement de l’assistance technique </w:t>
      </w:r>
      <w:r w:rsidR="00D4740D" w:rsidRPr="00042846">
        <w:rPr>
          <w:rFonts w:ascii="Verdana" w:hAnsi="Verdana" w:cs="Calibri"/>
          <w:sz w:val="20"/>
          <w:szCs w:val="20"/>
        </w:rPr>
        <w:t xml:space="preserve">depuis </w:t>
      </w:r>
      <w:r w:rsidR="00C828E0">
        <w:rPr>
          <w:rFonts w:ascii="Verdana" w:hAnsi="Verdana" w:cs="Calibri"/>
          <w:sz w:val="20"/>
          <w:szCs w:val="20"/>
        </w:rPr>
        <w:t>la signature de la Convention de financement en 2021</w:t>
      </w:r>
      <w:r w:rsidR="00D4740D" w:rsidRPr="00042846">
        <w:rPr>
          <w:rFonts w:ascii="Verdana" w:hAnsi="Verdana" w:cs="Calibri"/>
          <w:sz w:val="20"/>
          <w:szCs w:val="20"/>
        </w:rPr>
        <w:t xml:space="preserve">, </w:t>
      </w:r>
      <w:r w:rsidRPr="00042846">
        <w:rPr>
          <w:rFonts w:ascii="Verdana" w:hAnsi="Verdana" w:cs="Calibri"/>
          <w:sz w:val="20"/>
          <w:szCs w:val="20"/>
        </w:rPr>
        <w:t xml:space="preserve">le Secrétariat </w:t>
      </w:r>
      <w:r w:rsidR="00107E7A">
        <w:rPr>
          <w:rFonts w:ascii="Verdana" w:hAnsi="Verdana" w:cs="Calibri"/>
          <w:sz w:val="20"/>
          <w:szCs w:val="20"/>
        </w:rPr>
        <w:t xml:space="preserve">général de la COI </w:t>
      </w:r>
      <w:r w:rsidRPr="00042846">
        <w:rPr>
          <w:rFonts w:ascii="Verdana" w:hAnsi="Verdana" w:cs="Calibri"/>
          <w:sz w:val="20"/>
          <w:szCs w:val="20"/>
        </w:rPr>
        <w:t>a pu mettre en œuvre quelques activités sous les composantes scientifique et sensibilisation, notamment avec le concours des experts scientifiques mis à disposition par le CNRS/IRD et Ifremer </w:t>
      </w:r>
      <w:r w:rsidR="00D60E4C">
        <w:rPr>
          <w:rFonts w:ascii="Verdana" w:hAnsi="Verdana" w:cs="Calibri"/>
          <w:sz w:val="20"/>
          <w:szCs w:val="20"/>
        </w:rPr>
        <w:t xml:space="preserve">comme indiqué dans la fiche </w:t>
      </w:r>
      <w:r w:rsidR="00692600">
        <w:rPr>
          <w:rFonts w:ascii="Verdana" w:hAnsi="Verdana" w:cs="Calibri"/>
          <w:sz w:val="20"/>
          <w:szCs w:val="20"/>
        </w:rPr>
        <w:t xml:space="preserve">2.4. </w:t>
      </w:r>
      <w:proofErr w:type="gramStart"/>
      <w:r w:rsidR="00692600">
        <w:rPr>
          <w:rFonts w:ascii="Verdana" w:hAnsi="Verdana" w:cs="Calibri"/>
          <w:sz w:val="20"/>
          <w:szCs w:val="20"/>
        </w:rPr>
        <w:t>soumise</w:t>
      </w:r>
      <w:proofErr w:type="gramEnd"/>
      <w:r w:rsidR="00692600">
        <w:rPr>
          <w:rFonts w:ascii="Verdana" w:hAnsi="Verdana" w:cs="Calibri"/>
          <w:sz w:val="20"/>
          <w:szCs w:val="20"/>
        </w:rPr>
        <w:t xml:space="preserve"> au Comité des OPL n°01/24 d’avril dernier. </w:t>
      </w:r>
      <w:r w:rsidRPr="00042846">
        <w:rPr>
          <w:rFonts w:ascii="Verdana" w:hAnsi="Verdana"/>
          <w:sz w:val="20"/>
          <w:szCs w:val="20"/>
        </w:rPr>
        <w:t xml:space="preserve"> </w:t>
      </w:r>
    </w:p>
    <w:p w14:paraId="5AF86876" w14:textId="119DF8BD" w:rsidR="0078109C" w:rsidRDefault="00692600" w:rsidP="00E0445A">
      <w:pPr>
        <w:pStyle w:val="Titrepartie"/>
        <w:numPr>
          <w:ilvl w:val="0"/>
          <w:numId w:val="0"/>
        </w:numPr>
        <w:rPr>
          <w:b w:val="0"/>
          <w:bCs w:val="0"/>
          <w:color w:val="auto"/>
          <w:sz w:val="20"/>
        </w:rPr>
      </w:pPr>
      <w:r>
        <w:rPr>
          <w:b w:val="0"/>
          <w:bCs w:val="0"/>
          <w:color w:val="auto"/>
          <w:sz w:val="20"/>
        </w:rPr>
        <w:t xml:space="preserve">Les activités de recherches menées par les experts </w:t>
      </w:r>
      <w:r w:rsidR="005D5C2C">
        <w:rPr>
          <w:b w:val="0"/>
          <w:bCs w:val="0"/>
          <w:color w:val="auto"/>
          <w:sz w:val="20"/>
        </w:rPr>
        <w:t>scientifiques de la composante 1 du projet portent sur</w:t>
      </w:r>
      <w:r w:rsidR="0078109C">
        <w:rPr>
          <w:b w:val="0"/>
          <w:bCs w:val="0"/>
          <w:color w:val="auto"/>
          <w:sz w:val="20"/>
        </w:rPr>
        <w:t> :</w:t>
      </w:r>
    </w:p>
    <w:p w14:paraId="779D4BA2" w14:textId="0906A961" w:rsidR="0078109C" w:rsidRDefault="00107E7A" w:rsidP="0078109C">
      <w:pPr>
        <w:pStyle w:val="Titrepartie"/>
        <w:numPr>
          <w:ilvl w:val="0"/>
          <w:numId w:val="31"/>
        </w:numPr>
        <w:rPr>
          <w:b w:val="0"/>
          <w:bCs w:val="0"/>
          <w:color w:val="auto"/>
          <w:sz w:val="20"/>
        </w:rPr>
      </w:pPr>
      <w:r w:rsidRPr="00042846">
        <w:rPr>
          <w:b w:val="0"/>
          <w:bCs w:val="0"/>
          <w:color w:val="auto"/>
          <w:sz w:val="20"/>
        </w:rPr>
        <w:t>L’impact</w:t>
      </w:r>
      <w:r w:rsidR="001D2865" w:rsidRPr="00042846">
        <w:rPr>
          <w:b w:val="0"/>
          <w:bCs w:val="0"/>
          <w:color w:val="auto"/>
          <w:sz w:val="20"/>
        </w:rPr>
        <w:t xml:space="preserve"> sur usage aquacole</w:t>
      </w:r>
      <w:r w:rsidR="006F0295" w:rsidRPr="00042846">
        <w:rPr>
          <w:b w:val="0"/>
          <w:bCs w:val="0"/>
          <w:color w:val="auto"/>
          <w:sz w:val="20"/>
        </w:rPr>
        <w:t xml:space="preserve"> du plastique</w:t>
      </w:r>
      <w:r w:rsidR="001D2865" w:rsidRPr="00042846">
        <w:rPr>
          <w:b w:val="0"/>
          <w:bCs w:val="0"/>
          <w:color w:val="auto"/>
          <w:sz w:val="20"/>
        </w:rPr>
        <w:t>,</w:t>
      </w:r>
    </w:p>
    <w:p w14:paraId="7D7BECEE" w14:textId="1795B3EA" w:rsidR="0078109C" w:rsidRDefault="00107E7A" w:rsidP="0078109C">
      <w:pPr>
        <w:pStyle w:val="Titrepartie"/>
        <w:numPr>
          <w:ilvl w:val="0"/>
          <w:numId w:val="31"/>
        </w:numPr>
        <w:rPr>
          <w:b w:val="0"/>
          <w:bCs w:val="0"/>
          <w:color w:val="auto"/>
          <w:sz w:val="20"/>
        </w:rPr>
      </w:pPr>
      <w:r w:rsidRPr="00042846">
        <w:rPr>
          <w:b w:val="0"/>
          <w:bCs w:val="0"/>
          <w:color w:val="auto"/>
          <w:sz w:val="20"/>
        </w:rPr>
        <w:t>La</w:t>
      </w:r>
      <w:r w:rsidR="001D2865" w:rsidRPr="00042846">
        <w:rPr>
          <w:b w:val="0"/>
          <w:bCs w:val="0"/>
          <w:color w:val="auto"/>
          <w:sz w:val="20"/>
        </w:rPr>
        <w:t xml:space="preserve"> biodégradabilité en mer,</w:t>
      </w:r>
    </w:p>
    <w:p w14:paraId="4D30B293" w14:textId="2919E788" w:rsidR="0078109C" w:rsidRDefault="00107E7A" w:rsidP="0078109C">
      <w:pPr>
        <w:pStyle w:val="Titrepartie"/>
        <w:numPr>
          <w:ilvl w:val="0"/>
          <w:numId w:val="31"/>
        </w:numPr>
        <w:rPr>
          <w:b w:val="0"/>
          <w:bCs w:val="0"/>
          <w:color w:val="auto"/>
          <w:sz w:val="20"/>
        </w:rPr>
      </w:pPr>
      <w:r w:rsidRPr="00042846">
        <w:rPr>
          <w:b w:val="0"/>
          <w:bCs w:val="0"/>
          <w:color w:val="auto"/>
          <w:sz w:val="20"/>
        </w:rPr>
        <w:t>La</w:t>
      </w:r>
      <w:r w:rsidR="001D2865" w:rsidRPr="00042846">
        <w:rPr>
          <w:b w:val="0"/>
          <w:bCs w:val="0"/>
          <w:color w:val="auto"/>
          <w:sz w:val="20"/>
        </w:rPr>
        <w:t xml:space="preserve"> perception humaine</w:t>
      </w:r>
      <w:r w:rsidR="0078109C">
        <w:rPr>
          <w:b w:val="0"/>
          <w:bCs w:val="0"/>
          <w:color w:val="auto"/>
          <w:sz w:val="20"/>
        </w:rPr>
        <w:t>,</w:t>
      </w:r>
    </w:p>
    <w:p w14:paraId="241D9366" w14:textId="1FE0B230" w:rsidR="007305D9" w:rsidRPr="00107E7A" w:rsidRDefault="00107E7A" w:rsidP="00107E7A">
      <w:pPr>
        <w:pStyle w:val="Titrepartie"/>
        <w:numPr>
          <w:ilvl w:val="0"/>
          <w:numId w:val="31"/>
        </w:numPr>
        <w:rPr>
          <w:b w:val="0"/>
          <w:bCs w:val="0"/>
          <w:color w:val="auto"/>
          <w:sz w:val="20"/>
        </w:rPr>
      </w:pPr>
      <w:r w:rsidRPr="00107E7A">
        <w:rPr>
          <w:b w:val="0"/>
          <w:bCs w:val="0"/>
          <w:color w:val="auto"/>
          <w:sz w:val="20"/>
        </w:rPr>
        <w:t>Les</w:t>
      </w:r>
      <w:r w:rsidR="001D2865" w:rsidRPr="00107E7A">
        <w:rPr>
          <w:b w:val="0"/>
          <w:bCs w:val="0"/>
          <w:color w:val="auto"/>
          <w:sz w:val="20"/>
        </w:rPr>
        <w:t xml:space="preserve"> impacts microbiologiques du plastique.</w:t>
      </w:r>
    </w:p>
    <w:p w14:paraId="7572A000" w14:textId="36CE7E0A" w:rsidR="007305D9" w:rsidRPr="007305D9" w:rsidRDefault="007305D9" w:rsidP="007305D9">
      <w:pPr>
        <w:pStyle w:val="Titrepartie"/>
        <w:numPr>
          <w:ilvl w:val="0"/>
          <w:numId w:val="0"/>
        </w:numPr>
        <w:rPr>
          <w:b w:val="0"/>
          <w:bCs w:val="0"/>
          <w:color w:val="auto"/>
          <w:sz w:val="20"/>
        </w:rPr>
      </w:pPr>
      <w:r w:rsidRPr="007305D9">
        <w:rPr>
          <w:b w:val="0"/>
          <w:bCs w:val="0"/>
          <w:color w:val="auto"/>
          <w:sz w:val="20"/>
        </w:rPr>
        <w:t xml:space="preserve">Depuis l’arrivée de l’assistance technique </w:t>
      </w:r>
      <w:r w:rsidR="00940D2C">
        <w:rPr>
          <w:b w:val="0"/>
          <w:bCs w:val="0"/>
          <w:color w:val="auto"/>
          <w:sz w:val="20"/>
        </w:rPr>
        <w:t xml:space="preserve">fin juin 2024, </w:t>
      </w:r>
      <w:r w:rsidR="00746B25">
        <w:rPr>
          <w:b w:val="0"/>
          <w:bCs w:val="0"/>
          <w:color w:val="auto"/>
          <w:sz w:val="20"/>
        </w:rPr>
        <w:t>l</w:t>
      </w:r>
      <w:r w:rsidR="00746B25" w:rsidRPr="007305D9">
        <w:rPr>
          <w:b w:val="0"/>
          <w:bCs w:val="0"/>
          <w:color w:val="auto"/>
          <w:sz w:val="20"/>
        </w:rPr>
        <w:t xml:space="preserve">es </w:t>
      </w:r>
      <w:r w:rsidRPr="007305D9">
        <w:rPr>
          <w:b w:val="0"/>
          <w:bCs w:val="0"/>
          <w:color w:val="auto"/>
          <w:sz w:val="20"/>
        </w:rPr>
        <w:t>activités</w:t>
      </w:r>
      <w:r w:rsidR="00746B25">
        <w:rPr>
          <w:b w:val="0"/>
          <w:bCs w:val="0"/>
          <w:color w:val="auto"/>
          <w:sz w:val="20"/>
        </w:rPr>
        <w:t xml:space="preserve"> ci-après</w:t>
      </w:r>
      <w:r w:rsidRPr="007305D9">
        <w:rPr>
          <w:b w:val="0"/>
          <w:bCs w:val="0"/>
          <w:color w:val="auto"/>
          <w:sz w:val="20"/>
        </w:rPr>
        <w:t xml:space="preserve"> ont été mises en œuvre :</w:t>
      </w:r>
    </w:p>
    <w:p w14:paraId="3AFEF6B7" w14:textId="2AC608FF" w:rsidR="007305D9" w:rsidRPr="00D20205" w:rsidRDefault="007305D9" w:rsidP="00D20205">
      <w:pPr>
        <w:pStyle w:val="Paragraphedeliste"/>
        <w:numPr>
          <w:ilvl w:val="0"/>
          <w:numId w:val="35"/>
        </w:numPr>
        <w:shd w:val="clear" w:color="auto" w:fill="FFFFFF"/>
        <w:spacing w:after="120" w:line="240" w:lineRule="auto"/>
        <w:jc w:val="both"/>
        <w:textAlignment w:val="baseline"/>
        <w:rPr>
          <w:rFonts w:ascii="Aptos" w:eastAsia="Times New Roman" w:hAnsi="Aptos" w:cs="Segoe UI"/>
          <w:color w:val="000000"/>
          <w:lang w:eastAsia="fr-FR"/>
        </w:rPr>
      </w:pPr>
      <w:r w:rsidRPr="00D20205">
        <w:rPr>
          <w:rFonts w:ascii="Aptos" w:eastAsia="Times New Roman" w:hAnsi="Aptos" w:cs="Segoe UI"/>
          <w:color w:val="000000"/>
          <w:lang w:eastAsia="fr-FR"/>
        </w:rPr>
        <w:lastRenderedPageBreak/>
        <w:t>Rédaction d’une </w:t>
      </w:r>
      <w:r w:rsidRPr="00D20205">
        <w:rPr>
          <w:rFonts w:ascii="Aptos" w:eastAsia="Times New Roman" w:hAnsi="Aptos" w:cs="Segoe UI"/>
          <w:b/>
          <w:bCs/>
          <w:color w:val="000000"/>
          <w:lang w:eastAsia="fr-FR"/>
        </w:rPr>
        <w:t>revue bibliographique (« capitalisation ex-ante »)</w:t>
      </w:r>
      <w:r w:rsidRPr="00D20205">
        <w:rPr>
          <w:rFonts w:ascii="Aptos" w:eastAsia="Times New Roman" w:hAnsi="Aptos" w:cs="Segoe UI"/>
          <w:color w:val="000000"/>
          <w:lang w:eastAsia="fr-FR"/>
        </w:rPr>
        <w:t> sur l’état de l’art en matière de lutte contre les pollutions plastiques marines dans l’</w:t>
      </w:r>
      <w:r w:rsidR="001174F7">
        <w:rPr>
          <w:rFonts w:ascii="Aptos" w:eastAsia="Times New Roman" w:hAnsi="Aptos" w:cs="Segoe UI"/>
          <w:color w:val="000000"/>
          <w:lang w:eastAsia="fr-FR"/>
        </w:rPr>
        <w:t>o</w:t>
      </w:r>
      <w:r w:rsidRPr="00D20205">
        <w:rPr>
          <w:rFonts w:ascii="Aptos" w:eastAsia="Times New Roman" w:hAnsi="Aptos" w:cs="Segoe UI"/>
          <w:color w:val="000000"/>
          <w:lang w:eastAsia="fr-FR"/>
        </w:rPr>
        <w:t>céan Indien</w:t>
      </w:r>
    </w:p>
    <w:p w14:paraId="624B9BDA" w14:textId="635BD4F3" w:rsidR="007305D9" w:rsidRPr="00D20205" w:rsidRDefault="007305D9" w:rsidP="00D20205">
      <w:pPr>
        <w:pStyle w:val="Paragraphedeliste"/>
        <w:numPr>
          <w:ilvl w:val="0"/>
          <w:numId w:val="35"/>
        </w:numPr>
        <w:shd w:val="clear" w:color="auto" w:fill="FFFFFF"/>
        <w:spacing w:after="120" w:line="240" w:lineRule="auto"/>
        <w:jc w:val="both"/>
        <w:textAlignment w:val="baseline"/>
        <w:rPr>
          <w:rFonts w:ascii="Aptos" w:eastAsia="Times New Roman" w:hAnsi="Aptos" w:cs="Segoe UI"/>
          <w:color w:val="000000"/>
          <w:lang w:eastAsia="fr-FR"/>
        </w:rPr>
      </w:pPr>
      <w:r w:rsidRPr="00D20205">
        <w:rPr>
          <w:rFonts w:ascii="Aptos" w:eastAsia="Times New Roman" w:hAnsi="Aptos" w:cs="Segoe UI"/>
          <w:b/>
          <w:bCs/>
          <w:color w:val="000000"/>
          <w:lang w:eastAsia="fr-FR"/>
        </w:rPr>
        <w:t>Finalisation de la Convention IRD-COI</w:t>
      </w:r>
      <w:r w:rsidRPr="00D20205">
        <w:rPr>
          <w:rFonts w:ascii="Aptos" w:eastAsia="Times New Roman" w:hAnsi="Aptos" w:cs="Segoe UI"/>
          <w:color w:val="000000"/>
          <w:lang w:eastAsia="fr-FR"/>
        </w:rPr>
        <w:t xml:space="preserve"> pour la mise en œuvre de la </w:t>
      </w:r>
      <w:r w:rsidRPr="00D20205">
        <w:rPr>
          <w:rFonts w:ascii="Aptos" w:eastAsia="Times New Roman" w:hAnsi="Aptos" w:cs="Segoe UI"/>
          <w:b/>
          <w:bCs/>
          <w:color w:val="000000"/>
          <w:lang w:eastAsia="fr-FR"/>
        </w:rPr>
        <w:t>composante scientifique</w:t>
      </w:r>
      <w:r w:rsidRPr="00D20205">
        <w:rPr>
          <w:rFonts w:ascii="Aptos" w:eastAsia="Times New Roman" w:hAnsi="Aptos" w:cs="Segoe UI"/>
          <w:color w:val="000000"/>
          <w:lang w:eastAsia="fr-FR"/>
        </w:rPr>
        <w:t> du projet avec les chercheurs de l’IRD.</w:t>
      </w:r>
    </w:p>
    <w:p w14:paraId="61A25D9C" w14:textId="3E2FF386" w:rsidR="007305D9" w:rsidRPr="00D20205" w:rsidRDefault="007305D9" w:rsidP="00D20205">
      <w:pPr>
        <w:pStyle w:val="Paragraphedeliste"/>
        <w:numPr>
          <w:ilvl w:val="0"/>
          <w:numId w:val="35"/>
        </w:numPr>
        <w:shd w:val="clear" w:color="auto" w:fill="FFFFFF"/>
        <w:spacing w:after="120" w:line="240" w:lineRule="auto"/>
        <w:jc w:val="both"/>
        <w:textAlignment w:val="baseline"/>
        <w:rPr>
          <w:rFonts w:ascii="Aptos" w:eastAsia="Times New Roman" w:hAnsi="Aptos" w:cs="Segoe UI"/>
          <w:color w:val="000000"/>
          <w:lang w:eastAsia="fr-FR"/>
        </w:rPr>
      </w:pPr>
      <w:r w:rsidRPr="00D20205">
        <w:rPr>
          <w:rFonts w:ascii="Aptos" w:eastAsia="Times New Roman" w:hAnsi="Aptos" w:cs="Segoe UI"/>
          <w:color w:val="000000"/>
          <w:lang w:eastAsia="fr-FR"/>
        </w:rPr>
        <w:t>Préparation </w:t>
      </w:r>
      <w:r w:rsidRPr="00D20205">
        <w:rPr>
          <w:rFonts w:ascii="Aptos" w:eastAsia="Times New Roman" w:hAnsi="Aptos" w:cs="Segoe UI"/>
          <w:b/>
          <w:bCs/>
          <w:color w:val="000000"/>
          <w:lang w:eastAsia="fr-FR"/>
        </w:rPr>
        <w:t xml:space="preserve">d’une expédition </w:t>
      </w:r>
      <w:r w:rsidR="00940D2C" w:rsidRPr="00D20205">
        <w:rPr>
          <w:rFonts w:ascii="Aptos" w:eastAsia="Times New Roman" w:hAnsi="Aptos" w:cs="Segoe UI"/>
          <w:b/>
          <w:bCs/>
          <w:color w:val="000000"/>
          <w:lang w:eastAsia="fr-FR"/>
        </w:rPr>
        <w:t>océanographique</w:t>
      </w:r>
      <w:r w:rsidR="00940D2C" w:rsidRPr="00D20205">
        <w:rPr>
          <w:rFonts w:ascii="Aptos" w:eastAsia="Times New Roman" w:hAnsi="Aptos" w:cs="Segoe UI"/>
          <w:color w:val="000000"/>
          <w:lang w:eastAsia="fr-FR"/>
        </w:rPr>
        <w:t xml:space="preserve"> au</w:t>
      </w:r>
      <w:r w:rsidRPr="00D20205">
        <w:rPr>
          <w:rFonts w:ascii="Aptos" w:eastAsia="Times New Roman" w:hAnsi="Aptos" w:cs="Segoe UI"/>
          <w:b/>
          <w:bCs/>
          <w:color w:val="000000"/>
          <w:lang w:eastAsia="fr-FR"/>
        </w:rPr>
        <w:t xml:space="preserve"> long cours, dans chacun des Etats membres de la COI pour mars </w:t>
      </w:r>
      <w:r w:rsidR="00940D2C">
        <w:rPr>
          <w:rFonts w:ascii="Aptos" w:eastAsia="Times New Roman" w:hAnsi="Aptos" w:cs="Segoe UI"/>
          <w:b/>
          <w:bCs/>
          <w:color w:val="000000"/>
          <w:lang w:eastAsia="fr-FR"/>
        </w:rPr>
        <w:t xml:space="preserve">- </w:t>
      </w:r>
      <w:r w:rsidRPr="00D20205">
        <w:rPr>
          <w:rFonts w:ascii="Aptos" w:eastAsia="Times New Roman" w:hAnsi="Aptos" w:cs="Segoe UI"/>
          <w:b/>
          <w:bCs/>
          <w:color w:val="000000"/>
          <w:lang w:eastAsia="fr-FR"/>
        </w:rPr>
        <w:t>avril 2025 ;</w:t>
      </w:r>
    </w:p>
    <w:p w14:paraId="1D29E2CD" w14:textId="33EF6422" w:rsidR="007305D9" w:rsidRPr="00D20205" w:rsidRDefault="00591825" w:rsidP="00D20205">
      <w:pPr>
        <w:pStyle w:val="Paragraphedeliste"/>
        <w:numPr>
          <w:ilvl w:val="0"/>
          <w:numId w:val="35"/>
        </w:numPr>
        <w:shd w:val="clear" w:color="auto" w:fill="FFFFFF"/>
        <w:spacing w:after="120" w:line="240" w:lineRule="auto"/>
        <w:jc w:val="both"/>
        <w:textAlignment w:val="baseline"/>
        <w:rPr>
          <w:rFonts w:ascii="Aptos" w:eastAsia="Times New Roman" w:hAnsi="Aptos" w:cs="Segoe UI"/>
          <w:color w:val="000000"/>
          <w:lang w:eastAsia="fr-FR"/>
        </w:rPr>
      </w:pPr>
      <w:r>
        <w:rPr>
          <w:rFonts w:ascii="Aptos" w:eastAsia="Times New Roman" w:hAnsi="Aptos" w:cs="Segoe UI"/>
          <w:b/>
          <w:bCs/>
          <w:color w:val="000000"/>
          <w:lang w:eastAsia="fr-FR"/>
        </w:rPr>
        <w:t>R</w:t>
      </w:r>
      <w:r w:rsidR="007305D9" w:rsidRPr="00D20205">
        <w:rPr>
          <w:rFonts w:ascii="Aptos" w:eastAsia="Times New Roman" w:hAnsi="Aptos" w:cs="Segoe UI"/>
          <w:b/>
          <w:bCs/>
          <w:color w:val="000000"/>
          <w:lang w:eastAsia="fr-FR"/>
        </w:rPr>
        <w:t>ecrutement d’un cabinet chargé d’auditer les comptes</w:t>
      </w:r>
      <w:r w:rsidR="007305D9" w:rsidRPr="00D20205">
        <w:rPr>
          <w:rFonts w:ascii="Aptos" w:eastAsia="Times New Roman" w:hAnsi="Aptos" w:cs="Segoe UI"/>
          <w:color w:val="000000"/>
          <w:lang w:eastAsia="fr-FR"/>
        </w:rPr>
        <w:t> du projet ;</w:t>
      </w:r>
    </w:p>
    <w:p w14:paraId="6AEEA1D2" w14:textId="27088B68" w:rsidR="007305D9" w:rsidRPr="00D20205" w:rsidRDefault="00591825" w:rsidP="00D20205">
      <w:pPr>
        <w:pStyle w:val="Paragraphedeliste"/>
        <w:numPr>
          <w:ilvl w:val="0"/>
          <w:numId w:val="35"/>
        </w:numPr>
        <w:shd w:val="clear" w:color="auto" w:fill="FFFFFF"/>
        <w:spacing w:after="120" w:line="240" w:lineRule="auto"/>
        <w:jc w:val="both"/>
        <w:textAlignment w:val="baseline"/>
        <w:rPr>
          <w:rFonts w:ascii="Aptos" w:eastAsia="Times New Roman" w:hAnsi="Aptos" w:cs="Segoe UI"/>
          <w:color w:val="000000"/>
          <w:lang w:eastAsia="fr-FR"/>
        </w:rPr>
      </w:pPr>
      <w:r>
        <w:rPr>
          <w:rFonts w:ascii="Aptos" w:eastAsia="Times New Roman" w:hAnsi="Aptos" w:cs="Segoe UI"/>
          <w:b/>
          <w:bCs/>
          <w:color w:val="000000"/>
          <w:lang w:eastAsia="fr-FR"/>
        </w:rPr>
        <w:t>R</w:t>
      </w:r>
      <w:r w:rsidRPr="00D20205">
        <w:rPr>
          <w:rFonts w:ascii="Aptos" w:eastAsia="Times New Roman" w:hAnsi="Aptos" w:cs="Segoe UI"/>
          <w:b/>
          <w:bCs/>
          <w:color w:val="000000"/>
          <w:lang w:eastAsia="fr-FR"/>
        </w:rPr>
        <w:t xml:space="preserve">évision </w:t>
      </w:r>
      <w:r w:rsidR="007305D9" w:rsidRPr="00D20205">
        <w:rPr>
          <w:rFonts w:ascii="Aptos" w:eastAsia="Times New Roman" w:hAnsi="Aptos" w:cs="Segoe UI"/>
          <w:b/>
          <w:bCs/>
          <w:color w:val="000000"/>
          <w:lang w:eastAsia="fr-FR"/>
        </w:rPr>
        <w:t xml:space="preserve">du </w:t>
      </w:r>
      <w:r w:rsidR="00C52327">
        <w:rPr>
          <w:rFonts w:ascii="Verdana" w:hAnsi="Verdana" w:cs="Calibri"/>
          <w:sz w:val="20"/>
          <w:szCs w:val="20"/>
        </w:rPr>
        <w:t>Plan de travail annuel budgétisé (</w:t>
      </w:r>
      <w:r w:rsidR="007305D9" w:rsidRPr="00D20205">
        <w:rPr>
          <w:rFonts w:ascii="Aptos" w:eastAsia="Times New Roman" w:hAnsi="Aptos" w:cs="Segoe UI"/>
          <w:b/>
          <w:bCs/>
          <w:color w:val="000000"/>
          <w:lang w:eastAsia="fr-FR"/>
        </w:rPr>
        <w:t>PTBA</w:t>
      </w:r>
      <w:r w:rsidR="00C52327">
        <w:rPr>
          <w:rFonts w:ascii="Aptos" w:eastAsia="Times New Roman" w:hAnsi="Aptos" w:cs="Segoe UI"/>
          <w:b/>
          <w:bCs/>
          <w:color w:val="000000"/>
          <w:lang w:eastAsia="fr-FR"/>
        </w:rPr>
        <w:t>)</w:t>
      </w:r>
      <w:r w:rsidR="007305D9" w:rsidRPr="00D20205">
        <w:rPr>
          <w:rFonts w:ascii="Aptos" w:eastAsia="Times New Roman" w:hAnsi="Aptos" w:cs="Segoe UI"/>
          <w:b/>
          <w:bCs/>
          <w:color w:val="000000"/>
          <w:lang w:eastAsia="fr-FR"/>
        </w:rPr>
        <w:t>, du plan de passation des marchés et du manuel de gestion de projet</w:t>
      </w:r>
      <w:r w:rsidR="007305D9" w:rsidRPr="00D20205">
        <w:rPr>
          <w:rFonts w:ascii="Aptos" w:eastAsia="Times New Roman" w:hAnsi="Aptos" w:cs="Segoe UI"/>
          <w:color w:val="000000"/>
          <w:lang w:eastAsia="fr-FR"/>
        </w:rPr>
        <w:t> ;</w:t>
      </w:r>
    </w:p>
    <w:p w14:paraId="726C3D4F" w14:textId="2D81C730" w:rsidR="008A4291" w:rsidRDefault="008A4291" w:rsidP="008A4291">
      <w:pPr>
        <w:ind w:left="360"/>
        <w:jc w:val="both"/>
        <w:rPr>
          <w:rFonts w:ascii="Verdana" w:hAnsi="Verdana" w:cs="Calibri"/>
          <w:sz w:val="20"/>
          <w:szCs w:val="20"/>
        </w:rPr>
      </w:pPr>
      <w:r>
        <w:rPr>
          <w:rFonts w:ascii="Verdana" w:hAnsi="Verdana" w:cs="Calibri"/>
          <w:sz w:val="20"/>
          <w:szCs w:val="20"/>
        </w:rPr>
        <w:t>Tenant compte de certains risques et contraintes ayant émergé à la suite du déploiement de l’assistance technique</w:t>
      </w:r>
      <w:r w:rsidRPr="004E6993">
        <w:rPr>
          <w:rFonts w:ascii="Verdana" w:hAnsi="Verdana" w:cs="Calibri"/>
          <w:sz w:val="20"/>
          <w:szCs w:val="20"/>
        </w:rPr>
        <w:t xml:space="preserve">, la COI a saisi </w:t>
      </w:r>
      <w:r w:rsidR="00C52327">
        <w:rPr>
          <w:rFonts w:ascii="Verdana" w:hAnsi="Verdana" w:cs="Calibri"/>
          <w:sz w:val="20"/>
          <w:szCs w:val="20"/>
        </w:rPr>
        <w:t xml:space="preserve">le cabinet </w:t>
      </w:r>
      <w:r w:rsidRPr="004E6993">
        <w:rPr>
          <w:rFonts w:ascii="Verdana" w:hAnsi="Verdana" w:cs="Calibri"/>
          <w:sz w:val="20"/>
          <w:szCs w:val="20"/>
        </w:rPr>
        <w:t>PROMAN pour le remplacement du RAF et de l’expert en économie circulaire</w:t>
      </w:r>
      <w:r>
        <w:rPr>
          <w:rFonts w:ascii="Verdana" w:hAnsi="Verdana" w:cs="Calibri"/>
          <w:sz w:val="20"/>
          <w:szCs w:val="20"/>
        </w:rPr>
        <w:t>.</w:t>
      </w:r>
      <w:r w:rsidRPr="004E6993">
        <w:rPr>
          <w:rFonts w:ascii="Verdana" w:hAnsi="Verdana" w:cs="Calibri"/>
          <w:sz w:val="20"/>
          <w:szCs w:val="20"/>
        </w:rPr>
        <w:t xml:space="preserve"> </w:t>
      </w:r>
      <w:r>
        <w:rPr>
          <w:rFonts w:ascii="Verdana" w:hAnsi="Verdana" w:cs="Calibri"/>
          <w:sz w:val="20"/>
          <w:szCs w:val="20"/>
        </w:rPr>
        <w:t>C</w:t>
      </w:r>
      <w:r w:rsidRPr="004E6993">
        <w:rPr>
          <w:rFonts w:ascii="Verdana" w:hAnsi="Verdana" w:cs="Calibri"/>
          <w:sz w:val="20"/>
          <w:szCs w:val="20"/>
        </w:rPr>
        <w:t>e processus est en cours de finalisation.</w:t>
      </w:r>
    </w:p>
    <w:p w14:paraId="1440C506" w14:textId="66C3421E" w:rsidR="00961AC1" w:rsidRPr="004E6993" w:rsidRDefault="00961AC1" w:rsidP="004E6993">
      <w:pPr>
        <w:ind w:left="360"/>
        <w:jc w:val="both"/>
        <w:rPr>
          <w:rFonts w:ascii="Verdana" w:hAnsi="Verdana" w:cs="Calibri"/>
          <w:sz w:val="20"/>
          <w:szCs w:val="20"/>
        </w:rPr>
      </w:pPr>
      <w:r>
        <w:rPr>
          <w:rFonts w:ascii="Verdana" w:hAnsi="Verdana" w:cs="Calibri"/>
          <w:sz w:val="20"/>
          <w:szCs w:val="20"/>
        </w:rPr>
        <w:t xml:space="preserve">Afin de débuter l’année 2025 en respectant les procédures de mise en œuvre des activités du projet </w:t>
      </w:r>
      <w:proofErr w:type="spellStart"/>
      <w:r>
        <w:rPr>
          <w:rFonts w:ascii="Verdana" w:hAnsi="Verdana" w:cs="Calibri"/>
          <w:sz w:val="20"/>
          <w:szCs w:val="20"/>
        </w:rPr>
        <w:t>ExPLOI</w:t>
      </w:r>
      <w:proofErr w:type="spellEnd"/>
      <w:r>
        <w:rPr>
          <w:rFonts w:ascii="Verdana" w:hAnsi="Verdana" w:cs="Calibri"/>
          <w:sz w:val="20"/>
          <w:szCs w:val="20"/>
        </w:rPr>
        <w:t xml:space="preserve">, le </w:t>
      </w:r>
      <w:r w:rsidR="00591825">
        <w:rPr>
          <w:rFonts w:ascii="Verdana" w:hAnsi="Verdana" w:cs="Calibri"/>
          <w:sz w:val="20"/>
          <w:szCs w:val="20"/>
        </w:rPr>
        <w:t>S</w:t>
      </w:r>
      <w:r>
        <w:rPr>
          <w:rFonts w:ascii="Verdana" w:hAnsi="Verdana" w:cs="Calibri"/>
          <w:sz w:val="20"/>
          <w:szCs w:val="20"/>
        </w:rPr>
        <w:t>ecrétariat général de la COI organisera le 17-18 décembre 2024 à Maurice, le premier comité de pilotage du projet, afin de valider le PTBA 2025</w:t>
      </w:r>
      <w:r w:rsidR="00C52327">
        <w:rPr>
          <w:rFonts w:ascii="Verdana" w:hAnsi="Verdana" w:cs="Calibri"/>
          <w:sz w:val="20"/>
          <w:szCs w:val="20"/>
        </w:rPr>
        <w:t>.</w:t>
      </w:r>
    </w:p>
    <w:p w14:paraId="6579F3E0" w14:textId="77777777" w:rsidR="008A4291" w:rsidRPr="004E6993" w:rsidRDefault="008A4291" w:rsidP="004E6993">
      <w:pPr>
        <w:shd w:val="clear" w:color="auto" w:fill="FFFFFF"/>
        <w:spacing w:after="120" w:line="240" w:lineRule="auto"/>
        <w:jc w:val="both"/>
        <w:textAlignment w:val="baseline"/>
        <w:rPr>
          <w:rFonts w:ascii="Aptos" w:eastAsia="Times New Roman" w:hAnsi="Aptos" w:cs="Segoe UI"/>
          <w:color w:val="000000"/>
          <w:lang w:eastAsia="fr-FR"/>
        </w:rPr>
      </w:pPr>
    </w:p>
    <w:p w14:paraId="0D1A168A" w14:textId="1AB7CF89" w:rsidR="001B0C08" w:rsidRPr="00042846" w:rsidRDefault="00373BBD" w:rsidP="004E6993">
      <w:pPr>
        <w:pStyle w:val="Sous-partie2"/>
        <w:numPr>
          <w:ilvl w:val="0"/>
          <w:numId w:val="0"/>
        </w:numPr>
        <w:ind w:left="1080"/>
        <w:rPr>
          <w:b/>
          <w:bCs/>
        </w:rPr>
      </w:pPr>
      <w:r>
        <w:t xml:space="preserve">1.2. </w:t>
      </w:r>
      <w:r w:rsidR="00EE20A4">
        <w:t>Focus sur la campagne océanographique : recherche scientifique et sensibilisation</w:t>
      </w:r>
    </w:p>
    <w:p w14:paraId="6D0B8622" w14:textId="59D95361" w:rsidR="00C35652" w:rsidRPr="00C35652" w:rsidRDefault="00C35652" w:rsidP="00C35652">
      <w:pPr>
        <w:jc w:val="both"/>
        <w:rPr>
          <w:rFonts w:ascii="Verdana" w:hAnsi="Verdana" w:cs="Calibri"/>
          <w:sz w:val="20"/>
          <w:szCs w:val="20"/>
        </w:rPr>
      </w:pPr>
      <w:r w:rsidRPr="00C35652">
        <w:rPr>
          <w:rFonts w:ascii="Verdana" w:hAnsi="Verdana" w:cs="Calibri"/>
          <w:sz w:val="20"/>
          <w:szCs w:val="20"/>
        </w:rPr>
        <w:t xml:space="preserve">La campagne océanographique constitue une activité emblématique du projet </w:t>
      </w:r>
      <w:proofErr w:type="spellStart"/>
      <w:r w:rsidRPr="00C35652">
        <w:rPr>
          <w:rFonts w:ascii="Verdana" w:hAnsi="Verdana" w:cs="Calibri"/>
          <w:sz w:val="20"/>
          <w:szCs w:val="20"/>
        </w:rPr>
        <w:t>ExPLOI</w:t>
      </w:r>
      <w:proofErr w:type="spellEnd"/>
      <w:r w:rsidRPr="00C35652">
        <w:rPr>
          <w:rFonts w:ascii="Verdana" w:hAnsi="Verdana" w:cs="Calibri"/>
          <w:sz w:val="20"/>
          <w:szCs w:val="20"/>
        </w:rPr>
        <w:t xml:space="preserve">. </w:t>
      </w:r>
    </w:p>
    <w:p w14:paraId="39984ED6" w14:textId="18A181E1" w:rsidR="00C35652" w:rsidRPr="00C35652" w:rsidRDefault="00C35652" w:rsidP="00C35652">
      <w:pPr>
        <w:jc w:val="both"/>
        <w:rPr>
          <w:rFonts w:ascii="Verdana" w:hAnsi="Verdana" w:cs="Calibri"/>
          <w:sz w:val="20"/>
          <w:szCs w:val="20"/>
        </w:rPr>
      </w:pPr>
      <w:r w:rsidRPr="00C35652">
        <w:rPr>
          <w:rFonts w:ascii="Verdana" w:hAnsi="Verdana" w:cs="Calibri"/>
          <w:sz w:val="20"/>
          <w:szCs w:val="20"/>
        </w:rPr>
        <w:t xml:space="preserve">Les résultats attendus </w:t>
      </w:r>
      <w:r w:rsidR="00940D2C">
        <w:rPr>
          <w:rFonts w:ascii="Verdana" w:hAnsi="Verdana" w:cs="Calibri"/>
          <w:sz w:val="20"/>
          <w:szCs w:val="20"/>
        </w:rPr>
        <w:t xml:space="preserve">de cette campagne océanographique entre autres </w:t>
      </w:r>
      <w:proofErr w:type="gramStart"/>
      <w:r w:rsidRPr="00C35652">
        <w:rPr>
          <w:rFonts w:ascii="Verdana" w:hAnsi="Verdana" w:cs="Calibri"/>
          <w:sz w:val="20"/>
          <w:szCs w:val="20"/>
        </w:rPr>
        <w:t>sont:</w:t>
      </w:r>
      <w:proofErr w:type="gramEnd"/>
      <w:r w:rsidRPr="00C35652">
        <w:rPr>
          <w:rFonts w:ascii="Verdana" w:hAnsi="Verdana" w:cs="Calibri"/>
          <w:sz w:val="20"/>
          <w:szCs w:val="20"/>
        </w:rPr>
        <w:t xml:space="preserve"> </w:t>
      </w:r>
    </w:p>
    <w:p w14:paraId="23152AA8" w14:textId="4446DF7D" w:rsidR="00C35652" w:rsidRPr="00D20205" w:rsidRDefault="00C35652" w:rsidP="00D20205">
      <w:pPr>
        <w:pStyle w:val="Paragraphedeliste"/>
        <w:numPr>
          <w:ilvl w:val="0"/>
          <w:numId w:val="33"/>
        </w:numPr>
        <w:jc w:val="both"/>
        <w:rPr>
          <w:rFonts w:ascii="Verdana" w:hAnsi="Verdana" w:cs="Calibri"/>
          <w:sz w:val="20"/>
          <w:szCs w:val="20"/>
        </w:rPr>
      </w:pPr>
      <w:r w:rsidRPr="00D20205">
        <w:rPr>
          <w:rFonts w:ascii="Verdana" w:hAnsi="Verdana" w:cs="Calibri"/>
          <w:sz w:val="20"/>
          <w:szCs w:val="20"/>
        </w:rPr>
        <w:t>Une description des plastiques marins côtiers le long de transects côtiers ou côté/large (abondance, typologie, provenance dans la mesure du possible) ;</w:t>
      </w:r>
    </w:p>
    <w:p w14:paraId="7E122A5F" w14:textId="070056AE" w:rsidR="00C35652" w:rsidRPr="00D20205" w:rsidRDefault="00C35652" w:rsidP="00D20205">
      <w:pPr>
        <w:pStyle w:val="Paragraphedeliste"/>
        <w:numPr>
          <w:ilvl w:val="0"/>
          <w:numId w:val="33"/>
        </w:numPr>
        <w:jc w:val="both"/>
        <w:rPr>
          <w:rFonts w:ascii="Verdana" w:hAnsi="Verdana" w:cs="Calibri"/>
          <w:sz w:val="20"/>
          <w:szCs w:val="20"/>
        </w:rPr>
      </w:pPr>
      <w:r w:rsidRPr="00D20205">
        <w:rPr>
          <w:rFonts w:ascii="Verdana" w:hAnsi="Verdana" w:cs="Calibri"/>
          <w:sz w:val="20"/>
          <w:szCs w:val="20"/>
        </w:rPr>
        <w:t>Une identification des "moteurs de production" de plastiques marins autour des îles</w:t>
      </w:r>
      <w:r w:rsidR="003B5EF9">
        <w:rPr>
          <w:rFonts w:ascii="Verdana" w:hAnsi="Verdana" w:cs="Calibri"/>
          <w:sz w:val="20"/>
          <w:szCs w:val="20"/>
        </w:rPr>
        <w:t> :</w:t>
      </w:r>
      <w:r w:rsidRPr="00D20205">
        <w:rPr>
          <w:rFonts w:ascii="Verdana" w:hAnsi="Verdana" w:cs="Calibri"/>
          <w:sz w:val="20"/>
          <w:szCs w:val="20"/>
        </w:rPr>
        <w:t xml:space="preserve"> concentration humaine, courants, couloir de navigation, zone touristique ;</w:t>
      </w:r>
    </w:p>
    <w:p w14:paraId="610644D2" w14:textId="2A13DFE3" w:rsidR="00C35652" w:rsidRPr="00D20205" w:rsidRDefault="00C35652" w:rsidP="00D20205">
      <w:pPr>
        <w:pStyle w:val="Paragraphedeliste"/>
        <w:numPr>
          <w:ilvl w:val="0"/>
          <w:numId w:val="33"/>
        </w:numPr>
        <w:jc w:val="both"/>
        <w:rPr>
          <w:rFonts w:ascii="Verdana" w:hAnsi="Verdana" w:cs="Calibri"/>
          <w:sz w:val="20"/>
          <w:szCs w:val="20"/>
        </w:rPr>
      </w:pPr>
      <w:r w:rsidRPr="00D20205">
        <w:rPr>
          <w:rFonts w:ascii="Verdana" w:hAnsi="Verdana" w:cs="Calibri"/>
          <w:sz w:val="20"/>
          <w:szCs w:val="20"/>
        </w:rPr>
        <w:t>Une description des pathogènes véhiculés par les plastiques et comportant des risques pour les humains et les autres espèces vivantes.</w:t>
      </w:r>
    </w:p>
    <w:p w14:paraId="4DCC2A9F" w14:textId="04907115" w:rsidR="00C35652" w:rsidRDefault="00940D2C" w:rsidP="00C35652">
      <w:pPr>
        <w:jc w:val="both"/>
        <w:rPr>
          <w:rFonts w:ascii="Verdana" w:hAnsi="Verdana" w:cs="Calibri"/>
          <w:sz w:val="20"/>
          <w:szCs w:val="20"/>
        </w:rPr>
      </w:pPr>
      <w:r>
        <w:rPr>
          <w:rFonts w:ascii="Verdana" w:hAnsi="Verdana" w:cs="Calibri"/>
          <w:sz w:val="20"/>
          <w:szCs w:val="20"/>
        </w:rPr>
        <w:t>La z</w:t>
      </w:r>
      <w:r w:rsidR="00C35652" w:rsidRPr="00C35652">
        <w:rPr>
          <w:rFonts w:ascii="Verdana" w:hAnsi="Verdana" w:cs="Calibri"/>
          <w:sz w:val="20"/>
          <w:szCs w:val="20"/>
        </w:rPr>
        <w:t xml:space="preserve">one de déploiement </w:t>
      </w:r>
      <w:r w:rsidR="00C35652">
        <w:rPr>
          <w:rFonts w:ascii="Verdana" w:hAnsi="Verdana" w:cs="Calibri"/>
          <w:sz w:val="20"/>
          <w:szCs w:val="20"/>
        </w:rPr>
        <w:t xml:space="preserve">de la </w:t>
      </w:r>
      <w:r w:rsidR="005676D6">
        <w:rPr>
          <w:rFonts w:ascii="Verdana" w:hAnsi="Verdana" w:cs="Calibri"/>
          <w:sz w:val="20"/>
          <w:szCs w:val="20"/>
        </w:rPr>
        <w:t>campagne océanographique est</w:t>
      </w:r>
      <w:r>
        <w:rPr>
          <w:rFonts w:ascii="Verdana" w:hAnsi="Verdana" w:cs="Calibri"/>
          <w:sz w:val="20"/>
          <w:szCs w:val="20"/>
        </w:rPr>
        <w:t xml:space="preserve"> la </w:t>
      </w:r>
      <w:r w:rsidR="005676D6">
        <w:rPr>
          <w:rFonts w:ascii="Verdana" w:hAnsi="Verdana" w:cs="Calibri"/>
          <w:sz w:val="20"/>
          <w:szCs w:val="20"/>
        </w:rPr>
        <w:t>z</w:t>
      </w:r>
      <w:r w:rsidR="00C35652" w:rsidRPr="00C35652">
        <w:rPr>
          <w:rFonts w:ascii="Verdana" w:hAnsi="Verdana" w:cs="Calibri"/>
          <w:sz w:val="20"/>
          <w:szCs w:val="20"/>
        </w:rPr>
        <w:t>one côtière (jusqu’à 12 miles des côtes) des 5 Etats-membres de la COI : Maurice, Comores, Madagascar, Réunion, Seychelles</w:t>
      </w:r>
      <w:r w:rsidR="00C35652">
        <w:rPr>
          <w:rFonts w:ascii="Verdana" w:hAnsi="Verdana" w:cs="Calibri"/>
          <w:sz w:val="20"/>
          <w:szCs w:val="20"/>
        </w:rPr>
        <w:t>.</w:t>
      </w:r>
      <w:r w:rsidR="005676D6">
        <w:rPr>
          <w:rFonts w:ascii="Verdana" w:hAnsi="Verdana" w:cs="Calibri"/>
          <w:sz w:val="20"/>
          <w:szCs w:val="20"/>
        </w:rPr>
        <w:t xml:space="preserve"> </w:t>
      </w:r>
      <w:r w:rsidR="00DF04F2">
        <w:rPr>
          <w:rFonts w:ascii="Verdana" w:hAnsi="Verdana" w:cs="Calibri"/>
          <w:sz w:val="20"/>
          <w:szCs w:val="20"/>
        </w:rPr>
        <w:t>L</w:t>
      </w:r>
      <w:r w:rsidR="00C35652">
        <w:rPr>
          <w:rFonts w:ascii="Verdana" w:hAnsi="Verdana" w:cs="Calibri"/>
          <w:sz w:val="20"/>
          <w:szCs w:val="20"/>
        </w:rPr>
        <w:t>es escales</w:t>
      </w:r>
      <w:r w:rsidR="002E70A8">
        <w:rPr>
          <w:rFonts w:ascii="Verdana" w:hAnsi="Verdana" w:cs="Calibri"/>
          <w:sz w:val="20"/>
          <w:szCs w:val="20"/>
        </w:rPr>
        <w:t xml:space="preserve"> dans les Etats membres (Port-Louis, Victoria, Moroni, </w:t>
      </w:r>
      <w:r w:rsidR="005676D6">
        <w:rPr>
          <w:rFonts w:ascii="Verdana" w:hAnsi="Verdana" w:cs="Calibri"/>
          <w:sz w:val="20"/>
          <w:szCs w:val="20"/>
        </w:rPr>
        <w:t xml:space="preserve">Tamatave </w:t>
      </w:r>
      <w:r w:rsidR="00C52327">
        <w:rPr>
          <w:rFonts w:ascii="Verdana" w:hAnsi="Verdana" w:cs="Calibri"/>
          <w:sz w:val="20"/>
          <w:szCs w:val="20"/>
        </w:rPr>
        <w:t xml:space="preserve">ainsi que </w:t>
      </w:r>
      <w:r w:rsidR="005676D6">
        <w:rPr>
          <w:rFonts w:ascii="Verdana" w:hAnsi="Verdana" w:cs="Calibri"/>
          <w:sz w:val="20"/>
          <w:szCs w:val="20"/>
        </w:rPr>
        <w:t>des missions</w:t>
      </w:r>
      <w:r w:rsidR="002E70A8">
        <w:rPr>
          <w:rFonts w:ascii="Verdana" w:hAnsi="Verdana" w:cs="Calibri"/>
          <w:sz w:val="20"/>
          <w:szCs w:val="20"/>
        </w:rPr>
        <w:t xml:space="preserve"> vers </w:t>
      </w:r>
      <w:r w:rsidR="0040155B">
        <w:rPr>
          <w:rFonts w:ascii="Verdana" w:hAnsi="Verdana" w:cs="Calibri"/>
          <w:sz w:val="20"/>
          <w:szCs w:val="20"/>
        </w:rPr>
        <w:t>Port-Mathurin (</w:t>
      </w:r>
      <w:r w:rsidR="002E70A8">
        <w:rPr>
          <w:rFonts w:ascii="Verdana" w:hAnsi="Verdana" w:cs="Calibri"/>
          <w:sz w:val="20"/>
          <w:szCs w:val="20"/>
        </w:rPr>
        <w:t>Rodrigues</w:t>
      </w:r>
      <w:r w:rsidR="0040155B">
        <w:rPr>
          <w:rFonts w:ascii="Verdana" w:hAnsi="Verdana" w:cs="Calibri"/>
          <w:sz w:val="20"/>
          <w:szCs w:val="20"/>
        </w:rPr>
        <w:t>)</w:t>
      </w:r>
      <w:r w:rsidR="002E70A8">
        <w:rPr>
          <w:rFonts w:ascii="Verdana" w:hAnsi="Verdana" w:cs="Calibri"/>
          <w:sz w:val="20"/>
          <w:szCs w:val="20"/>
        </w:rPr>
        <w:t xml:space="preserve"> et Saint-Denis)</w:t>
      </w:r>
      <w:r w:rsidR="00DF04F2">
        <w:rPr>
          <w:rFonts w:ascii="Verdana" w:hAnsi="Verdana" w:cs="Calibri"/>
          <w:sz w:val="20"/>
          <w:szCs w:val="20"/>
        </w:rPr>
        <w:t xml:space="preserve"> seront des moments forts de la campagne océanographique avec </w:t>
      </w:r>
      <w:r w:rsidR="00C35652">
        <w:rPr>
          <w:rFonts w:ascii="Verdana" w:hAnsi="Verdana" w:cs="Calibri"/>
          <w:sz w:val="20"/>
          <w:szCs w:val="20"/>
        </w:rPr>
        <w:t>d’importantes activités de sensibilisation sur les enjeux de la réduction des pollutions plastiques</w:t>
      </w:r>
      <w:r w:rsidR="0078617C">
        <w:rPr>
          <w:rFonts w:ascii="Verdana" w:hAnsi="Verdana" w:cs="Calibri"/>
          <w:sz w:val="20"/>
          <w:szCs w:val="20"/>
        </w:rPr>
        <w:t xml:space="preserve"> </w:t>
      </w:r>
      <w:r>
        <w:rPr>
          <w:rFonts w:ascii="Verdana" w:hAnsi="Verdana" w:cs="Calibri"/>
          <w:sz w:val="20"/>
          <w:szCs w:val="20"/>
        </w:rPr>
        <w:t xml:space="preserve">et de visibilité de la </w:t>
      </w:r>
      <w:r w:rsidR="00DF04F2">
        <w:rPr>
          <w:rFonts w:ascii="Verdana" w:hAnsi="Verdana" w:cs="Calibri"/>
          <w:sz w:val="20"/>
          <w:szCs w:val="20"/>
        </w:rPr>
        <w:t>C</w:t>
      </w:r>
      <w:r>
        <w:rPr>
          <w:rFonts w:ascii="Verdana" w:hAnsi="Verdana" w:cs="Calibri"/>
          <w:sz w:val="20"/>
          <w:szCs w:val="20"/>
        </w:rPr>
        <w:t>OI</w:t>
      </w:r>
      <w:r w:rsidR="00DF04F2">
        <w:rPr>
          <w:rFonts w:ascii="Verdana" w:hAnsi="Verdana" w:cs="Calibri"/>
          <w:sz w:val="20"/>
          <w:szCs w:val="20"/>
        </w:rPr>
        <w:t xml:space="preserve">. Il est </w:t>
      </w:r>
      <w:r w:rsidR="00591825">
        <w:rPr>
          <w:rFonts w:ascii="Verdana" w:hAnsi="Verdana" w:cs="Calibri"/>
          <w:sz w:val="20"/>
          <w:szCs w:val="20"/>
        </w:rPr>
        <w:t xml:space="preserve">ainsi </w:t>
      </w:r>
      <w:r w:rsidR="00DF04F2">
        <w:rPr>
          <w:rFonts w:ascii="Verdana" w:hAnsi="Verdana" w:cs="Calibri"/>
          <w:sz w:val="20"/>
          <w:szCs w:val="20"/>
        </w:rPr>
        <w:t>prévu d’organiser</w:t>
      </w:r>
      <w:r w:rsidR="0078617C">
        <w:rPr>
          <w:rFonts w:ascii="Verdana" w:hAnsi="Verdana" w:cs="Calibri"/>
          <w:sz w:val="20"/>
          <w:szCs w:val="20"/>
        </w:rPr>
        <w:t> :</w:t>
      </w:r>
    </w:p>
    <w:p w14:paraId="0D15BDF8" w14:textId="77777777" w:rsidR="0078617C" w:rsidRDefault="0078617C" w:rsidP="0078617C">
      <w:pPr>
        <w:pStyle w:val="Paragraphedeliste"/>
        <w:numPr>
          <w:ilvl w:val="0"/>
          <w:numId w:val="32"/>
        </w:numPr>
        <w:jc w:val="both"/>
        <w:rPr>
          <w:rFonts w:ascii="Verdana" w:hAnsi="Verdana" w:cs="Calibri"/>
          <w:sz w:val="20"/>
          <w:szCs w:val="20"/>
        </w:rPr>
      </w:pPr>
      <w:r>
        <w:rPr>
          <w:rFonts w:ascii="Verdana" w:hAnsi="Verdana" w:cs="Calibri"/>
          <w:sz w:val="20"/>
          <w:szCs w:val="20"/>
        </w:rPr>
        <w:t>Des activités grand public : expositions, projection de films, tables rondes, etc.</w:t>
      </w:r>
    </w:p>
    <w:p w14:paraId="4635C635" w14:textId="302F7B21" w:rsidR="0078617C" w:rsidRDefault="0078617C" w:rsidP="0078617C">
      <w:pPr>
        <w:pStyle w:val="Paragraphedeliste"/>
        <w:numPr>
          <w:ilvl w:val="0"/>
          <w:numId w:val="32"/>
        </w:numPr>
        <w:jc w:val="both"/>
        <w:rPr>
          <w:rFonts w:ascii="Verdana" w:hAnsi="Verdana" w:cs="Calibri"/>
          <w:sz w:val="20"/>
          <w:szCs w:val="20"/>
        </w:rPr>
      </w:pPr>
      <w:r>
        <w:rPr>
          <w:rFonts w:ascii="Verdana" w:hAnsi="Verdana" w:cs="Calibri"/>
          <w:sz w:val="20"/>
          <w:szCs w:val="20"/>
        </w:rPr>
        <w:t>Des activités à destination des scolaires ;</w:t>
      </w:r>
    </w:p>
    <w:p w14:paraId="4827EB5E" w14:textId="66925749" w:rsidR="0078617C" w:rsidRDefault="0078617C" w:rsidP="0078617C">
      <w:pPr>
        <w:pStyle w:val="Paragraphedeliste"/>
        <w:numPr>
          <w:ilvl w:val="0"/>
          <w:numId w:val="32"/>
        </w:numPr>
        <w:jc w:val="both"/>
        <w:rPr>
          <w:rFonts w:ascii="Verdana" w:hAnsi="Verdana" w:cs="Calibri"/>
          <w:sz w:val="20"/>
          <w:szCs w:val="20"/>
        </w:rPr>
      </w:pPr>
      <w:r>
        <w:rPr>
          <w:rFonts w:ascii="Verdana" w:hAnsi="Verdana" w:cs="Calibri"/>
          <w:sz w:val="20"/>
          <w:szCs w:val="20"/>
        </w:rPr>
        <w:t>Des activités avec les médias : conférences</w:t>
      </w:r>
      <w:r w:rsidR="00DF04F2">
        <w:rPr>
          <w:rFonts w:ascii="Verdana" w:hAnsi="Verdana" w:cs="Calibri"/>
          <w:sz w:val="20"/>
          <w:szCs w:val="20"/>
        </w:rPr>
        <w:t xml:space="preserve"> /</w:t>
      </w:r>
      <w:r>
        <w:rPr>
          <w:rFonts w:ascii="Verdana" w:hAnsi="Verdana" w:cs="Calibri"/>
          <w:sz w:val="20"/>
          <w:szCs w:val="20"/>
        </w:rPr>
        <w:t xml:space="preserve"> voyages de presse, </w:t>
      </w:r>
      <w:proofErr w:type="gramStart"/>
      <w:r>
        <w:rPr>
          <w:rFonts w:ascii="Verdana" w:hAnsi="Verdana" w:cs="Calibri"/>
          <w:sz w:val="20"/>
          <w:szCs w:val="20"/>
        </w:rPr>
        <w:t>etc.;</w:t>
      </w:r>
      <w:proofErr w:type="gramEnd"/>
    </w:p>
    <w:p w14:paraId="46988DB3" w14:textId="2285751E" w:rsidR="0078617C" w:rsidRDefault="0078617C" w:rsidP="0078617C">
      <w:pPr>
        <w:pStyle w:val="Paragraphedeliste"/>
        <w:numPr>
          <w:ilvl w:val="0"/>
          <w:numId w:val="32"/>
        </w:numPr>
        <w:jc w:val="both"/>
        <w:rPr>
          <w:rFonts w:ascii="Verdana" w:hAnsi="Verdana" w:cs="Calibri"/>
          <w:sz w:val="20"/>
          <w:szCs w:val="20"/>
        </w:rPr>
      </w:pPr>
      <w:r>
        <w:rPr>
          <w:rFonts w:ascii="Verdana" w:hAnsi="Verdana" w:cs="Calibri"/>
          <w:sz w:val="20"/>
          <w:szCs w:val="20"/>
        </w:rPr>
        <w:t xml:space="preserve">Des activités à destination du secteur privé et des </w:t>
      </w:r>
      <w:proofErr w:type="spellStart"/>
      <w:r>
        <w:rPr>
          <w:rFonts w:ascii="Verdana" w:hAnsi="Verdana" w:cs="Calibri"/>
          <w:sz w:val="20"/>
          <w:szCs w:val="20"/>
        </w:rPr>
        <w:t>ONGs</w:t>
      </w:r>
      <w:proofErr w:type="spellEnd"/>
      <w:r>
        <w:rPr>
          <w:rFonts w:ascii="Verdana" w:hAnsi="Verdana" w:cs="Calibri"/>
          <w:sz w:val="20"/>
          <w:szCs w:val="20"/>
        </w:rPr>
        <w:t xml:space="preserve"> : présentation de retours d’expériences d’entreprises de recyclage, de </w:t>
      </w:r>
      <w:r w:rsidR="00940D2C">
        <w:rPr>
          <w:rFonts w:ascii="Verdana" w:hAnsi="Verdana" w:cs="Calibri"/>
          <w:sz w:val="20"/>
          <w:szCs w:val="20"/>
        </w:rPr>
        <w:t>machines-outils</w:t>
      </w:r>
      <w:r>
        <w:rPr>
          <w:rFonts w:ascii="Verdana" w:hAnsi="Verdana" w:cs="Calibri"/>
          <w:sz w:val="20"/>
          <w:szCs w:val="20"/>
        </w:rPr>
        <w:t>, etc. ;</w:t>
      </w:r>
    </w:p>
    <w:p w14:paraId="519E3859" w14:textId="0CA9318D" w:rsidR="002E70A8" w:rsidRDefault="002E70A8" w:rsidP="0078617C">
      <w:pPr>
        <w:pStyle w:val="Paragraphedeliste"/>
        <w:numPr>
          <w:ilvl w:val="0"/>
          <w:numId w:val="32"/>
        </w:numPr>
        <w:jc w:val="both"/>
        <w:rPr>
          <w:rFonts w:ascii="Verdana" w:hAnsi="Verdana" w:cs="Calibri"/>
          <w:sz w:val="20"/>
          <w:szCs w:val="20"/>
        </w:rPr>
      </w:pPr>
      <w:r>
        <w:rPr>
          <w:rFonts w:ascii="Verdana" w:hAnsi="Verdana" w:cs="Calibri"/>
          <w:sz w:val="20"/>
          <w:szCs w:val="20"/>
        </w:rPr>
        <w:t xml:space="preserve">Des activités à destination du secteur public et des décideurs : tables rondes, visites d’études, séminaires de dialogues nationaux entre secteur public, secteur privé, science et </w:t>
      </w:r>
      <w:proofErr w:type="spellStart"/>
      <w:r>
        <w:rPr>
          <w:rFonts w:ascii="Verdana" w:hAnsi="Verdana" w:cs="Calibri"/>
          <w:sz w:val="20"/>
          <w:szCs w:val="20"/>
        </w:rPr>
        <w:t>ONGs</w:t>
      </w:r>
      <w:proofErr w:type="spellEnd"/>
      <w:r>
        <w:rPr>
          <w:rFonts w:ascii="Verdana" w:hAnsi="Verdana" w:cs="Calibri"/>
          <w:sz w:val="20"/>
          <w:szCs w:val="20"/>
        </w:rPr>
        <w:t>, etc.</w:t>
      </w:r>
    </w:p>
    <w:p w14:paraId="2A350805" w14:textId="567027CC" w:rsidR="002E70A8" w:rsidRPr="00D20205" w:rsidRDefault="002E70A8" w:rsidP="00D20205">
      <w:pPr>
        <w:jc w:val="both"/>
        <w:rPr>
          <w:rFonts w:ascii="Verdana" w:hAnsi="Verdana" w:cs="Calibri"/>
          <w:sz w:val="20"/>
          <w:szCs w:val="20"/>
        </w:rPr>
      </w:pPr>
      <w:r>
        <w:rPr>
          <w:rFonts w:ascii="Verdana" w:hAnsi="Verdana" w:cs="Calibri"/>
          <w:sz w:val="20"/>
          <w:szCs w:val="20"/>
        </w:rPr>
        <w:t xml:space="preserve">Ces activités sont parfaitement cohérentes avec le plan d’action du projet EXPLOI en matière de sensibilisation, renforcement de capacités, appui aux politiques publiques des Etats membres et soutien à l’économie circulaire. </w:t>
      </w:r>
    </w:p>
    <w:p w14:paraId="508D2C0D" w14:textId="2C23C32A" w:rsidR="0078617C" w:rsidRPr="005676D6" w:rsidRDefault="0078617C" w:rsidP="0078617C">
      <w:pPr>
        <w:jc w:val="both"/>
        <w:rPr>
          <w:rFonts w:ascii="Verdana" w:hAnsi="Verdana" w:cs="Calibri"/>
          <w:i/>
          <w:iCs/>
          <w:sz w:val="20"/>
          <w:szCs w:val="20"/>
        </w:rPr>
      </w:pPr>
      <w:r w:rsidRPr="005676D6">
        <w:rPr>
          <w:rFonts w:ascii="Verdana" w:hAnsi="Verdana" w:cs="Calibri"/>
          <w:b/>
          <w:bCs/>
          <w:i/>
          <w:iCs/>
          <w:sz w:val="20"/>
          <w:szCs w:val="20"/>
        </w:rPr>
        <w:lastRenderedPageBreak/>
        <w:t>(</w:t>
      </w:r>
      <w:r w:rsidR="005676D6" w:rsidRPr="005676D6">
        <w:rPr>
          <w:rFonts w:ascii="Verdana" w:hAnsi="Verdana" w:cs="Calibri"/>
          <w:b/>
          <w:bCs/>
          <w:i/>
          <w:iCs/>
          <w:sz w:val="20"/>
          <w:szCs w:val="20"/>
        </w:rPr>
        <w:t>Voir</w:t>
      </w:r>
      <w:r w:rsidRPr="005676D6">
        <w:rPr>
          <w:rFonts w:ascii="Verdana" w:hAnsi="Verdana" w:cs="Calibri"/>
          <w:b/>
          <w:bCs/>
          <w:i/>
          <w:iCs/>
          <w:sz w:val="20"/>
          <w:szCs w:val="20"/>
        </w:rPr>
        <w:t xml:space="preserve"> la présentation</w:t>
      </w:r>
      <w:r w:rsidR="005676D6" w:rsidRPr="005676D6">
        <w:rPr>
          <w:rFonts w:ascii="Verdana" w:hAnsi="Verdana" w:cs="Calibri"/>
          <w:b/>
          <w:bCs/>
          <w:i/>
          <w:iCs/>
          <w:sz w:val="20"/>
          <w:szCs w:val="20"/>
        </w:rPr>
        <w:t xml:space="preserve"> de la campagne océanographique</w:t>
      </w:r>
      <w:r w:rsidRPr="005676D6">
        <w:rPr>
          <w:rFonts w:ascii="Verdana" w:hAnsi="Verdana" w:cs="Calibri"/>
          <w:b/>
          <w:bCs/>
          <w:i/>
          <w:iCs/>
          <w:sz w:val="20"/>
          <w:szCs w:val="20"/>
        </w:rPr>
        <w:t xml:space="preserve"> en annexe</w:t>
      </w:r>
      <w:r w:rsidRPr="005676D6">
        <w:rPr>
          <w:rFonts w:ascii="Verdana" w:hAnsi="Verdana" w:cs="Calibri"/>
          <w:i/>
          <w:iCs/>
          <w:sz w:val="20"/>
          <w:szCs w:val="20"/>
        </w:rPr>
        <w:t>).</w:t>
      </w:r>
    </w:p>
    <w:p w14:paraId="6D8420C0" w14:textId="344ED5FF" w:rsidR="00C35652" w:rsidRPr="00C35652" w:rsidRDefault="00940D2C" w:rsidP="00C35652">
      <w:pPr>
        <w:jc w:val="both"/>
        <w:rPr>
          <w:rFonts w:ascii="Verdana" w:hAnsi="Verdana" w:cs="Calibri"/>
          <w:sz w:val="20"/>
          <w:szCs w:val="20"/>
        </w:rPr>
      </w:pPr>
      <w:r>
        <w:rPr>
          <w:rFonts w:ascii="Verdana" w:hAnsi="Verdana" w:cs="Calibri"/>
          <w:sz w:val="20"/>
          <w:szCs w:val="20"/>
        </w:rPr>
        <w:t>La période prévue est de mars à avril 2025, la</w:t>
      </w:r>
      <w:r w:rsidR="00EB6A49">
        <w:rPr>
          <w:rFonts w:ascii="Verdana" w:hAnsi="Verdana" w:cs="Calibri"/>
          <w:sz w:val="20"/>
          <w:szCs w:val="20"/>
        </w:rPr>
        <w:t xml:space="preserve"> </w:t>
      </w:r>
      <w:r>
        <w:rPr>
          <w:rFonts w:ascii="Verdana" w:hAnsi="Verdana" w:cs="Calibri"/>
          <w:sz w:val="20"/>
          <w:szCs w:val="20"/>
        </w:rPr>
        <w:t>d</w:t>
      </w:r>
      <w:r w:rsidR="00C35652" w:rsidRPr="00C35652">
        <w:rPr>
          <w:rFonts w:ascii="Verdana" w:hAnsi="Verdana" w:cs="Calibri"/>
          <w:sz w:val="20"/>
          <w:szCs w:val="20"/>
        </w:rPr>
        <w:t xml:space="preserve">urée totale idéale de la mission </w:t>
      </w:r>
      <w:r>
        <w:rPr>
          <w:rFonts w:ascii="Verdana" w:hAnsi="Verdana" w:cs="Calibri"/>
          <w:sz w:val="20"/>
          <w:szCs w:val="20"/>
        </w:rPr>
        <w:t xml:space="preserve">est estimée à </w:t>
      </w:r>
      <w:r w:rsidR="00C35652" w:rsidRPr="00C35652">
        <w:rPr>
          <w:rFonts w:ascii="Verdana" w:hAnsi="Verdana" w:cs="Calibri"/>
          <w:sz w:val="20"/>
          <w:szCs w:val="20"/>
        </w:rPr>
        <w:t>4</w:t>
      </w:r>
      <w:r w:rsidR="00C35652">
        <w:rPr>
          <w:rFonts w:ascii="Verdana" w:hAnsi="Verdana" w:cs="Calibri"/>
          <w:sz w:val="20"/>
          <w:szCs w:val="20"/>
        </w:rPr>
        <w:t>5 jours environ plus les temps d’escales soit 2 mois au total</w:t>
      </w:r>
      <w:r>
        <w:rPr>
          <w:rFonts w:ascii="Verdana" w:hAnsi="Verdana" w:cs="Calibri"/>
          <w:sz w:val="20"/>
          <w:szCs w:val="20"/>
        </w:rPr>
        <w:t xml:space="preserve">, avec une durée d’escale </w:t>
      </w:r>
      <w:r w:rsidR="00D34EEC">
        <w:rPr>
          <w:rFonts w:ascii="Verdana" w:hAnsi="Verdana" w:cs="Calibri"/>
          <w:sz w:val="20"/>
          <w:szCs w:val="20"/>
        </w:rPr>
        <w:t>pays de 1 à 2 semaines.</w:t>
      </w:r>
    </w:p>
    <w:p w14:paraId="27C80AF6" w14:textId="3E543239" w:rsidR="00C35652" w:rsidRDefault="00940D2C" w:rsidP="00C35652">
      <w:pPr>
        <w:jc w:val="both"/>
        <w:rPr>
          <w:rFonts w:ascii="Verdana" w:hAnsi="Verdana" w:cs="Calibri"/>
          <w:sz w:val="20"/>
          <w:szCs w:val="20"/>
        </w:rPr>
      </w:pPr>
      <w:r>
        <w:rPr>
          <w:rFonts w:ascii="Verdana" w:hAnsi="Verdana" w:cs="Calibri"/>
          <w:sz w:val="20"/>
          <w:szCs w:val="20"/>
        </w:rPr>
        <w:t>Le n</w:t>
      </w:r>
      <w:r w:rsidR="00C35652" w:rsidRPr="00C35652">
        <w:rPr>
          <w:rFonts w:ascii="Verdana" w:hAnsi="Verdana" w:cs="Calibri"/>
          <w:sz w:val="20"/>
          <w:szCs w:val="20"/>
        </w:rPr>
        <w:t>ombre de scientifiques à embarquer en simultané</w:t>
      </w:r>
      <w:r>
        <w:rPr>
          <w:rFonts w:ascii="Verdana" w:hAnsi="Verdana" w:cs="Calibri"/>
          <w:sz w:val="20"/>
          <w:szCs w:val="20"/>
        </w:rPr>
        <w:t xml:space="preserve"> peut varier entre </w:t>
      </w:r>
      <w:r w:rsidR="00C35652" w:rsidRPr="00C35652">
        <w:rPr>
          <w:rFonts w:ascii="Verdana" w:hAnsi="Verdana" w:cs="Calibri"/>
          <w:sz w:val="20"/>
          <w:szCs w:val="20"/>
        </w:rPr>
        <w:t>5 et 1</w:t>
      </w:r>
      <w:r w:rsidR="0078617C">
        <w:rPr>
          <w:rFonts w:ascii="Verdana" w:hAnsi="Verdana" w:cs="Calibri"/>
          <w:sz w:val="20"/>
          <w:szCs w:val="20"/>
        </w:rPr>
        <w:t>0</w:t>
      </w:r>
      <w:r>
        <w:rPr>
          <w:rFonts w:ascii="Verdana" w:hAnsi="Verdana" w:cs="Calibri"/>
          <w:sz w:val="20"/>
          <w:szCs w:val="20"/>
        </w:rPr>
        <w:t xml:space="preserve">, et </w:t>
      </w:r>
      <w:r w:rsidR="0078617C">
        <w:rPr>
          <w:rFonts w:ascii="Verdana" w:hAnsi="Verdana" w:cs="Calibri"/>
          <w:sz w:val="20"/>
          <w:szCs w:val="20"/>
        </w:rPr>
        <w:t>seront issus de tous les Etats membres de la COI.</w:t>
      </w:r>
    </w:p>
    <w:p w14:paraId="0FC71497" w14:textId="3FAB3895" w:rsidR="00EB6A49" w:rsidRDefault="00EB6A49" w:rsidP="00C35652">
      <w:pPr>
        <w:jc w:val="both"/>
        <w:rPr>
          <w:rFonts w:ascii="Verdana" w:hAnsi="Verdana" w:cs="Calibri"/>
          <w:sz w:val="20"/>
          <w:szCs w:val="20"/>
        </w:rPr>
      </w:pPr>
    </w:p>
    <w:p w14:paraId="0545FC6C" w14:textId="77777777" w:rsidR="00D34EEC" w:rsidRPr="00042846" w:rsidRDefault="00D34EEC" w:rsidP="00D34EEC">
      <w:pPr>
        <w:pStyle w:val="Titrepartie"/>
        <w:rPr>
          <w:sz w:val="20"/>
        </w:rPr>
      </w:pPr>
      <w:r w:rsidRPr="00042846">
        <w:rPr>
          <w:sz w:val="20"/>
        </w:rPr>
        <w:t>Propositions de décision</w:t>
      </w:r>
    </w:p>
    <w:p w14:paraId="68F160A0" w14:textId="323D0272" w:rsidR="00D34EEC" w:rsidRPr="00042846" w:rsidRDefault="00D34EEC" w:rsidP="00D34EEC">
      <w:pPr>
        <w:pStyle w:val="Paragraphe"/>
      </w:pPr>
      <w:r w:rsidRPr="00042846">
        <w:t>Le Comité des OPL</w:t>
      </w:r>
      <w:r w:rsidR="004E6993">
        <w:t> :</w:t>
      </w:r>
    </w:p>
    <w:p w14:paraId="603F6A20" w14:textId="4478F50A" w:rsidR="0053736B" w:rsidRDefault="0053736B" w:rsidP="0008468B">
      <w:pPr>
        <w:pStyle w:val="Paragraphe"/>
        <w:numPr>
          <w:ilvl w:val="0"/>
          <w:numId w:val="6"/>
        </w:numPr>
      </w:pPr>
      <w:r>
        <w:t>Prend note du calendrier d’organisation de la campagne océanographique</w:t>
      </w:r>
      <w:r w:rsidR="004E6993">
        <w:t xml:space="preserve"> dans le cadre du projet </w:t>
      </w:r>
      <w:proofErr w:type="spellStart"/>
      <w:r w:rsidR="004E6993">
        <w:t>ExPLOI</w:t>
      </w:r>
      <w:proofErr w:type="spellEnd"/>
      <w:r>
        <w:t xml:space="preserve"> </w:t>
      </w:r>
      <w:r w:rsidR="004E6993">
        <w:t>incluant </w:t>
      </w:r>
      <w:r>
        <w:t xml:space="preserve">des escales du navire « Plastic </w:t>
      </w:r>
      <w:proofErr w:type="spellStart"/>
      <w:r>
        <w:t>Odyssey</w:t>
      </w:r>
      <w:proofErr w:type="spellEnd"/>
      <w:r>
        <w:t xml:space="preserve"> » à partir de mars 2025 et demande au Secrétariat général de </w:t>
      </w:r>
      <w:r w:rsidR="00692F01">
        <w:t>saisir</w:t>
      </w:r>
      <w:r>
        <w:t xml:space="preserve"> officiellement les Etats membres dans les meilleurs délais </w:t>
      </w:r>
      <w:r w:rsidR="00692F01">
        <w:t>en vue de</w:t>
      </w:r>
      <w:r>
        <w:t xml:space="preserve"> l’obtention des autorisations et autres facilitations nécessaires de la part des administrations nationales concernées ; </w:t>
      </w:r>
    </w:p>
    <w:p w14:paraId="495CA3D7" w14:textId="6D38C2D0" w:rsidR="0008468B" w:rsidRDefault="00D34EEC" w:rsidP="0008468B">
      <w:pPr>
        <w:pStyle w:val="Paragraphe"/>
        <w:numPr>
          <w:ilvl w:val="0"/>
          <w:numId w:val="6"/>
        </w:numPr>
      </w:pPr>
      <w:r>
        <w:t xml:space="preserve">Invite </w:t>
      </w:r>
      <w:r w:rsidRPr="00D34EEC">
        <w:t>à la formalisation rapide des conventions de partenariats avec les universités et centres de recherche des Etats</w:t>
      </w:r>
      <w:r w:rsidR="00AE1977">
        <w:t xml:space="preserve"> membres</w:t>
      </w:r>
      <w:r>
        <w:t xml:space="preserve"> pour faciliter la mise en œuvre des activités de la composante scientifique</w:t>
      </w:r>
      <w:r w:rsidR="00AE1977">
        <w:t xml:space="preserve"> du projet </w:t>
      </w:r>
      <w:proofErr w:type="spellStart"/>
      <w:r w:rsidR="00AE1977">
        <w:t>ExPLOI</w:t>
      </w:r>
      <w:proofErr w:type="spellEnd"/>
      <w:r w:rsidR="004E6993">
        <w:t>.</w:t>
      </w:r>
      <w:r w:rsidR="00AE1977">
        <w:t xml:space="preserve"> </w:t>
      </w:r>
    </w:p>
    <w:p w14:paraId="5D643BBA" w14:textId="77777777" w:rsidR="004E6993" w:rsidRDefault="004E6993" w:rsidP="004E6993">
      <w:pPr>
        <w:pStyle w:val="Paragraphe"/>
        <w:ind w:left="720"/>
      </w:pPr>
    </w:p>
    <w:p w14:paraId="7EAEB404" w14:textId="72ACB4A7" w:rsidR="00955BB3" w:rsidRPr="00042846" w:rsidRDefault="00955BB3" w:rsidP="00042846">
      <w:pPr>
        <w:pStyle w:val="Titrepartie"/>
        <w:rPr>
          <w:sz w:val="20"/>
        </w:rPr>
      </w:pPr>
      <w:r w:rsidRPr="00042846">
        <w:rPr>
          <w:sz w:val="20"/>
        </w:rPr>
        <w:t>Rappel des décisions antérieures</w:t>
      </w:r>
    </w:p>
    <w:bookmarkEnd w:id="0"/>
    <w:p w14:paraId="3B73515F" w14:textId="156955EB" w:rsidR="000A4960" w:rsidRDefault="000A4960" w:rsidP="000A4960">
      <w:pPr>
        <w:spacing w:after="120" w:line="276" w:lineRule="auto"/>
        <w:rPr>
          <w:rFonts w:ascii="Verdana" w:hAnsi="Verdana"/>
          <w:b/>
          <w:bCs/>
          <w:sz w:val="20"/>
          <w:szCs w:val="20"/>
        </w:rPr>
      </w:pPr>
      <w:r w:rsidRPr="00244145">
        <w:rPr>
          <w:rFonts w:ascii="Verdana" w:hAnsi="Verdana"/>
          <w:b/>
          <w:bCs/>
          <w:sz w:val="20"/>
          <w:szCs w:val="20"/>
        </w:rPr>
        <w:t xml:space="preserve">Décision 6. </w:t>
      </w:r>
      <w:r>
        <w:rPr>
          <w:rFonts w:ascii="Verdana" w:hAnsi="Verdana"/>
          <w:b/>
          <w:bCs/>
          <w:sz w:val="20"/>
          <w:szCs w:val="20"/>
        </w:rPr>
        <w:t xml:space="preserve">Gestion et réduction des déchets – projets </w:t>
      </w:r>
      <w:proofErr w:type="spellStart"/>
      <w:r>
        <w:rPr>
          <w:rFonts w:ascii="Verdana" w:hAnsi="Verdana"/>
          <w:b/>
          <w:bCs/>
          <w:sz w:val="20"/>
          <w:szCs w:val="20"/>
        </w:rPr>
        <w:t>ExPLOI</w:t>
      </w:r>
      <w:proofErr w:type="spellEnd"/>
      <w:r>
        <w:rPr>
          <w:rFonts w:ascii="Verdana" w:hAnsi="Verdana"/>
          <w:b/>
          <w:bCs/>
          <w:sz w:val="20"/>
          <w:szCs w:val="20"/>
        </w:rPr>
        <w:t xml:space="preserve"> et TWENex, COPL 01/2024, 22-23/04/2024 et 07/05/2024</w:t>
      </w:r>
    </w:p>
    <w:p w14:paraId="5D88411D" w14:textId="6B6B7332" w:rsidR="000A4960" w:rsidRPr="00244145" w:rsidRDefault="000A4960" w:rsidP="004E6993">
      <w:pPr>
        <w:spacing w:after="120" w:line="276" w:lineRule="auto"/>
        <w:rPr>
          <w:rFonts w:ascii="Verdana" w:hAnsi="Verdana"/>
          <w:b/>
          <w:bCs/>
          <w:sz w:val="20"/>
          <w:szCs w:val="20"/>
        </w:rPr>
      </w:pPr>
      <w:r>
        <w:rPr>
          <w:rFonts w:ascii="Verdana" w:hAnsi="Verdana"/>
          <w:b/>
          <w:bCs/>
          <w:sz w:val="20"/>
          <w:szCs w:val="20"/>
        </w:rPr>
        <w:t>COPL</w:t>
      </w:r>
    </w:p>
    <w:p w14:paraId="5205823A" w14:textId="77777777" w:rsidR="000A4960" w:rsidRPr="00042846" w:rsidRDefault="000A4960" w:rsidP="000A4960">
      <w:pPr>
        <w:pStyle w:val="Paragraphe"/>
        <w:spacing w:after="120"/>
      </w:pPr>
      <w:r w:rsidRPr="00042846">
        <w:t>Le Comité des OPL :</w:t>
      </w:r>
    </w:p>
    <w:p w14:paraId="3861C74F" w14:textId="018C2120" w:rsidR="000A4960" w:rsidRPr="00042846" w:rsidRDefault="000A4960" w:rsidP="000A4960">
      <w:pPr>
        <w:pStyle w:val="Paragraphe"/>
        <w:numPr>
          <w:ilvl w:val="0"/>
          <w:numId w:val="37"/>
        </w:numPr>
        <w:spacing w:after="120"/>
      </w:pPr>
      <w:r>
        <w:t>(…)</w:t>
      </w:r>
    </w:p>
    <w:p w14:paraId="1A27EC2E" w14:textId="77777777" w:rsidR="000A4960" w:rsidRPr="00042846" w:rsidRDefault="000A4960" w:rsidP="000A4960">
      <w:pPr>
        <w:pStyle w:val="Paragraphedeliste"/>
        <w:numPr>
          <w:ilvl w:val="0"/>
          <w:numId w:val="37"/>
        </w:numPr>
        <w:spacing w:after="120"/>
        <w:contextualSpacing w:val="0"/>
        <w:jc w:val="both"/>
        <w:rPr>
          <w:rFonts w:ascii="Verdana" w:hAnsi="Verdana" w:cs="Calibri"/>
          <w:sz w:val="20"/>
          <w:szCs w:val="20"/>
        </w:rPr>
      </w:pPr>
      <w:r w:rsidRPr="00042846">
        <w:rPr>
          <w:rFonts w:ascii="Verdana" w:hAnsi="Verdana" w:cs="Calibri"/>
          <w:sz w:val="20"/>
          <w:szCs w:val="20"/>
        </w:rPr>
        <w:t>Prend note du déploiement de l’assistance technique et appel</w:t>
      </w:r>
      <w:r>
        <w:rPr>
          <w:rFonts w:ascii="Verdana" w:hAnsi="Verdana" w:cs="Calibri"/>
          <w:sz w:val="20"/>
          <w:szCs w:val="20"/>
        </w:rPr>
        <w:t>le</w:t>
      </w:r>
      <w:r w:rsidRPr="00042846">
        <w:rPr>
          <w:rFonts w:ascii="Verdana" w:hAnsi="Verdana" w:cs="Calibri"/>
          <w:sz w:val="20"/>
          <w:szCs w:val="20"/>
        </w:rPr>
        <w:t xml:space="preserve"> à une accélération de la mise en œuvre des activités du projet </w:t>
      </w:r>
      <w:proofErr w:type="spellStart"/>
      <w:r w:rsidRPr="00042846">
        <w:rPr>
          <w:rFonts w:ascii="Verdana" w:hAnsi="Verdana" w:cs="Calibri"/>
          <w:sz w:val="20"/>
          <w:szCs w:val="20"/>
        </w:rPr>
        <w:t>ExPLOI</w:t>
      </w:r>
      <w:proofErr w:type="spellEnd"/>
      <w:r w:rsidRPr="00042846">
        <w:rPr>
          <w:rFonts w:ascii="Verdana" w:hAnsi="Verdana" w:cs="Calibri"/>
          <w:sz w:val="20"/>
          <w:szCs w:val="20"/>
        </w:rPr>
        <w:t>, à la formalisation rapide des conventions de partenariats avec les universités et centres de recherche des Etats membres ainsi qu’au renforcement des synergies entre les différents départements et projets de la COI portant sur la réduction / gestion des déchets et l’économie circulaire ;</w:t>
      </w:r>
    </w:p>
    <w:p w14:paraId="089C6952" w14:textId="77777777" w:rsidR="000A4960" w:rsidRPr="00042846" w:rsidRDefault="000A4960" w:rsidP="000A4960">
      <w:pPr>
        <w:pStyle w:val="Paragraphe"/>
        <w:numPr>
          <w:ilvl w:val="0"/>
          <w:numId w:val="37"/>
        </w:numPr>
        <w:spacing w:after="120"/>
      </w:pPr>
      <w:r w:rsidRPr="00042846">
        <w:t>Remercie les partenaires financiers, AFD, FFEM, Union européenne et OEACP, pour leur appui dans les domaines de la réduction et gestion des déchets et promotion de l’économie bleue / circulaire</w:t>
      </w:r>
      <w:r>
        <w:t>.</w:t>
      </w:r>
    </w:p>
    <w:p w14:paraId="4648F921" w14:textId="74756CD4" w:rsidR="008F173C" w:rsidRDefault="008F173C" w:rsidP="00CB6CB7">
      <w:pPr>
        <w:pStyle w:val="Paragraphe"/>
        <w:ind w:left="720"/>
        <w:rPr>
          <w:rFonts w:ascii="Roboto" w:hAnsi="Roboto"/>
          <w:sz w:val="24"/>
          <w:szCs w:val="24"/>
        </w:rPr>
      </w:pPr>
    </w:p>
    <w:p w14:paraId="0BCF707D" w14:textId="6103F416" w:rsidR="004E6993" w:rsidRDefault="004E6993" w:rsidP="004E6993">
      <w:pPr>
        <w:pStyle w:val="Titrepartie"/>
        <w:rPr>
          <w:sz w:val="20"/>
        </w:rPr>
      </w:pPr>
      <w:r>
        <w:rPr>
          <w:sz w:val="20"/>
        </w:rPr>
        <w:t>Annexe</w:t>
      </w:r>
    </w:p>
    <w:p w14:paraId="55AB49D9" w14:textId="66B80228" w:rsidR="004E6993" w:rsidRPr="00042846" w:rsidRDefault="004E6993" w:rsidP="004E6993">
      <w:pPr>
        <w:pStyle w:val="Paragraphe"/>
      </w:pPr>
      <w:r>
        <w:t xml:space="preserve">Annexe 1 – Présentation de la campagne océanographique – projet </w:t>
      </w:r>
      <w:proofErr w:type="spellStart"/>
      <w:r>
        <w:t>ExPLOI</w:t>
      </w:r>
      <w:proofErr w:type="spellEnd"/>
    </w:p>
    <w:p w14:paraId="54B3ABB7" w14:textId="77777777" w:rsidR="004E6993" w:rsidRPr="0022414F" w:rsidRDefault="004E6993" w:rsidP="00CB6CB7">
      <w:pPr>
        <w:pStyle w:val="Paragraphe"/>
        <w:ind w:left="720"/>
        <w:rPr>
          <w:rFonts w:ascii="Roboto" w:hAnsi="Roboto"/>
          <w:sz w:val="24"/>
          <w:szCs w:val="24"/>
        </w:rPr>
      </w:pPr>
    </w:p>
    <w:sectPr w:rsidR="004E6993" w:rsidRPr="0022414F" w:rsidSect="0098532D">
      <w:headerReference w:type="default" r:id="rId11"/>
      <w:footerReference w:type="default" r:id="rId12"/>
      <w:pgSz w:w="11906" w:h="16838"/>
      <w:pgMar w:top="1702"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FFD5D" w14:textId="77777777" w:rsidR="00A3739D" w:rsidRDefault="00A3739D">
      <w:pPr>
        <w:spacing w:after="0" w:line="240" w:lineRule="auto"/>
      </w:pPr>
      <w:r>
        <w:separator/>
      </w:r>
    </w:p>
  </w:endnote>
  <w:endnote w:type="continuationSeparator" w:id="0">
    <w:p w14:paraId="40B1980D" w14:textId="77777777" w:rsidR="00A3739D" w:rsidRDefault="00A3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94DED" w14:textId="77777777" w:rsidR="00A3739D" w:rsidRDefault="00A3739D">
      <w:pPr>
        <w:spacing w:after="0" w:line="240" w:lineRule="auto"/>
      </w:pPr>
      <w:r>
        <w:separator/>
      </w:r>
    </w:p>
  </w:footnote>
  <w:footnote w:type="continuationSeparator" w:id="0">
    <w:p w14:paraId="5D4525E5" w14:textId="77777777" w:rsidR="00A3739D" w:rsidRDefault="00A37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6C79" w14:textId="2DC619CE"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408175912" name="Image 408175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3D21F8">
      <w:rPr>
        <w:rFonts w:ascii="Verdana" w:hAnsi="Verdana"/>
        <w:b/>
        <w:bCs/>
        <w:sz w:val="20"/>
        <w:szCs w:val="20"/>
      </w:rPr>
      <w:t>2.</w:t>
    </w:r>
    <w:r w:rsidR="00493A7B">
      <w:rPr>
        <w:rFonts w:ascii="Verdana" w:hAnsi="Verdana"/>
        <w:b/>
        <w:bCs/>
        <w:sz w:val="20"/>
        <w:szCs w:val="20"/>
      </w:rPr>
      <w:t>3</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005C"/>
    <w:multiLevelType w:val="hybridMultilevel"/>
    <w:tmpl w:val="EC5E75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DB7954"/>
    <w:multiLevelType w:val="hybridMultilevel"/>
    <w:tmpl w:val="CAE660FE"/>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7220C632"/>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2C417A6"/>
    <w:multiLevelType w:val="hybridMultilevel"/>
    <w:tmpl w:val="EFB6B21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4A0088"/>
    <w:multiLevelType w:val="hybridMultilevel"/>
    <w:tmpl w:val="43B4CD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A3921FE"/>
    <w:multiLevelType w:val="hybridMultilevel"/>
    <w:tmpl w:val="A8B0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6B5661"/>
    <w:multiLevelType w:val="hybridMultilevel"/>
    <w:tmpl w:val="990A7A9C"/>
    <w:lvl w:ilvl="0" w:tplc="5FBE917A">
      <w:start w:val="3"/>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7203286"/>
    <w:multiLevelType w:val="multilevel"/>
    <w:tmpl w:val="F3F4822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4821A33"/>
    <w:multiLevelType w:val="hybridMultilevel"/>
    <w:tmpl w:val="F5AC4774"/>
    <w:lvl w:ilvl="0" w:tplc="AB6E33E2">
      <w:start w:val="2"/>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8991359"/>
    <w:multiLevelType w:val="hybridMultilevel"/>
    <w:tmpl w:val="51CE9E3A"/>
    <w:lvl w:ilvl="0" w:tplc="F204165E">
      <w:start w:val="2"/>
      <w:numFmt w:val="bullet"/>
      <w:lvlText w:val="-"/>
      <w:lvlJc w:val="left"/>
      <w:pPr>
        <w:ind w:left="720" w:hanging="360"/>
      </w:pPr>
      <w:rPr>
        <w:rFonts w:ascii="Roboto" w:eastAsiaTheme="minorHAnsi" w:hAnsi="Roboto"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F4C055C"/>
    <w:multiLevelType w:val="hybridMultilevel"/>
    <w:tmpl w:val="D2DAB0A4"/>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A5389B"/>
    <w:multiLevelType w:val="hybridMultilevel"/>
    <w:tmpl w:val="C728F5D6"/>
    <w:lvl w:ilvl="0" w:tplc="040C0017">
      <w:start w:val="1"/>
      <w:numFmt w:val="lowerLetter"/>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7" w15:restartNumberingAfterBreak="0">
    <w:nsid w:val="49E946BD"/>
    <w:multiLevelType w:val="hybridMultilevel"/>
    <w:tmpl w:val="29CE3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D62BF2"/>
    <w:multiLevelType w:val="hybridMultilevel"/>
    <w:tmpl w:val="AB324806"/>
    <w:lvl w:ilvl="0" w:tplc="83E21338">
      <w:start w:val="3"/>
      <w:numFmt w:val="bullet"/>
      <w:lvlText w:val="-"/>
      <w:lvlJc w:val="left"/>
      <w:pPr>
        <w:ind w:left="1080" w:hanging="360"/>
      </w:pPr>
      <w:rPr>
        <w:rFonts w:ascii="Roboto" w:eastAsiaTheme="minorHAnsi" w:hAnsi="Roboto"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9" w15:restartNumberingAfterBreak="0">
    <w:nsid w:val="503D071A"/>
    <w:multiLevelType w:val="hybridMultilevel"/>
    <w:tmpl w:val="65CE1FF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32C12EF"/>
    <w:multiLevelType w:val="hybridMultilevel"/>
    <w:tmpl w:val="D39A67A4"/>
    <w:lvl w:ilvl="0" w:tplc="FE825510">
      <w:start w:val="3"/>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5B413A4"/>
    <w:multiLevelType w:val="hybridMultilevel"/>
    <w:tmpl w:val="06BA5266"/>
    <w:lvl w:ilvl="0" w:tplc="141E132C">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5D7704"/>
    <w:multiLevelType w:val="hybridMultilevel"/>
    <w:tmpl w:val="640EC3AA"/>
    <w:lvl w:ilvl="0" w:tplc="040C000D">
      <w:start w:val="1"/>
      <w:numFmt w:val="bullet"/>
      <w:lvlText w:val=""/>
      <w:lvlJc w:val="left"/>
      <w:pPr>
        <w:ind w:left="792" w:hanging="360"/>
      </w:pPr>
      <w:rPr>
        <w:rFonts w:ascii="Wingdings" w:hAnsi="Wingding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5" w15:restartNumberingAfterBreak="0">
    <w:nsid w:val="61605DBC"/>
    <w:multiLevelType w:val="hybridMultilevel"/>
    <w:tmpl w:val="33B889D2"/>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3A455FB"/>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8B31FA"/>
    <w:multiLevelType w:val="hybridMultilevel"/>
    <w:tmpl w:val="DD80009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71E81B3B"/>
    <w:multiLevelType w:val="hybridMultilevel"/>
    <w:tmpl w:val="DF5EADF8"/>
    <w:lvl w:ilvl="0" w:tplc="141E132C">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A42F17"/>
    <w:multiLevelType w:val="hybridMultilevel"/>
    <w:tmpl w:val="944E0760"/>
    <w:lvl w:ilvl="0" w:tplc="141E132C">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A5F5CEE"/>
    <w:multiLevelType w:val="hybridMultilevel"/>
    <w:tmpl w:val="11FAFA9E"/>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8170251">
    <w:abstractNumId w:val="9"/>
  </w:num>
  <w:num w:numId="2" w16cid:durableId="696658758">
    <w:abstractNumId w:val="23"/>
  </w:num>
  <w:num w:numId="3" w16cid:durableId="829099502">
    <w:abstractNumId w:val="4"/>
  </w:num>
  <w:num w:numId="4" w16cid:durableId="1525940942">
    <w:abstractNumId w:val="2"/>
  </w:num>
  <w:num w:numId="5" w16cid:durableId="165020131">
    <w:abstractNumId w:val="22"/>
  </w:num>
  <w:num w:numId="6" w16cid:durableId="224488953">
    <w:abstractNumId w:val="6"/>
  </w:num>
  <w:num w:numId="7" w16cid:durableId="297687534">
    <w:abstractNumId w:val="10"/>
  </w:num>
  <w:num w:numId="8" w16cid:durableId="1254779571">
    <w:abstractNumId w:val="4"/>
    <w:lvlOverride w:ilvl="0">
      <w:startOverride w:val="1"/>
    </w:lvlOverride>
  </w:num>
  <w:num w:numId="9" w16cid:durableId="1420908688">
    <w:abstractNumId w:val="3"/>
  </w:num>
  <w:num w:numId="10" w16cid:durableId="237715780">
    <w:abstractNumId w:val="8"/>
  </w:num>
  <w:num w:numId="11" w16cid:durableId="621696603">
    <w:abstractNumId w:val="11"/>
  </w:num>
  <w:num w:numId="12" w16cid:durableId="1145971675">
    <w:abstractNumId w:val="18"/>
  </w:num>
  <w:num w:numId="13" w16cid:durableId="156312207">
    <w:abstractNumId w:val="20"/>
  </w:num>
  <w:num w:numId="14" w16cid:durableId="1208028579">
    <w:abstractNumId w:val="13"/>
  </w:num>
  <w:num w:numId="15" w16cid:durableId="12701574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244954">
    <w:abstractNumId w:val="4"/>
  </w:num>
  <w:num w:numId="17" w16cid:durableId="868372564">
    <w:abstractNumId w:val="14"/>
  </w:num>
  <w:num w:numId="18" w16cid:durableId="785005186">
    <w:abstractNumId w:val="12"/>
  </w:num>
  <w:num w:numId="19" w16cid:durableId="550921926">
    <w:abstractNumId w:val="4"/>
  </w:num>
  <w:num w:numId="20" w16cid:durableId="1225138317">
    <w:abstractNumId w:val="4"/>
  </w:num>
  <w:num w:numId="21" w16cid:durableId="443230716">
    <w:abstractNumId w:val="19"/>
  </w:num>
  <w:num w:numId="22" w16cid:durableId="1427770863">
    <w:abstractNumId w:val="4"/>
    <w:lvlOverride w:ilvl="0">
      <w:startOverride w:val="1"/>
    </w:lvlOverride>
    <w:lvlOverride w:ilvl="1">
      <w:startOverride w:val="2"/>
    </w:lvlOverride>
  </w:num>
  <w:num w:numId="23" w16cid:durableId="2012373987">
    <w:abstractNumId w:val="17"/>
  </w:num>
  <w:num w:numId="24" w16cid:durableId="1903982409">
    <w:abstractNumId w:val="0"/>
  </w:num>
  <w:num w:numId="25" w16cid:durableId="332218895">
    <w:abstractNumId w:val="16"/>
  </w:num>
  <w:num w:numId="26" w16cid:durableId="1850489169">
    <w:abstractNumId w:val="30"/>
  </w:num>
  <w:num w:numId="27" w16cid:durableId="1323044938">
    <w:abstractNumId w:val="7"/>
  </w:num>
  <w:num w:numId="28" w16cid:durableId="146556031">
    <w:abstractNumId w:val="1"/>
  </w:num>
  <w:num w:numId="29" w16cid:durableId="766924544">
    <w:abstractNumId w:val="27"/>
  </w:num>
  <w:num w:numId="30" w16cid:durableId="1862475731">
    <w:abstractNumId w:val="25"/>
  </w:num>
  <w:num w:numId="31" w16cid:durableId="1796485515">
    <w:abstractNumId w:val="24"/>
  </w:num>
  <w:num w:numId="32" w16cid:durableId="1297300794">
    <w:abstractNumId w:val="21"/>
  </w:num>
  <w:num w:numId="33" w16cid:durableId="1580554248">
    <w:abstractNumId w:val="28"/>
  </w:num>
  <w:num w:numId="34" w16cid:durableId="1968512011">
    <w:abstractNumId w:val="29"/>
  </w:num>
  <w:num w:numId="35" w16cid:durableId="1007833345">
    <w:abstractNumId w:val="15"/>
  </w:num>
  <w:num w:numId="36" w16cid:durableId="401372324">
    <w:abstractNumId w:val="5"/>
  </w:num>
  <w:num w:numId="37" w16cid:durableId="212523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30BC"/>
    <w:rsid w:val="00011273"/>
    <w:rsid w:val="00015AB8"/>
    <w:rsid w:val="00030DEA"/>
    <w:rsid w:val="00031236"/>
    <w:rsid w:val="00036FCE"/>
    <w:rsid w:val="000373B2"/>
    <w:rsid w:val="00042846"/>
    <w:rsid w:val="00042CF5"/>
    <w:rsid w:val="000447EA"/>
    <w:rsid w:val="00056725"/>
    <w:rsid w:val="00060CA0"/>
    <w:rsid w:val="00063A26"/>
    <w:rsid w:val="0006528F"/>
    <w:rsid w:val="0008468B"/>
    <w:rsid w:val="000A468A"/>
    <w:rsid w:val="000A4960"/>
    <w:rsid w:val="000B0433"/>
    <w:rsid w:val="000B0FBD"/>
    <w:rsid w:val="000B7609"/>
    <w:rsid w:val="000D0C28"/>
    <w:rsid w:val="000F4728"/>
    <w:rsid w:val="000F7F05"/>
    <w:rsid w:val="00104568"/>
    <w:rsid w:val="00107D9D"/>
    <w:rsid w:val="00107E7A"/>
    <w:rsid w:val="00111476"/>
    <w:rsid w:val="0011663C"/>
    <w:rsid w:val="001174F7"/>
    <w:rsid w:val="00117BDE"/>
    <w:rsid w:val="00121B1C"/>
    <w:rsid w:val="0012675C"/>
    <w:rsid w:val="00126E23"/>
    <w:rsid w:val="00134792"/>
    <w:rsid w:val="001427BD"/>
    <w:rsid w:val="001470E0"/>
    <w:rsid w:val="00155DB9"/>
    <w:rsid w:val="00164305"/>
    <w:rsid w:val="001677B9"/>
    <w:rsid w:val="00167E46"/>
    <w:rsid w:val="00173F35"/>
    <w:rsid w:val="00175E67"/>
    <w:rsid w:val="001765E9"/>
    <w:rsid w:val="0018252D"/>
    <w:rsid w:val="00183424"/>
    <w:rsid w:val="00190DDF"/>
    <w:rsid w:val="001A56F1"/>
    <w:rsid w:val="001B0C08"/>
    <w:rsid w:val="001B4738"/>
    <w:rsid w:val="001D238B"/>
    <w:rsid w:val="001D2865"/>
    <w:rsid w:val="001D531C"/>
    <w:rsid w:val="001D6688"/>
    <w:rsid w:val="001E0C19"/>
    <w:rsid w:val="001E5D6B"/>
    <w:rsid w:val="001F30F9"/>
    <w:rsid w:val="002160A2"/>
    <w:rsid w:val="0022414F"/>
    <w:rsid w:val="00243B77"/>
    <w:rsid w:val="00246E69"/>
    <w:rsid w:val="00267105"/>
    <w:rsid w:val="002729D9"/>
    <w:rsid w:val="00282E6B"/>
    <w:rsid w:val="00283446"/>
    <w:rsid w:val="00286AB5"/>
    <w:rsid w:val="002870E7"/>
    <w:rsid w:val="002912D4"/>
    <w:rsid w:val="0029427A"/>
    <w:rsid w:val="00294502"/>
    <w:rsid w:val="002969B8"/>
    <w:rsid w:val="002A0933"/>
    <w:rsid w:val="002A096E"/>
    <w:rsid w:val="002B1569"/>
    <w:rsid w:val="002B60C1"/>
    <w:rsid w:val="002C3F44"/>
    <w:rsid w:val="002C56ED"/>
    <w:rsid w:val="002D21F5"/>
    <w:rsid w:val="002E0E0B"/>
    <w:rsid w:val="002E6B1B"/>
    <w:rsid w:val="002E70A8"/>
    <w:rsid w:val="002F055D"/>
    <w:rsid w:val="002F7F66"/>
    <w:rsid w:val="00303C44"/>
    <w:rsid w:val="00336396"/>
    <w:rsid w:val="00356BB1"/>
    <w:rsid w:val="003604B9"/>
    <w:rsid w:val="0037140B"/>
    <w:rsid w:val="00373BBD"/>
    <w:rsid w:val="00374E93"/>
    <w:rsid w:val="003772FB"/>
    <w:rsid w:val="003841D6"/>
    <w:rsid w:val="00386B29"/>
    <w:rsid w:val="00391152"/>
    <w:rsid w:val="003938E2"/>
    <w:rsid w:val="003A3360"/>
    <w:rsid w:val="003A3639"/>
    <w:rsid w:val="003B1E29"/>
    <w:rsid w:val="003B2E5A"/>
    <w:rsid w:val="003B3F65"/>
    <w:rsid w:val="003B5EF9"/>
    <w:rsid w:val="003B71FB"/>
    <w:rsid w:val="003B778E"/>
    <w:rsid w:val="003C2538"/>
    <w:rsid w:val="003D21F8"/>
    <w:rsid w:val="003D485F"/>
    <w:rsid w:val="003D5328"/>
    <w:rsid w:val="003E3F57"/>
    <w:rsid w:val="003F69A7"/>
    <w:rsid w:val="004009DF"/>
    <w:rsid w:val="0040155B"/>
    <w:rsid w:val="0041187D"/>
    <w:rsid w:val="00411FD0"/>
    <w:rsid w:val="0041278C"/>
    <w:rsid w:val="00417683"/>
    <w:rsid w:val="004216C5"/>
    <w:rsid w:val="0042402C"/>
    <w:rsid w:val="004248B2"/>
    <w:rsid w:val="00425E5A"/>
    <w:rsid w:val="00426673"/>
    <w:rsid w:val="00436130"/>
    <w:rsid w:val="0044475F"/>
    <w:rsid w:val="00444B35"/>
    <w:rsid w:val="004607F7"/>
    <w:rsid w:val="004661DE"/>
    <w:rsid w:val="004775DA"/>
    <w:rsid w:val="00483034"/>
    <w:rsid w:val="004926E2"/>
    <w:rsid w:val="00493A7B"/>
    <w:rsid w:val="0049782F"/>
    <w:rsid w:val="004A7369"/>
    <w:rsid w:val="004B376D"/>
    <w:rsid w:val="004B6FBB"/>
    <w:rsid w:val="004C568C"/>
    <w:rsid w:val="004D1568"/>
    <w:rsid w:val="004E6993"/>
    <w:rsid w:val="004F5C4B"/>
    <w:rsid w:val="004F64C9"/>
    <w:rsid w:val="00504F45"/>
    <w:rsid w:val="0053736B"/>
    <w:rsid w:val="0053773D"/>
    <w:rsid w:val="00542095"/>
    <w:rsid w:val="005546E2"/>
    <w:rsid w:val="005627D0"/>
    <w:rsid w:val="005664F2"/>
    <w:rsid w:val="005676D6"/>
    <w:rsid w:val="00587D27"/>
    <w:rsid w:val="00591135"/>
    <w:rsid w:val="00591825"/>
    <w:rsid w:val="00591A8A"/>
    <w:rsid w:val="005B720A"/>
    <w:rsid w:val="005C1166"/>
    <w:rsid w:val="005D0616"/>
    <w:rsid w:val="005D07A7"/>
    <w:rsid w:val="005D0F2C"/>
    <w:rsid w:val="005D5C2C"/>
    <w:rsid w:val="005D702F"/>
    <w:rsid w:val="005F6D0B"/>
    <w:rsid w:val="00604BF9"/>
    <w:rsid w:val="00613313"/>
    <w:rsid w:val="00616351"/>
    <w:rsid w:val="00620B90"/>
    <w:rsid w:val="006353BD"/>
    <w:rsid w:val="006356AF"/>
    <w:rsid w:val="00640669"/>
    <w:rsid w:val="00653DE9"/>
    <w:rsid w:val="006548BF"/>
    <w:rsid w:val="00654A60"/>
    <w:rsid w:val="00655B8B"/>
    <w:rsid w:val="00660504"/>
    <w:rsid w:val="00667DEE"/>
    <w:rsid w:val="00671BA2"/>
    <w:rsid w:val="00685707"/>
    <w:rsid w:val="00692600"/>
    <w:rsid w:val="00692F01"/>
    <w:rsid w:val="006C1620"/>
    <w:rsid w:val="006E2D9E"/>
    <w:rsid w:val="006E6E66"/>
    <w:rsid w:val="006F0295"/>
    <w:rsid w:val="006F0B10"/>
    <w:rsid w:val="006F3FF5"/>
    <w:rsid w:val="006F5280"/>
    <w:rsid w:val="00703D5C"/>
    <w:rsid w:val="00710A1D"/>
    <w:rsid w:val="00721C0E"/>
    <w:rsid w:val="007220B3"/>
    <w:rsid w:val="007269CD"/>
    <w:rsid w:val="007305D9"/>
    <w:rsid w:val="00746B25"/>
    <w:rsid w:val="007561F8"/>
    <w:rsid w:val="0076047F"/>
    <w:rsid w:val="00765EE4"/>
    <w:rsid w:val="00776BA1"/>
    <w:rsid w:val="0078109C"/>
    <w:rsid w:val="00784355"/>
    <w:rsid w:val="0078617C"/>
    <w:rsid w:val="007B0931"/>
    <w:rsid w:val="007B245C"/>
    <w:rsid w:val="007B52BB"/>
    <w:rsid w:val="007C41D4"/>
    <w:rsid w:val="007C4850"/>
    <w:rsid w:val="007C78FC"/>
    <w:rsid w:val="007D0C1E"/>
    <w:rsid w:val="007D5FC3"/>
    <w:rsid w:val="007E3006"/>
    <w:rsid w:val="007E44EF"/>
    <w:rsid w:val="007F355A"/>
    <w:rsid w:val="00805420"/>
    <w:rsid w:val="00810EB8"/>
    <w:rsid w:val="00810F55"/>
    <w:rsid w:val="008166DF"/>
    <w:rsid w:val="00816DAC"/>
    <w:rsid w:val="00825E87"/>
    <w:rsid w:val="00827812"/>
    <w:rsid w:val="0083290E"/>
    <w:rsid w:val="00842AB0"/>
    <w:rsid w:val="00843FF2"/>
    <w:rsid w:val="008453AB"/>
    <w:rsid w:val="00854EEA"/>
    <w:rsid w:val="008551DA"/>
    <w:rsid w:val="00862786"/>
    <w:rsid w:val="00875662"/>
    <w:rsid w:val="008812B5"/>
    <w:rsid w:val="0089741C"/>
    <w:rsid w:val="008A4291"/>
    <w:rsid w:val="008B731F"/>
    <w:rsid w:val="008C7BCA"/>
    <w:rsid w:val="008D193F"/>
    <w:rsid w:val="008D4A1D"/>
    <w:rsid w:val="008D7486"/>
    <w:rsid w:val="008E1BEB"/>
    <w:rsid w:val="008E537E"/>
    <w:rsid w:val="008F173C"/>
    <w:rsid w:val="008F39D3"/>
    <w:rsid w:val="00900F57"/>
    <w:rsid w:val="00917DB3"/>
    <w:rsid w:val="00924184"/>
    <w:rsid w:val="00940D2C"/>
    <w:rsid w:val="00944B8F"/>
    <w:rsid w:val="00946427"/>
    <w:rsid w:val="00955BB3"/>
    <w:rsid w:val="00961AC1"/>
    <w:rsid w:val="009759AF"/>
    <w:rsid w:val="0098532D"/>
    <w:rsid w:val="009A0C62"/>
    <w:rsid w:val="009A34D9"/>
    <w:rsid w:val="009A38AD"/>
    <w:rsid w:val="009E2D89"/>
    <w:rsid w:val="009E7ACF"/>
    <w:rsid w:val="00A06670"/>
    <w:rsid w:val="00A118E1"/>
    <w:rsid w:val="00A148A1"/>
    <w:rsid w:val="00A175E5"/>
    <w:rsid w:val="00A3566B"/>
    <w:rsid w:val="00A36AFA"/>
    <w:rsid w:val="00A36C09"/>
    <w:rsid w:val="00A3739D"/>
    <w:rsid w:val="00A37BB3"/>
    <w:rsid w:val="00A37C9F"/>
    <w:rsid w:val="00A477E1"/>
    <w:rsid w:val="00A51A8A"/>
    <w:rsid w:val="00A6160D"/>
    <w:rsid w:val="00A70123"/>
    <w:rsid w:val="00A74BFA"/>
    <w:rsid w:val="00A76B07"/>
    <w:rsid w:val="00A81B98"/>
    <w:rsid w:val="00A90305"/>
    <w:rsid w:val="00AA5998"/>
    <w:rsid w:val="00AA63A3"/>
    <w:rsid w:val="00AB575E"/>
    <w:rsid w:val="00AB5EB7"/>
    <w:rsid w:val="00AD4D97"/>
    <w:rsid w:val="00AD4F21"/>
    <w:rsid w:val="00AD57C8"/>
    <w:rsid w:val="00AE1977"/>
    <w:rsid w:val="00AE2453"/>
    <w:rsid w:val="00AF5530"/>
    <w:rsid w:val="00AF7F2A"/>
    <w:rsid w:val="00B02730"/>
    <w:rsid w:val="00B05DFC"/>
    <w:rsid w:val="00B1099C"/>
    <w:rsid w:val="00B36EEA"/>
    <w:rsid w:val="00B426EA"/>
    <w:rsid w:val="00B434CA"/>
    <w:rsid w:val="00B5038E"/>
    <w:rsid w:val="00B52933"/>
    <w:rsid w:val="00B76754"/>
    <w:rsid w:val="00B82A0C"/>
    <w:rsid w:val="00BA0FA7"/>
    <w:rsid w:val="00BA3105"/>
    <w:rsid w:val="00BA4B55"/>
    <w:rsid w:val="00BA752A"/>
    <w:rsid w:val="00BC4C97"/>
    <w:rsid w:val="00BD12A2"/>
    <w:rsid w:val="00BD1F83"/>
    <w:rsid w:val="00BE2AF1"/>
    <w:rsid w:val="00C05213"/>
    <w:rsid w:val="00C12C93"/>
    <w:rsid w:val="00C16FA7"/>
    <w:rsid w:val="00C325F5"/>
    <w:rsid w:val="00C326C4"/>
    <w:rsid w:val="00C35652"/>
    <w:rsid w:val="00C457E8"/>
    <w:rsid w:val="00C52327"/>
    <w:rsid w:val="00C52702"/>
    <w:rsid w:val="00C609B9"/>
    <w:rsid w:val="00C64403"/>
    <w:rsid w:val="00C828E0"/>
    <w:rsid w:val="00C8473F"/>
    <w:rsid w:val="00C90ADE"/>
    <w:rsid w:val="00C91BD0"/>
    <w:rsid w:val="00C91F3E"/>
    <w:rsid w:val="00C92A95"/>
    <w:rsid w:val="00CA419D"/>
    <w:rsid w:val="00CB6893"/>
    <w:rsid w:val="00CB6CB7"/>
    <w:rsid w:val="00CB7FB9"/>
    <w:rsid w:val="00CC4618"/>
    <w:rsid w:val="00CC5D7B"/>
    <w:rsid w:val="00CD72E6"/>
    <w:rsid w:val="00CD7C2F"/>
    <w:rsid w:val="00CE2386"/>
    <w:rsid w:val="00D07CE1"/>
    <w:rsid w:val="00D11CA4"/>
    <w:rsid w:val="00D20205"/>
    <w:rsid w:val="00D34EEC"/>
    <w:rsid w:val="00D45501"/>
    <w:rsid w:val="00D463B0"/>
    <w:rsid w:val="00D4740D"/>
    <w:rsid w:val="00D50E26"/>
    <w:rsid w:val="00D56F9F"/>
    <w:rsid w:val="00D60E4C"/>
    <w:rsid w:val="00D6393A"/>
    <w:rsid w:val="00D832C5"/>
    <w:rsid w:val="00D87869"/>
    <w:rsid w:val="00D9092C"/>
    <w:rsid w:val="00D917D1"/>
    <w:rsid w:val="00DB2814"/>
    <w:rsid w:val="00DC02A4"/>
    <w:rsid w:val="00DD1A3B"/>
    <w:rsid w:val="00DD2795"/>
    <w:rsid w:val="00DE75A8"/>
    <w:rsid w:val="00DF04F2"/>
    <w:rsid w:val="00DF0A77"/>
    <w:rsid w:val="00DF1859"/>
    <w:rsid w:val="00DF3662"/>
    <w:rsid w:val="00E0445A"/>
    <w:rsid w:val="00E045C4"/>
    <w:rsid w:val="00E0484E"/>
    <w:rsid w:val="00E117F5"/>
    <w:rsid w:val="00E1495C"/>
    <w:rsid w:val="00E32408"/>
    <w:rsid w:val="00E37CEF"/>
    <w:rsid w:val="00E43370"/>
    <w:rsid w:val="00E45522"/>
    <w:rsid w:val="00E51003"/>
    <w:rsid w:val="00E60109"/>
    <w:rsid w:val="00E66CE8"/>
    <w:rsid w:val="00E72EF1"/>
    <w:rsid w:val="00E81031"/>
    <w:rsid w:val="00E8194E"/>
    <w:rsid w:val="00E824A1"/>
    <w:rsid w:val="00E845D4"/>
    <w:rsid w:val="00E90E29"/>
    <w:rsid w:val="00EA5648"/>
    <w:rsid w:val="00EB00DA"/>
    <w:rsid w:val="00EB2417"/>
    <w:rsid w:val="00EB6A49"/>
    <w:rsid w:val="00EC22CC"/>
    <w:rsid w:val="00ED354D"/>
    <w:rsid w:val="00ED6B69"/>
    <w:rsid w:val="00ED7F2C"/>
    <w:rsid w:val="00EE20A4"/>
    <w:rsid w:val="00EE34F4"/>
    <w:rsid w:val="00EE4F86"/>
    <w:rsid w:val="00EF22A4"/>
    <w:rsid w:val="00F06997"/>
    <w:rsid w:val="00F16AF9"/>
    <w:rsid w:val="00F4217A"/>
    <w:rsid w:val="00F5176D"/>
    <w:rsid w:val="00F527EF"/>
    <w:rsid w:val="00F5418A"/>
    <w:rsid w:val="00F54EA0"/>
    <w:rsid w:val="00F56F29"/>
    <w:rsid w:val="00F60F8C"/>
    <w:rsid w:val="00F636A6"/>
    <w:rsid w:val="00F66517"/>
    <w:rsid w:val="00F7050A"/>
    <w:rsid w:val="00F74F0B"/>
    <w:rsid w:val="00F85D91"/>
    <w:rsid w:val="00F87E53"/>
    <w:rsid w:val="00F96EE9"/>
    <w:rsid w:val="00FA0378"/>
    <w:rsid w:val="00FA0ED9"/>
    <w:rsid w:val="00FA355B"/>
    <w:rsid w:val="00FA6129"/>
    <w:rsid w:val="00FB382E"/>
    <w:rsid w:val="00FC4302"/>
    <w:rsid w:val="00FC4944"/>
    <w:rsid w:val="00FC558B"/>
    <w:rsid w:val="00FC6E3C"/>
    <w:rsid w:val="00FD1031"/>
    <w:rsid w:val="00FD5AF2"/>
    <w:rsid w:val="00FE0592"/>
    <w:rsid w:val="00FE1639"/>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03123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31236"/>
    <w:rPr>
      <w:sz w:val="20"/>
      <w:szCs w:val="20"/>
    </w:rPr>
  </w:style>
  <w:style w:type="character" w:styleId="Appelnotedebasdep">
    <w:name w:val="footnote reference"/>
    <w:basedOn w:val="Policepardfaut"/>
    <w:uiPriority w:val="99"/>
    <w:semiHidden/>
    <w:unhideWhenUsed/>
    <w:rsid w:val="00031236"/>
    <w:rPr>
      <w:vertAlign w:val="superscript"/>
    </w:rPr>
  </w:style>
  <w:style w:type="character" w:styleId="Lienhypertexte">
    <w:name w:val="Hyperlink"/>
    <w:basedOn w:val="Policepardfaut"/>
    <w:uiPriority w:val="99"/>
    <w:semiHidden/>
    <w:unhideWhenUsed/>
    <w:rsid w:val="00031236"/>
    <w:rPr>
      <w:color w:val="0000FF"/>
      <w:u w:val="single"/>
    </w:rPr>
  </w:style>
  <w:style w:type="paragraph" w:styleId="Rvision">
    <w:name w:val="Revision"/>
    <w:hidden/>
    <w:uiPriority w:val="99"/>
    <w:semiHidden/>
    <w:rsid w:val="007305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359430057">
      <w:bodyDiv w:val="1"/>
      <w:marLeft w:val="0"/>
      <w:marRight w:val="0"/>
      <w:marTop w:val="0"/>
      <w:marBottom w:val="0"/>
      <w:divBdr>
        <w:top w:val="none" w:sz="0" w:space="0" w:color="auto"/>
        <w:left w:val="none" w:sz="0" w:space="0" w:color="auto"/>
        <w:bottom w:val="none" w:sz="0" w:space="0" w:color="auto"/>
        <w:right w:val="none" w:sz="0" w:space="0" w:color="auto"/>
      </w:divBdr>
      <w:divsChild>
        <w:div w:id="849831146">
          <w:marLeft w:val="714"/>
          <w:marRight w:val="0"/>
          <w:marTop w:val="0"/>
          <w:marBottom w:val="120"/>
          <w:divBdr>
            <w:top w:val="none" w:sz="0" w:space="0" w:color="auto"/>
            <w:left w:val="none" w:sz="0" w:space="0" w:color="auto"/>
            <w:bottom w:val="none" w:sz="0" w:space="0" w:color="auto"/>
            <w:right w:val="none" w:sz="0" w:space="0" w:color="auto"/>
          </w:divBdr>
        </w:div>
        <w:div w:id="441652637">
          <w:marLeft w:val="714"/>
          <w:marRight w:val="0"/>
          <w:marTop w:val="0"/>
          <w:marBottom w:val="120"/>
          <w:divBdr>
            <w:top w:val="none" w:sz="0" w:space="0" w:color="auto"/>
            <w:left w:val="none" w:sz="0" w:space="0" w:color="auto"/>
            <w:bottom w:val="none" w:sz="0" w:space="0" w:color="auto"/>
            <w:right w:val="none" w:sz="0" w:space="0" w:color="auto"/>
          </w:divBdr>
        </w:div>
        <w:div w:id="1075393077">
          <w:marLeft w:val="714"/>
          <w:marRight w:val="0"/>
          <w:marTop w:val="0"/>
          <w:marBottom w:val="120"/>
          <w:divBdr>
            <w:top w:val="none" w:sz="0" w:space="0" w:color="auto"/>
            <w:left w:val="none" w:sz="0" w:space="0" w:color="auto"/>
            <w:bottom w:val="none" w:sz="0" w:space="0" w:color="auto"/>
            <w:right w:val="none" w:sz="0" w:space="0" w:color="auto"/>
          </w:divBdr>
        </w:div>
        <w:div w:id="696203348">
          <w:marLeft w:val="0"/>
          <w:marRight w:val="0"/>
          <w:marTop w:val="240"/>
          <w:marBottom w:val="120"/>
          <w:divBdr>
            <w:top w:val="none" w:sz="0" w:space="0" w:color="auto"/>
            <w:left w:val="none" w:sz="0" w:space="0" w:color="auto"/>
            <w:bottom w:val="none" w:sz="0" w:space="0" w:color="auto"/>
            <w:right w:val="none" w:sz="0" w:space="0" w:color="auto"/>
          </w:divBdr>
        </w:div>
        <w:div w:id="1976909673">
          <w:marLeft w:val="0"/>
          <w:marRight w:val="0"/>
          <w:marTop w:val="240"/>
          <w:marBottom w:val="120"/>
          <w:divBdr>
            <w:top w:val="none" w:sz="0" w:space="0" w:color="auto"/>
            <w:left w:val="none" w:sz="0" w:space="0" w:color="auto"/>
            <w:bottom w:val="none" w:sz="0" w:space="0" w:color="auto"/>
            <w:right w:val="none" w:sz="0" w:space="0" w:color="auto"/>
          </w:divBdr>
        </w:div>
        <w:div w:id="1023019259">
          <w:marLeft w:val="714"/>
          <w:marRight w:val="0"/>
          <w:marTop w:val="0"/>
          <w:marBottom w:val="120"/>
          <w:divBdr>
            <w:top w:val="none" w:sz="0" w:space="0" w:color="auto"/>
            <w:left w:val="none" w:sz="0" w:space="0" w:color="auto"/>
            <w:bottom w:val="none" w:sz="0" w:space="0" w:color="auto"/>
            <w:right w:val="none" w:sz="0" w:space="0" w:color="auto"/>
          </w:divBdr>
        </w:div>
        <w:div w:id="389381318">
          <w:marLeft w:val="714"/>
          <w:marRight w:val="0"/>
          <w:marTop w:val="0"/>
          <w:marBottom w:val="120"/>
          <w:divBdr>
            <w:top w:val="none" w:sz="0" w:space="0" w:color="auto"/>
            <w:left w:val="none" w:sz="0" w:space="0" w:color="auto"/>
            <w:bottom w:val="none" w:sz="0" w:space="0" w:color="auto"/>
            <w:right w:val="none" w:sz="0" w:space="0" w:color="auto"/>
          </w:divBdr>
        </w:div>
        <w:div w:id="1502895100">
          <w:marLeft w:val="0"/>
          <w:marRight w:val="0"/>
          <w:marTop w:val="240"/>
          <w:marBottom w:val="120"/>
          <w:divBdr>
            <w:top w:val="none" w:sz="0" w:space="0" w:color="auto"/>
            <w:left w:val="none" w:sz="0" w:space="0" w:color="auto"/>
            <w:bottom w:val="none" w:sz="0" w:space="0" w:color="auto"/>
            <w:right w:val="none" w:sz="0" w:space="0" w:color="auto"/>
          </w:divBdr>
        </w:div>
        <w:div w:id="1909532748">
          <w:marLeft w:val="0"/>
          <w:marRight w:val="0"/>
          <w:marTop w:val="240"/>
          <w:marBottom w:val="120"/>
          <w:divBdr>
            <w:top w:val="none" w:sz="0" w:space="0" w:color="auto"/>
            <w:left w:val="none" w:sz="0" w:space="0" w:color="auto"/>
            <w:bottom w:val="none" w:sz="0" w:space="0" w:color="auto"/>
            <w:right w:val="none" w:sz="0" w:space="0" w:color="auto"/>
          </w:divBdr>
        </w:div>
        <w:div w:id="162549338">
          <w:marLeft w:val="0"/>
          <w:marRight w:val="0"/>
          <w:marTop w:val="240"/>
          <w:marBottom w:val="120"/>
          <w:divBdr>
            <w:top w:val="none" w:sz="0" w:space="0" w:color="auto"/>
            <w:left w:val="none" w:sz="0" w:space="0" w:color="auto"/>
            <w:bottom w:val="none" w:sz="0" w:space="0" w:color="auto"/>
            <w:right w:val="none" w:sz="0" w:space="0" w:color="auto"/>
          </w:divBdr>
        </w:div>
        <w:div w:id="60688010">
          <w:marLeft w:val="0"/>
          <w:marRight w:val="0"/>
          <w:marTop w:val="240"/>
          <w:marBottom w:val="120"/>
          <w:divBdr>
            <w:top w:val="none" w:sz="0" w:space="0" w:color="auto"/>
            <w:left w:val="none" w:sz="0" w:space="0" w:color="auto"/>
            <w:bottom w:val="none" w:sz="0" w:space="0" w:color="auto"/>
            <w:right w:val="none" w:sz="0" w:space="0" w:color="auto"/>
          </w:divBdr>
        </w:div>
        <w:div w:id="2003655005">
          <w:marLeft w:val="0"/>
          <w:marRight w:val="0"/>
          <w:marTop w:val="240"/>
          <w:marBottom w:val="120"/>
          <w:divBdr>
            <w:top w:val="none" w:sz="0" w:space="0" w:color="auto"/>
            <w:left w:val="none" w:sz="0" w:space="0" w:color="auto"/>
            <w:bottom w:val="none" w:sz="0" w:space="0" w:color="auto"/>
            <w:right w:val="none" w:sz="0" w:space="0" w:color="auto"/>
          </w:divBdr>
        </w:div>
        <w:div w:id="1797288460">
          <w:marLeft w:val="0"/>
          <w:marRight w:val="0"/>
          <w:marTop w:val="240"/>
          <w:marBottom w:val="120"/>
          <w:divBdr>
            <w:top w:val="none" w:sz="0" w:space="0" w:color="auto"/>
            <w:left w:val="none" w:sz="0" w:space="0" w:color="auto"/>
            <w:bottom w:val="none" w:sz="0" w:space="0" w:color="auto"/>
            <w:right w:val="none" w:sz="0" w:space="0" w:color="auto"/>
          </w:divBdr>
        </w:div>
      </w:divsChild>
    </w:div>
    <w:div w:id="1485660232">
      <w:bodyDiv w:val="1"/>
      <w:marLeft w:val="0"/>
      <w:marRight w:val="0"/>
      <w:marTop w:val="0"/>
      <w:marBottom w:val="0"/>
      <w:divBdr>
        <w:top w:val="none" w:sz="0" w:space="0" w:color="auto"/>
        <w:left w:val="none" w:sz="0" w:space="0" w:color="auto"/>
        <w:bottom w:val="none" w:sz="0" w:space="0" w:color="auto"/>
        <w:right w:val="none" w:sz="0" w:space="0" w:color="auto"/>
      </w:divBdr>
      <w:divsChild>
        <w:div w:id="241644279">
          <w:marLeft w:val="1080"/>
          <w:marRight w:val="0"/>
          <w:marTop w:val="0"/>
          <w:marBottom w:val="0"/>
          <w:divBdr>
            <w:top w:val="none" w:sz="0" w:space="0" w:color="auto"/>
            <w:left w:val="none" w:sz="0" w:space="0" w:color="auto"/>
            <w:bottom w:val="none" w:sz="0" w:space="0" w:color="auto"/>
            <w:right w:val="none" w:sz="0" w:space="0" w:color="auto"/>
          </w:divBdr>
        </w:div>
        <w:div w:id="426728998">
          <w:marLeft w:val="1080"/>
          <w:marRight w:val="0"/>
          <w:marTop w:val="0"/>
          <w:marBottom w:val="0"/>
          <w:divBdr>
            <w:top w:val="none" w:sz="0" w:space="0" w:color="auto"/>
            <w:left w:val="none" w:sz="0" w:space="0" w:color="auto"/>
            <w:bottom w:val="none" w:sz="0" w:space="0" w:color="auto"/>
            <w:right w:val="none" w:sz="0" w:space="0" w:color="auto"/>
          </w:divBdr>
        </w:div>
        <w:div w:id="359355076">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9bdae4-a5d2-4e1e-a9de-63e64ea8cc83" xsi:nil="true"/>
    <lcf76f155ced4ddcb4097134ff3c332f xmlns="70f04373-d92c-4168-8d0c-2896f86b1fb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99A7D045FDC041867DA3313F8ABAF1" ma:contentTypeVersion="15" ma:contentTypeDescription="Create a new document." ma:contentTypeScope="" ma:versionID="3b685b5928fda421d2117f3179a141ff">
  <xsd:schema xmlns:xsd="http://www.w3.org/2001/XMLSchema" xmlns:xs="http://www.w3.org/2001/XMLSchema" xmlns:p="http://schemas.microsoft.com/office/2006/metadata/properties" xmlns:ns2="70f04373-d92c-4168-8d0c-2896f86b1fb9" xmlns:ns3="519bdae4-a5d2-4e1e-a9de-63e64ea8cc83" targetNamespace="http://schemas.microsoft.com/office/2006/metadata/properties" ma:root="true" ma:fieldsID="e88c644c6b21949e07886eed77008838" ns2:_="" ns3:_="">
    <xsd:import namespace="70f04373-d92c-4168-8d0c-2896f86b1fb9"/>
    <xsd:import namespace="519bdae4-a5d2-4e1e-a9de-63e64ea8cc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04373-d92c-4168-8d0c-2896f86b1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244e2b-fda1-4434-ab26-7c3653f9b5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9bdae4-a5d2-4e1e-a9de-63e64ea8cc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f48dec-04d0-4673-82a4-8593e8e921d8}" ma:internalName="TaxCatchAll" ma:showField="CatchAllData" ma:web="519bdae4-a5d2-4e1e-a9de-63e64ea8c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A7971-D37D-4808-80A7-CC58617F3EC3}">
  <ds:schemaRefs>
    <ds:schemaRef ds:uri="http://schemas.microsoft.com/sharepoint/v3/contenttype/forms"/>
  </ds:schemaRefs>
</ds:datastoreItem>
</file>

<file path=customXml/itemProps2.xml><?xml version="1.0" encoding="utf-8"?>
<ds:datastoreItem xmlns:ds="http://schemas.openxmlformats.org/officeDocument/2006/customXml" ds:itemID="{9904E1CC-19C9-4E11-9D21-A6BEA9C6C35F}">
  <ds:schemaRefs>
    <ds:schemaRef ds:uri="http://schemas.microsoft.com/office/2006/metadata/properties"/>
    <ds:schemaRef ds:uri="http://schemas.microsoft.com/office/infopath/2007/PartnerControls"/>
    <ds:schemaRef ds:uri="519bdae4-a5d2-4e1e-a9de-63e64ea8cc83"/>
    <ds:schemaRef ds:uri="70f04373-d92c-4168-8d0c-2896f86b1fb9"/>
  </ds:schemaRefs>
</ds:datastoreItem>
</file>

<file path=customXml/itemProps3.xml><?xml version="1.0" encoding="utf-8"?>
<ds:datastoreItem xmlns:ds="http://schemas.openxmlformats.org/officeDocument/2006/customXml" ds:itemID="{173F25B1-8536-47AF-9142-87BBAE2E122B}">
  <ds:schemaRefs>
    <ds:schemaRef ds:uri="http://schemas.openxmlformats.org/officeDocument/2006/bibliography"/>
  </ds:schemaRefs>
</ds:datastoreItem>
</file>

<file path=customXml/itemProps4.xml><?xml version="1.0" encoding="utf-8"?>
<ds:datastoreItem xmlns:ds="http://schemas.openxmlformats.org/officeDocument/2006/customXml" ds:itemID="{023F5053-32DD-4682-8D72-7D1236D7F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04373-d92c-4168-8d0c-2896f86b1fb9"/>
    <ds:schemaRef ds:uri="519bdae4-a5d2-4e1e-a9de-63e64ea8c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1204</Words>
  <Characters>6628</Characters>
  <Application>Microsoft Office Word</Application>
  <DocSecurity>4</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2024-11-08T07:12:00Z</dcterms:created>
  <dcterms:modified xsi:type="dcterms:W3CDTF">2024-11-08T07:12:00Z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0x0101000599A7D045FDC041867DA3313F8ABAF1</vt:lpwstr>
  </property>
</Properties>
</file>