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27ADDE54" w:rsidR="00C12C93" w:rsidRPr="00816DAC" w:rsidRDefault="00A5332A"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382C4AC" w:rsidR="00EC22CC" w:rsidRDefault="002E5AA4" w:rsidP="00854EEA">
            <w:pPr>
              <w:jc w:val="center"/>
              <w:rPr>
                <w:rFonts w:ascii="Verdana" w:hAnsi="Verdana"/>
                <w:b/>
                <w:bCs/>
                <w:sz w:val="20"/>
                <w:szCs w:val="20"/>
              </w:rPr>
            </w:pPr>
            <w:r w:rsidRPr="00550C06">
              <w:rPr>
                <w:rFonts w:ascii="Verdana" w:eastAsia="Times New Roman" w:hAnsi="Verdana"/>
                <w:color w:val="000000" w:themeColor="text1"/>
                <w:sz w:val="20"/>
                <w:szCs w:val="20"/>
              </w:rPr>
              <w:t xml:space="preserve">Environnement et climat : </w:t>
            </w:r>
            <w:r w:rsidR="00AB42FB">
              <w:rPr>
                <w:rFonts w:ascii="Verdana" w:eastAsia="Times New Roman" w:hAnsi="Verdana"/>
                <w:color w:val="000000" w:themeColor="text1"/>
                <w:sz w:val="20"/>
                <w:szCs w:val="20"/>
              </w:rPr>
              <w:t>P</w:t>
            </w:r>
            <w:r w:rsidRPr="00550C06">
              <w:rPr>
                <w:rFonts w:ascii="Verdana" w:eastAsia="Times New Roman" w:hAnsi="Verdana"/>
                <w:color w:val="000000" w:themeColor="text1"/>
                <w:sz w:val="20"/>
                <w:szCs w:val="20"/>
              </w:rPr>
              <w:t xml:space="preserve">rojets en cours et collaborations (FICR – PNUD) </w:t>
            </w:r>
          </w:p>
        </w:tc>
      </w:tr>
      <w:tr w:rsidR="00EC22CC" w14:paraId="7F1B63D2" w14:textId="77777777" w:rsidTr="002A0933">
        <w:tc>
          <w:tcPr>
            <w:tcW w:w="7225" w:type="dxa"/>
          </w:tcPr>
          <w:p w14:paraId="056D9B10" w14:textId="49252078" w:rsidR="00EC22CC" w:rsidRPr="00BB0861" w:rsidRDefault="004607F7" w:rsidP="002A096E">
            <w:pPr>
              <w:rPr>
                <w:rFonts w:ascii="Verdana" w:hAnsi="Verdana"/>
                <w:sz w:val="20"/>
                <w:szCs w:val="20"/>
              </w:rPr>
            </w:pPr>
            <w:r w:rsidRPr="00BB0861">
              <w:rPr>
                <w:rFonts w:ascii="Verdana" w:hAnsi="Verdana"/>
                <w:sz w:val="20"/>
                <w:szCs w:val="20"/>
              </w:rPr>
              <w:t>[</w:t>
            </w:r>
            <w:r w:rsidR="002E5AA4" w:rsidRPr="00BB0861">
              <w:rPr>
                <w:rFonts w:ascii="Verdana" w:hAnsi="Verdana"/>
                <w:sz w:val="20"/>
                <w:szCs w:val="20"/>
              </w:rPr>
              <w:t>COPL2/24</w:t>
            </w:r>
            <w:r w:rsidR="00F877B2" w:rsidRPr="00BB0861">
              <w:rPr>
                <w:rFonts w:ascii="Verdana" w:hAnsi="Verdana"/>
                <w:sz w:val="20"/>
                <w:szCs w:val="20"/>
              </w:rPr>
              <w:t xml:space="preserve"> -</w:t>
            </w:r>
            <w:r w:rsidRPr="00BB0861">
              <w:rPr>
                <w:rFonts w:ascii="Verdana" w:hAnsi="Verdana"/>
                <w:sz w:val="20"/>
                <w:szCs w:val="20"/>
              </w:rPr>
              <w:t xml:space="preserve"> </w:t>
            </w:r>
            <w:proofErr w:type="spellStart"/>
            <w:r w:rsidR="002E5AA4" w:rsidRPr="00BB0861">
              <w:rPr>
                <w:rFonts w:ascii="Verdana" w:hAnsi="Verdana"/>
                <w:sz w:val="20"/>
                <w:szCs w:val="20"/>
              </w:rPr>
              <w:t>Ebene</w:t>
            </w:r>
            <w:proofErr w:type="spellEnd"/>
            <w:r w:rsidR="002E5AA4" w:rsidRPr="00BB0861">
              <w:rPr>
                <w:rFonts w:ascii="Verdana" w:hAnsi="Verdana"/>
                <w:sz w:val="20"/>
                <w:szCs w:val="20"/>
              </w:rPr>
              <w:t xml:space="preserve"> </w:t>
            </w:r>
            <w:r w:rsidR="005B3A54" w:rsidRPr="00BB0861">
              <w:rPr>
                <w:rFonts w:ascii="Verdana" w:hAnsi="Verdana"/>
                <w:sz w:val="20"/>
                <w:szCs w:val="20"/>
              </w:rPr>
              <w:t>Maurice,</w:t>
            </w:r>
            <w:r w:rsidRPr="00BB0861">
              <w:rPr>
                <w:rFonts w:ascii="Verdana" w:hAnsi="Verdana"/>
                <w:sz w:val="20"/>
                <w:szCs w:val="20"/>
              </w:rPr>
              <w:t xml:space="preserve"> </w:t>
            </w:r>
            <w:r w:rsidR="002E5AA4" w:rsidRPr="00BB0861">
              <w:rPr>
                <w:rFonts w:ascii="Verdana" w:hAnsi="Verdana"/>
                <w:sz w:val="20"/>
                <w:szCs w:val="20"/>
              </w:rPr>
              <w:t>2 et 3</w:t>
            </w:r>
            <w:r w:rsidR="00F877B2" w:rsidRPr="00BB0861">
              <w:rPr>
                <w:rFonts w:ascii="Verdana" w:hAnsi="Verdana"/>
                <w:sz w:val="20"/>
                <w:szCs w:val="20"/>
              </w:rPr>
              <w:t xml:space="preserve"> </w:t>
            </w:r>
            <w:r w:rsidR="002E5AA4" w:rsidRPr="00BB0861">
              <w:rPr>
                <w:rFonts w:ascii="Verdana" w:hAnsi="Verdana"/>
                <w:sz w:val="20"/>
                <w:szCs w:val="20"/>
              </w:rPr>
              <w:t>d</w:t>
            </w:r>
            <w:r w:rsidR="00F877B2" w:rsidRPr="00BB0861">
              <w:rPr>
                <w:rFonts w:ascii="Verdana" w:hAnsi="Verdana"/>
                <w:sz w:val="20"/>
                <w:szCs w:val="20"/>
              </w:rPr>
              <w:t>é</w:t>
            </w:r>
            <w:r w:rsidR="002E5AA4" w:rsidRPr="00BB0861">
              <w:rPr>
                <w:rFonts w:ascii="Verdana" w:hAnsi="Verdana"/>
                <w:sz w:val="20"/>
                <w:szCs w:val="20"/>
              </w:rPr>
              <w:t xml:space="preserve">cembre </w:t>
            </w:r>
          </w:p>
        </w:tc>
        <w:tc>
          <w:tcPr>
            <w:tcW w:w="1837" w:type="dxa"/>
          </w:tcPr>
          <w:p w14:paraId="58E25D1F" w14:textId="3F89D6F0" w:rsidR="00EC22CC" w:rsidRPr="00BB0861" w:rsidRDefault="002A096E" w:rsidP="00854EEA">
            <w:pPr>
              <w:jc w:val="center"/>
              <w:rPr>
                <w:rFonts w:ascii="Verdana" w:hAnsi="Verdana"/>
                <w:sz w:val="20"/>
                <w:szCs w:val="20"/>
              </w:rPr>
            </w:pPr>
            <w:r w:rsidRPr="00BB0861">
              <w:rPr>
                <w:rFonts w:ascii="Verdana" w:hAnsi="Verdana"/>
                <w:sz w:val="20"/>
                <w:szCs w:val="20"/>
              </w:rPr>
              <w:t xml:space="preserve">Point </w:t>
            </w:r>
            <w:r w:rsidR="005B3A54" w:rsidRPr="00BB0861">
              <w:rPr>
                <w:rFonts w:ascii="Verdana" w:hAnsi="Verdana"/>
                <w:sz w:val="20"/>
                <w:szCs w:val="20"/>
              </w:rPr>
              <w:t>2</w:t>
            </w:r>
            <w:r w:rsidR="0018252D" w:rsidRPr="00BB0861">
              <w:rPr>
                <w:rFonts w:ascii="Verdana" w:hAnsi="Verdana"/>
                <w:sz w:val="20"/>
                <w:szCs w:val="20"/>
              </w:rPr>
              <w:t>.</w:t>
            </w:r>
            <w:r w:rsidR="005B3A54" w:rsidRPr="00BB0861">
              <w:rPr>
                <w:rFonts w:ascii="Verdana" w:hAnsi="Verdana"/>
                <w:sz w:val="20"/>
                <w:szCs w:val="20"/>
              </w:rPr>
              <w:t>1</w:t>
            </w:r>
            <w:r w:rsidR="00F877B2" w:rsidRPr="00BB0861">
              <w:rPr>
                <w:rFonts w:ascii="Verdana" w:hAnsi="Verdana"/>
                <w:sz w:val="20"/>
                <w:szCs w:val="20"/>
              </w:rPr>
              <w:t>3</w:t>
            </w:r>
          </w:p>
        </w:tc>
      </w:tr>
      <w:tr w:rsidR="00EC22CC" w14:paraId="537D1DE5" w14:textId="77777777" w:rsidTr="002A0933">
        <w:tc>
          <w:tcPr>
            <w:tcW w:w="7225" w:type="dxa"/>
          </w:tcPr>
          <w:p w14:paraId="43DEF09E" w14:textId="21F8F754" w:rsidR="00EC22CC" w:rsidRPr="00BB0861" w:rsidRDefault="00A148A1" w:rsidP="002A096E">
            <w:pPr>
              <w:rPr>
                <w:rFonts w:ascii="Verdana" w:hAnsi="Verdana"/>
                <w:sz w:val="20"/>
                <w:szCs w:val="20"/>
              </w:rPr>
            </w:pPr>
            <w:r w:rsidRPr="00BB0861">
              <w:rPr>
                <w:rFonts w:ascii="Verdana" w:hAnsi="Verdana"/>
                <w:i/>
                <w:iCs/>
                <w:sz w:val="20"/>
                <w:szCs w:val="20"/>
              </w:rPr>
              <w:t>Dossier suivi par :</w:t>
            </w:r>
            <w:r w:rsidR="00EC22CC" w:rsidRPr="00BB0861">
              <w:rPr>
                <w:rFonts w:ascii="Verdana" w:hAnsi="Verdana"/>
                <w:sz w:val="20"/>
                <w:szCs w:val="20"/>
              </w:rPr>
              <w:t xml:space="preserve"> </w:t>
            </w:r>
            <w:r w:rsidR="002E5AA4" w:rsidRPr="00BB0861">
              <w:rPr>
                <w:rFonts w:ascii="Verdana" w:hAnsi="Verdana"/>
                <w:sz w:val="20"/>
                <w:szCs w:val="20"/>
              </w:rPr>
              <w:t xml:space="preserve">Gina </w:t>
            </w:r>
            <w:r w:rsidR="005B3A54" w:rsidRPr="00BB0861">
              <w:rPr>
                <w:rFonts w:ascii="Verdana" w:hAnsi="Verdana"/>
                <w:sz w:val="20"/>
                <w:szCs w:val="20"/>
              </w:rPr>
              <w:t>BONNE, Chargée de mission</w:t>
            </w:r>
          </w:p>
        </w:tc>
        <w:tc>
          <w:tcPr>
            <w:tcW w:w="1837" w:type="dxa"/>
          </w:tcPr>
          <w:p w14:paraId="5AC1AFAB" w14:textId="698BA371" w:rsidR="00EC22CC" w:rsidRPr="00BB0861" w:rsidRDefault="00BB0861" w:rsidP="00854EEA">
            <w:pPr>
              <w:jc w:val="center"/>
              <w:rPr>
                <w:rFonts w:ascii="Verdana" w:hAnsi="Verdana"/>
                <w:sz w:val="20"/>
                <w:szCs w:val="20"/>
              </w:rPr>
            </w:pPr>
            <w:r>
              <w:rPr>
                <w:rFonts w:ascii="Verdana" w:hAnsi="Verdana"/>
                <w:sz w:val="20"/>
                <w:szCs w:val="20"/>
              </w:rPr>
              <w:t>D</w:t>
            </w:r>
            <w:r w:rsidR="004607F7" w:rsidRPr="00BB0861">
              <w:rPr>
                <w:rFonts w:ascii="Verdana" w:hAnsi="Verdana"/>
                <w:sz w:val="20"/>
                <w:szCs w:val="20"/>
              </w:rPr>
              <w:t xml:space="preserve">écision </w:t>
            </w:r>
          </w:p>
        </w:tc>
      </w:tr>
      <w:tr w:rsidR="00A90305" w14:paraId="6896DB30" w14:textId="77777777" w:rsidTr="009F5233">
        <w:tc>
          <w:tcPr>
            <w:tcW w:w="9062" w:type="dxa"/>
            <w:gridSpan w:val="2"/>
          </w:tcPr>
          <w:p w14:paraId="0495241B" w14:textId="7B0153EE" w:rsidR="00A90305" w:rsidRPr="00BB0861" w:rsidRDefault="00A90305" w:rsidP="00A90305">
            <w:pPr>
              <w:rPr>
                <w:rFonts w:ascii="Verdana" w:hAnsi="Verdana"/>
                <w:sz w:val="20"/>
                <w:szCs w:val="20"/>
              </w:rPr>
            </w:pPr>
            <w:r w:rsidRPr="00BB0861">
              <w:rPr>
                <w:rFonts w:ascii="Verdana" w:hAnsi="Verdana"/>
                <w:i/>
                <w:iCs/>
                <w:sz w:val="20"/>
                <w:szCs w:val="20"/>
              </w:rPr>
              <w:t xml:space="preserve">Version du </w:t>
            </w:r>
            <w:r w:rsidR="005B3A54" w:rsidRPr="00BB0861">
              <w:rPr>
                <w:rFonts w:ascii="Verdana" w:hAnsi="Verdana"/>
                <w:i/>
                <w:iCs/>
                <w:sz w:val="20"/>
                <w:szCs w:val="20"/>
              </w:rPr>
              <w:t>12novembre 2024</w:t>
            </w:r>
            <w:r w:rsidRPr="00BB0861">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9AD1400" w14:textId="35671A59" w:rsidR="0041278C" w:rsidRDefault="006B188E" w:rsidP="00CE2386">
      <w:pPr>
        <w:pStyle w:val="Paragraphe"/>
      </w:pPr>
      <w:r>
        <w:t>Cette fiche donne un aperçu global sur les projets et collaboration</w:t>
      </w:r>
      <w:r w:rsidR="005B0E6B">
        <w:t>s</w:t>
      </w:r>
      <w:r>
        <w:t xml:space="preserve"> avec les organisations régiona</w:t>
      </w:r>
      <w:r w:rsidR="005B0E6B">
        <w:t>les</w:t>
      </w:r>
      <w:r>
        <w:t xml:space="preserve"> et internationa</w:t>
      </w:r>
      <w:r w:rsidR="005B0E6B">
        <w:t>les</w:t>
      </w:r>
      <w:r>
        <w:t xml:space="preserve"> sur la thématique de l’environnement et </w:t>
      </w:r>
      <w:r w:rsidR="00BB0861">
        <w:t xml:space="preserve">du </w:t>
      </w:r>
      <w:r>
        <w:t xml:space="preserve">climat. </w:t>
      </w:r>
      <w:r w:rsidR="000B1B75">
        <w:t>Un état de</w:t>
      </w:r>
      <w:r w:rsidR="00BB0861">
        <w:t>s</w:t>
      </w:r>
      <w:r w:rsidR="000B1B75">
        <w:t xml:space="preserve"> lieu</w:t>
      </w:r>
      <w:r w:rsidR="00BB0861">
        <w:t xml:space="preserve">x est également présenté </w:t>
      </w:r>
      <w:r w:rsidR="000B1B75">
        <w:t>sur la collaboration avec les agences d</w:t>
      </w:r>
      <w:r w:rsidR="005B0E6B">
        <w:t>u</w:t>
      </w:r>
      <w:r w:rsidR="000B1B75">
        <w:t xml:space="preserve"> système de</w:t>
      </w:r>
      <w:r w:rsidR="005B0E6B">
        <w:t>s</w:t>
      </w:r>
      <w:r w:rsidR="000B1B75">
        <w:t xml:space="preserve"> </w:t>
      </w:r>
      <w:r w:rsidR="005B0E6B">
        <w:t>N</w:t>
      </w:r>
      <w:r w:rsidR="000B1B75">
        <w:t xml:space="preserve">ations </w:t>
      </w:r>
      <w:r w:rsidR="00BB0861">
        <w:t>u</w:t>
      </w:r>
      <w:r w:rsidR="000B1B75">
        <w:t>nie</w:t>
      </w:r>
      <w:r w:rsidR="005B0E6B">
        <w:t>s</w:t>
      </w:r>
      <w:r w:rsidR="00BB0861">
        <w:t xml:space="preserve">, </w:t>
      </w:r>
      <w:r w:rsidR="000B1B75">
        <w:t>notamment</w:t>
      </w:r>
      <w:r w:rsidR="00BB0861">
        <w:t xml:space="preserve"> avec</w:t>
      </w:r>
      <w:r w:rsidR="000B1B75">
        <w:t xml:space="preserve"> le PNUD sur le projet GEF-ISLANDS portant sur le</w:t>
      </w:r>
      <w:r w:rsidR="005B0E6B">
        <w:t>s</w:t>
      </w:r>
      <w:r w:rsidR="000B1B75">
        <w:t xml:space="preserve"> déchets chimique</w:t>
      </w:r>
      <w:r w:rsidR="005B0E6B">
        <w:t>s</w:t>
      </w:r>
      <w:r w:rsidR="000B1B75">
        <w:t xml:space="preserve"> et le GEF8</w:t>
      </w:r>
      <w:r w:rsidR="00221DB9">
        <w:t>-BGI- IP</w:t>
      </w:r>
      <w:r w:rsidR="000B1B75">
        <w:t xml:space="preserve"> </w:t>
      </w:r>
      <w:r w:rsidR="00BB0861">
        <w:t>promouvant</w:t>
      </w:r>
      <w:r w:rsidR="00A605E9">
        <w:t xml:space="preserve"> les</w:t>
      </w:r>
      <w:r w:rsidR="000B1B75">
        <w:t xml:space="preserve"> solutions fondé</w:t>
      </w:r>
      <w:r w:rsidR="005B0E6B">
        <w:t>es</w:t>
      </w:r>
      <w:r w:rsidR="000B1B75">
        <w:t xml:space="preserve"> sur la nature </w:t>
      </w:r>
      <w:r w:rsidR="00221DB9">
        <w:t xml:space="preserve">dans les Etats insulaires de l’atlantique et </w:t>
      </w:r>
      <w:r w:rsidR="00B61AA6">
        <w:t>l’océan</w:t>
      </w:r>
      <w:r w:rsidR="00221DB9">
        <w:t xml:space="preserve"> Indien ; </w:t>
      </w:r>
      <w:r w:rsidR="00BB0861">
        <w:t>l</w:t>
      </w:r>
      <w:r w:rsidR="00221DB9">
        <w:t xml:space="preserve">e PNUE </w:t>
      </w:r>
      <w:r w:rsidR="00BB0861">
        <w:t>sous</w:t>
      </w:r>
      <w:r w:rsidR="00221DB9">
        <w:t xml:space="preserve"> la Convention de Nairobi ainsi que l’UNESCO sur le projet </w:t>
      </w:r>
      <w:proofErr w:type="spellStart"/>
      <w:r w:rsidR="00221DB9">
        <w:t>ISLANDWatch</w:t>
      </w:r>
      <w:proofErr w:type="spellEnd"/>
      <w:r w:rsidR="00221DB9">
        <w:t xml:space="preserve">, volet éducation à l’environnement. </w:t>
      </w:r>
    </w:p>
    <w:p w14:paraId="7F2AB683" w14:textId="77777777" w:rsidR="005B0E6B" w:rsidRPr="0041278C" w:rsidRDefault="005B0E6B" w:rsidP="00CE2386">
      <w:pPr>
        <w:pStyle w:val="Paragraphe"/>
      </w:pPr>
    </w:p>
    <w:p w14:paraId="68009DDB" w14:textId="06AAE9C2" w:rsidR="0008468B" w:rsidRPr="0008468B" w:rsidRDefault="00955BB3" w:rsidP="00A70123">
      <w:pPr>
        <w:pStyle w:val="Titrepartie"/>
      </w:pPr>
      <w:r w:rsidRPr="0008468B">
        <w:t>Etat d’avancement</w:t>
      </w:r>
    </w:p>
    <w:p w14:paraId="6DA6334F" w14:textId="77777777" w:rsidR="005B3A54" w:rsidRDefault="005B3A54" w:rsidP="005B3A54">
      <w:pPr>
        <w:pStyle w:val="Sous-partie2"/>
      </w:pPr>
      <w:bookmarkStart w:id="1" w:name="_heading=h.30j0zll" w:colFirst="0" w:colLast="0"/>
      <w:bookmarkEnd w:id="1"/>
      <w:r>
        <w:t>Alliance mondiale pour le changement climatique (AMCC +)</w:t>
      </w:r>
    </w:p>
    <w:p w14:paraId="1C0B410F" w14:textId="025E947B" w:rsidR="005B3A54" w:rsidRPr="00A605E9" w:rsidRDefault="005B3A54" w:rsidP="00BB0861">
      <w:pPr>
        <w:jc w:val="both"/>
        <w:rPr>
          <w:rFonts w:ascii="Verdana" w:hAnsi="Verdana"/>
          <w:sz w:val="20"/>
          <w:szCs w:val="20"/>
        </w:rPr>
      </w:pPr>
      <w:r w:rsidRPr="00A605E9">
        <w:rPr>
          <w:rFonts w:ascii="Verdana" w:hAnsi="Verdana"/>
          <w:sz w:val="20"/>
          <w:szCs w:val="20"/>
        </w:rPr>
        <w:t>Ce projet</w:t>
      </w:r>
      <w:r w:rsidR="00F5604D" w:rsidRPr="00A605E9">
        <w:rPr>
          <w:rFonts w:ascii="Verdana" w:hAnsi="Verdana"/>
          <w:sz w:val="20"/>
          <w:szCs w:val="20"/>
        </w:rPr>
        <w:t xml:space="preserve"> financ</w:t>
      </w:r>
      <w:r w:rsidR="005B0E6B">
        <w:rPr>
          <w:rFonts w:ascii="Verdana" w:hAnsi="Verdana"/>
          <w:sz w:val="20"/>
          <w:szCs w:val="20"/>
        </w:rPr>
        <w:t>é</w:t>
      </w:r>
      <w:r w:rsidR="00F5604D" w:rsidRPr="00A605E9">
        <w:rPr>
          <w:rFonts w:ascii="Verdana" w:hAnsi="Verdana"/>
          <w:sz w:val="20"/>
          <w:szCs w:val="20"/>
        </w:rPr>
        <w:t xml:space="preserve"> par l’</w:t>
      </w:r>
      <w:r w:rsidR="00BB0861">
        <w:rPr>
          <w:rFonts w:ascii="Verdana" w:hAnsi="Verdana"/>
          <w:sz w:val="20"/>
          <w:szCs w:val="20"/>
        </w:rPr>
        <w:t>U</w:t>
      </w:r>
      <w:r w:rsidR="00F5604D" w:rsidRPr="00A605E9">
        <w:rPr>
          <w:rFonts w:ascii="Verdana" w:hAnsi="Verdana"/>
          <w:sz w:val="20"/>
          <w:szCs w:val="20"/>
        </w:rPr>
        <w:t xml:space="preserve">nion </w:t>
      </w:r>
      <w:r w:rsidR="00BB0861">
        <w:rPr>
          <w:rFonts w:ascii="Verdana" w:hAnsi="Verdana"/>
          <w:sz w:val="20"/>
          <w:szCs w:val="20"/>
        </w:rPr>
        <w:t>e</w:t>
      </w:r>
      <w:r w:rsidR="00F5604D" w:rsidRPr="00A605E9">
        <w:rPr>
          <w:rFonts w:ascii="Verdana" w:hAnsi="Verdana"/>
          <w:sz w:val="20"/>
          <w:szCs w:val="20"/>
        </w:rPr>
        <w:t>uropéenne à travers l’organisation des Etats Afrique</w:t>
      </w:r>
      <w:r w:rsidR="005B0E6B">
        <w:rPr>
          <w:rFonts w:ascii="Verdana" w:hAnsi="Verdana"/>
          <w:sz w:val="20"/>
          <w:szCs w:val="20"/>
        </w:rPr>
        <w:t>s</w:t>
      </w:r>
      <w:r w:rsidR="00F5604D" w:rsidRPr="00A605E9">
        <w:rPr>
          <w:rFonts w:ascii="Verdana" w:hAnsi="Verdana"/>
          <w:sz w:val="20"/>
          <w:szCs w:val="20"/>
        </w:rPr>
        <w:t>, Caraïbe</w:t>
      </w:r>
      <w:r w:rsidR="005B0E6B">
        <w:rPr>
          <w:rFonts w:ascii="Verdana" w:hAnsi="Verdana"/>
          <w:sz w:val="20"/>
          <w:szCs w:val="20"/>
        </w:rPr>
        <w:t>s</w:t>
      </w:r>
      <w:r w:rsidR="00F5604D" w:rsidRPr="00A605E9">
        <w:rPr>
          <w:rFonts w:ascii="Verdana" w:hAnsi="Verdana"/>
          <w:sz w:val="20"/>
          <w:szCs w:val="20"/>
        </w:rPr>
        <w:t xml:space="preserve"> et le Pacifique (OACPS)</w:t>
      </w:r>
      <w:r w:rsidRPr="00A605E9">
        <w:rPr>
          <w:rFonts w:ascii="Verdana" w:hAnsi="Verdana"/>
          <w:sz w:val="20"/>
          <w:szCs w:val="20"/>
        </w:rPr>
        <w:t xml:space="preserve"> est en cours de clôture et l’exercice d’audit </w:t>
      </w:r>
      <w:r w:rsidR="00433B9B" w:rsidRPr="00A605E9">
        <w:rPr>
          <w:rFonts w:ascii="Verdana" w:hAnsi="Verdana"/>
          <w:sz w:val="20"/>
          <w:szCs w:val="20"/>
        </w:rPr>
        <w:t xml:space="preserve">est </w:t>
      </w:r>
      <w:r w:rsidR="0018467B" w:rsidRPr="00A605E9">
        <w:rPr>
          <w:rFonts w:ascii="Verdana" w:hAnsi="Verdana"/>
          <w:sz w:val="20"/>
          <w:szCs w:val="20"/>
        </w:rPr>
        <w:t>prévu</w:t>
      </w:r>
      <w:r w:rsidR="006B188E" w:rsidRPr="00A605E9">
        <w:rPr>
          <w:rFonts w:ascii="Verdana" w:hAnsi="Verdana"/>
          <w:sz w:val="20"/>
          <w:szCs w:val="20"/>
        </w:rPr>
        <w:t xml:space="preserve">. </w:t>
      </w:r>
      <w:r w:rsidR="00433B9B" w:rsidRPr="00A605E9">
        <w:rPr>
          <w:rFonts w:ascii="Verdana" w:hAnsi="Verdana"/>
          <w:sz w:val="20"/>
          <w:szCs w:val="20"/>
        </w:rPr>
        <w:t xml:space="preserve"> </w:t>
      </w:r>
      <w:r w:rsidR="00F5604D" w:rsidRPr="00A605E9">
        <w:rPr>
          <w:rFonts w:ascii="Verdana" w:hAnsi="Verdana"/>
          <w:sz w:val="20"/>
          <w:szCs w:val="20"/>
        </w:rPr>
        <w:t xml:space="preserve">Le projet a permis </w:t>
      </w:r>
      <w:r w:rsidR="00BB0861">
        <w:rPr>
          <w:rFonts w:ascii="Verdana" w:hAnsi="Verdana"/>
          <w:sz w:val="20"/>
          <w:szCs w:val="20"/>
        </w:rPr>
        <w:t xml:space="preserve">de former </w:t>
      </w:r>
      <w:r w:rsidR="005B0E6B">
        <w:rPr>
          <w:rFonts w:ascii="Verdana" w:hAnsi="Verdana"/>
          <w:sz w:val="20"/>
          <w:szCs w:val="20"/>
        </w:rPr>
        <w:t>d</w:t>
      </w:r>
      <w:r w:rsidR="00F5604D" w:rsidRPr="00A605E9">
        <w:rPr>
          <w:rFonts w:ascii="Verdana" w:hAnsi="Verdana"/>
          <w:sz w:val="20"/>
          <w:szCs w:val="20"/>
        </w:rPr>
        <w:t xml:space="preserve">es jeunes négociateurs en collaboration avec le </w:t>
      </w:r>
      <w:r w:rsidR="005B0E6B" w:rsidRPr="00A605E9">
        <w:rPr>
          <w:rFonts w:ascii="Verdana" w:hAnsi="Verdana"/>
          <w:sz w:val="20"/>
          <w:szCs w:val="20"/>
        </w:rPr>
        <w:t>Commonwealth</w:t>
      </w:r>
      <w:r w:rsidR="00BB0861">
        <w:rPr>
          <w:rFonts w:ascii="Verdana" w:hAnsi="Verdana"/>
          <w:sz w:val="20"/>
          <w:szCs w:val="20"/>
        </w:rPr>
        <w:t xml:space="preserve">, d’appuyer </w:t>
      </w:r>
      <w:r w:rsidR="00F5604D" w:rsidRPr="00A605E9">
        <w:rPr>
          <w:rFonts w:ascii="Verdana" w:hAnsi="Verdana"/>
          <w:sz w:val="20"/>
          <w:szCs w:val="20"/>
        </w:rPr>
        <w:t xml:space="preserve">la coordination de la Commission des Etats </w:t>
      </w:r>
      <w:r w:rsidR="00A605E9" w:rsidRPr="00A605E9">
        <w:rPr>
          <w:rFonts w:ascii="Verdana" w:hAnsi="Verdana"/>
          <w:sz w:val="20"/>
          <w:szCs w:val="20"/>
        </w:rPr>
        <w:t xml:space="preserve">insulaires </w:t>
      </w:r>
      <w:r w:rsidR="00BB0861">
        <w:rPr>
          <w:rFonts w:ascii="Verdana" w:hAnsi="Verdana"/>
          <w:sz w:val="20"/>
          <w:szCs w:val="20"/>
        </w:rPr>
        <w:t>d’</w:t>
      </w:r>
      <w:r w:rsidR="00F5604D" w:rsidRPr="00A605E9">
        <w:rPr>
          <w:rFonts w:ascii="Verdana" w:hAnsi="Verdana"/>
          <w:sz w:val="20"/>
          <w:szCs w:val="20"/>
        </w:rPr>
        <w:t>Afrique</w:t>
      </w:r>
      <w:r w:rsidR="00BB0861">
        <w:rPr>
          <w:rFonts w:ascii="Verdana" w:hAnsi="Verdana"/>
          <w:sz w:val="20"/>
          <w:szCs w:val="20"/>
        </w:rPr>
        <w:t xml:space="preserve"> sur le climat, ou encore de permettre </w:t>
      </w:r>
      <w:r w:rsidR="00A605E9" w:rsidRPr="00A605E9">
        <w:rPr>
          <w:rFonts w:ascii="Verdana" w:hAnsi="Verdana"/>
          <w:sz w:val="20"/>
          <w:szCs w:val="20"/>
        </w:rPr>
        <w:t>la participation</w:t>
      </w:r>
      <w:r w:rsidR="00F5604D" w:rsidRPr="00A605E9">
        <w:rPr>
          <w:rFonts w:ascii="Verdana" w:hAnsi="Verdana"/>
          <w:sz w:val="20"/>
          <w:szCs w:val="20"/>
        </w:rPr>
        <w:t xml:space="preserve"> des représentants des </w:t>
      </w:r>
      <w:r w:rsidR="005B0E6B">
        <w:rPr>
          <w:rFonts w:ascii="Verdana" w:hAnsi="Verdana"/>
          <w:sz w:val="20"/>
          <w:szCs w:val="20"/>
        </w:rPr>
        <w:t>E</w:t>
      </w:r>
      <w:r w:rsidR="00F5604D" w:rsidRPr="00A605E9">
        <w:rPr>
          <w:rFonts w:ascii="Verdana" w:hAnsi="Verdana"/>
          <w:sz w:val="20"/>
          <w:szCs w:val="20"/>
        </w:rPr>
        <w:t>tats membre</w:t>
      </w:r>
      <w:r w:rsidR="005B0E6B">
        <w:rPr>
          <w:rFonts w:ascii="Verdana" w:hAnsi="Verdana"/>
          <w:sz w:val="20"/>
          <w:szCs w:val="20"/>
        </w:rPr>
        <w:t>s</w:t>
      </w:r>
      <w:r w:rsidR="00F5604D" w:rsidRPr="00A605E9">
        <w:rPr>
          <w:rFonts w:ascii="Verdana" w:hAnsi="Verdana"/>
          <w:sz w:val="20"/>
          <w:szCs w:val="20"/>
        </w:rPr>
        <w:t xml:space="preserve"> de la </w:t>
      </w:r>
      <w:r w:rsidR="00A605E9" w:rsidRPr="00A605E9">
        <w:rPr>
          <w:rFonts w:ascii="Verdana" w:hAnsi="Verdana"/>
          <w:sz w:val="20"/>
          <w:szCs w:val="20"/>
        </w:rPr>
        <w:t>COI à</w:t>
      </w:r>
      <w:r w:rsidR="00F5604D" w:rsidRPr="00A605E9">
        <w:rPr>
          <w:rFonts w:ascii="Verdana" w:hAnsi="Verdana"/>
          <w:sz w:val="20"/>
          <w:szCs w:val="20"/>
        </w:rPr>
        <w:t xml:space="preserve"> la COP sur le climat.  </w:t>
      </w:r>
      <w:r w:rsidR="00A605E9" w:rsidRPr="00A605E9">
        <w:rPr>
          <w:rFonts w:ascii="Verdana" w:hAnsi="Verdana"/>
          <w:sz w:val="20"/>
          <w:szCs w:val="20"/>
        </w:rPr>
        <w:t xml:space="preserve">Le projet a connu une très courte période de mise en œuvre, heurté par la crise de </w:t>
      </w:r>
      <w:r w:rsidR="005B0E6B">
        <w:rPr>
          <w:rFonts w:ascii="Verdana" w:hAnsi="Verdana"/>
          <w:sz w:val="20"/>
          <w:szCs w:val="20"/>
        </w:rPr>
        <w:t>C</w:t>
      </w:r>
      <w:r w:rsidR="00A605E9" w:rsidRPr="00A605E9">
        <w:rPr>
          <w:rFonts w:ascii="Verdana" w:hAnsi="Verdana"/>
          <w:sz w:val="20"/>
          <w:szCs w:val="20"/>
        </w:rPr>
        <w:t>ovid 19 au démarrage en 2020 et achevé en décembre 2023. Le projet est en cours de clôture et l’audit financ</w:t>
      </w:r>
      <w:r w:rsidR="00BB0861">
        <w:rPr>
          <w:rFonts w:ascii="Verdana" w:hAnsi="Verdana"/>
          <w:sz w:val="20"/>
          <w:szCs w:val="20"/>
        </w:rPr>
        <w:t>ier</w:t>
      </w:r>
      <w:r w:rsidR="00A605E9" w:rsidRPr="00A605E9">
        <w:rPr>
          <w:rFonts w:ascii="Verdana" w:hAnsi="Verdana"/>
          <w:sz w:val="20"/>
          <w:szCs w:val="20"/>
        </w:rPr>
        <w:t xml:space="preserve"> est prévu </w:t>
      </w:r>
      <w:r w:rsidR="00BB0861">
        <w:rPr>
          <w:rFonts w:ascii="Verdana" w:hAnsi="Verdana"/>
          <w:sz w:val="20"/>
          <w:szCs w:val="20"/>
        </w:rPr>
        <w:t>pour procéder à la clôture du</w:t>
      </w:r>
      <w:r w:rsidR="00A605E9" w:rsidRPr="00A605E9">
        <w:rPr>
          <w:rFonts w:ascii="Verdana" w:hAnsi="Verdana"/>
          <w:sz w:val="20"/>
          <w:szCs w:val="20"/>
        </w:rPr>
        <w:t xml:space="preserve"> contrat de subvention.</w:t>
      </w:r>
    </w:p>
    <w:p w14:paraId="76CB8A87" w14:textId="77777777" w:rsidR="005B3A54" w:rsidRDefault="005B3A54" w:rsidP="005B3A54">
      <w:pPr>
        <w:pStyle w:val="Sous-partie2"/>
      </w:pPr>
      <w:r>
        <w:t>HYDROMET</w:t>
      </w:r>
    </w:p>
    <w:p w14:paraId="0B9C3D2D" w14:textId="77777777" w:rsidR="00BB0861" w:rsidRDefault="005439C0" w:rsidP="0008409C">
      <w:pPr>
        <w:jc w:val="both"/>
        <w:rPr>
          <w:rFonts w:ascii="Verdana" w:hAnsi="Verdana"/>
          <w:sz w:val="20"/>
          <w:szCs w:val="20"/>
        </w:rPr>
      </w:pPr>
      <w:r w:rsidRPr="00A605E9">
        <w:rPr>
          <w:rFonts w:ascii="Verdana" w:hAnsi="Verdana"/>
          <w:sz w:val="20"/>
          <w:szCs w:val="20"/>
        </w:rPr>
        <w:t>Les activités du projet ont effectivement démarré en octobre 2022 à la suite de la levée des clauses suspensives. Le contrat d'assistance technique a été signé en décembre 2023. La mobilisation des experts a commencé en janvier 2024 et depuis le mois de juillet l’équipe est au compl</w:t>
      </w:r>
      <w:r w:rsidR="005B0E6B">
        <w:rPr>
          <w:rFonts w:ascii="Verdana" w:hAnsi="Verdana"/>
          <w:sz w:val="20"/>
          <w:szCs w:val="20"/>
        </w:rPr>
        <w:t>et</w:t>
      </w:r>
      <w:r w:rsidRPr="00A605E9">
        <w:rPr>
          <w:rFonts w:ascii="Verdana" w:hAnsi="Verdana"/>
          <w:sz w:val="20"/>
          <w:szCs w:val="20"/>
        </w:rPr>
        <w:t xml:space="preserve">.  </w:t>
      </w:r>
    </w:p>
    <w:p w14:paraId="5BFE0547" w14:textId="77777777" w:rsidR="00BB0861" w:rsidRDefault="005439C0" w:rsidP="0008409C">
      <w:pPr>
        <w:jc w:val="both"/>
        <w:rPr>
          <w:rFonts w:ascii="Verdana" w:hAnsi="Verdana"/>
          <w:sz w:val="20"/>
          <w:szCs w:val="20"/>
        </w:rPr>
      </w:pPr>
      <w:r w:rsidRPr="00A605E9">
        <w:rPr>
          <w:rFonts w:ascii="Verdana" w:hAnsi="Verdana"/>
          <w:sz w:val="20"/>
          <w:szCs w:val="20"/>
        </w:rPr>
        <w:t xml:space="preserve">Les activités </w:t>
      </w:r>
      <w:r w:rsidR="0008409C" w:rsidRPr="00A605E9">
        <w:rPr>
          <w:rFonts w:ascii="Verdana" w:hAnsi="Verdana"/>
          <w:sz w:val="20"/>
          <w:szCs w:val="20"/>
        </w:rPr>
        <w:t xml:space="preserve">ont </w:t>
      </w:r>
      <w:r w:rsidR="00B52ED9" w:rsidRPr="00A605E9">
        <w:rPr>
          <w:rFonts w:ascii="Verdana" w:hAnsi="Verdana"/>
          <w:sz w:val="20"/>
          <w:szCs w:val="20"/>
        </w:rPr>
        <w:t>accéléré</w:t>
      </w:r>
      <w:r w:rsidRPr="00A605E9">
        <w:rPr>
          <w:rFonts w:ascii="Verdana" w:hAnsi="Verdana"/>
          <w:sz w:val="20"/>
          <w:szCs w:val="20"/>
        </w:rPr>
        <w:t xml:space="preserve"> et le deuxième comité de pilotage régional s'est tenu en octobre 2024</w:t>
      </w:r>
      <w:r w:rsidR="005B0E6B">
        <w:rPr>
          <w:rFonts w:ascii="Verdana" w:hAnsi="Verdana"/>
          <w:sz w:val="20"/>
          <w:szCs w:val="20"/>
        </w:rPr>
        <w:t>,</w:t>
      </w:r>
      <w:r w:rsidRPr="00A605E9">
        <w:rPr>
          <w:rFonts w:ascii="Verdana" w:hAnsi="Verdana"/>
          <w:sz w:val="20"/>
          <w:szCs w:val="20"/>
        </w:rPr>
        <w:t xml:space="preserve"> à Madagascar. </w:t>
      </w:r>
      <w:r w:rsidR="0008409C" w:rsidRPr="00A605E9">
        <w:rPr>
          <w:rFonts w:ascii="Verdana" w:hAnsi="Verdana"/>
          <w:sz w:val="20"/>
          <w:szCs w:val="20"/>
        </w:rPr>
        <w:t xml:space="preserve">Ce deuxième comité de pilotage a été crucial pour la programmation des activités et pour clarifier plusieurs points avec les pays et les partenaires techniques et financiers. Le Comité de pilotage et la mission de supervision de l'AFD ont permis </w:t>
      </w:r>
      <w:r w:rsidR="00D41D82" w:rsidRPr="00A605E9">
        <w:rPr>
          <w:rFonts w:ascii="Verdana" w:hAnsi="Verdana"/>
          <w:sz w:val="20"/>
          <w:szCs w:val="20"/>
        </w:rPr>
        <w:t>d’apporter</w:t>
      </w:r>
      <w:r w:rsidR="0008409C" w:rsidRPr="00A605E9">
        <w:rPr>
          <w:rFonts w:ascii="Verdana" w:hAnsi="Verdana"/>
          <w:sz w:val="20"/>
          <w:szCs w:val="20"/>
        </w:rPr>
        <w:t xml:space="preserve"> des mesures correctives pour répondre à certains défis rencontrés au démarrage du projet. Le plan de passation des marchés et le plan de travail pour 2025 ont été approuvés. Le recrutement des coordinateurs nationaux </w:t>
      </w:r>
      <w:r w:rsidR="00D41D82">
        <w:rPr>
          <w:rFonts w:ascii="Verdana" w:hAnsi="Verdana"/>
          <w:sz w:val="20"/>
          <w:szCs w:val="20"/>
        </w:rPr>
        <w:t>du</w:t>
      </w:r>
      <w:r w:rsidR="0008409C" w:rsidRPr="00A605E9">
        <w:rPr>
          <w:rFonts w:ascii="Verdana" w:hAnsi="Verdana"/>
          <w:sz w:val="20"/>
          <w:szCs w:val="20"/>
        </w:rPr>
        <w:t xml:space="preserve"> projet est en cours et il est prévu qu'ils prennent leurs fonctions au cours du premier trimestre 2025.</w:t>
      </w:r>
    </w:p>
    <w:p w14:paraId="318132B9" w14:textId="4E277D48" w:rsidR="00BB0861" w:rsidRDefault="0008409C" w:rsidP="0008409C">
      <w:pPr>
        <w:jc w:val="both"/>
        <w:rPr>
          <w:rFonts w:ascii="Verdana" w:hAnsi="Verdana"/>
          <w:sz w:val="20"/>
          <w:szCs w:val="20"/>
        </w:rPr>
      </w:pPr>
      <w:r w:rsidRPr="00A605E9">
        <w:rPr>
          <w:rFonts w:ascii="Verdana" w:hAnsi="Verdana"/>
          <w:sz w:val="20"/>
          <w:szCs w:val="20"/>
        </w:rPr>
        <w:t xml:space="preserve">Les comités de pilotage nationaux devraient avoir lieu de décembre 2024 à avril 2024 dans les 4 pays bénéficiaires. Sous la direction des services météorologiques, ils </w:t>
      </w:r>
      <w:r w:rsidR="005A5F32" w:rsidRPr="00A605E9">
        <w:rPr>
          <w:rFonts w:ascii="Verdana" w:hAnsi="Verdana"/>
          <w:sz w:val="20"/>
          <w:szCs w:val="20"/>
        </w:rPr>
        <w:t>réuniront les</w:t>
      </w:r>
      <w:r w:rsidRPr="00A605E9">
        <w:rPr>
          <w:rFonts w:ascii="Verdana" w:hAnsi="Verdana"/>
          <w:sz w:val="20"/>
          <w:szCs w:val="20"/>
        </w:rPr>
        <w:t xml:space="preserve"> principales parties prenantes nationales, c'est-à-dire les utilisateurs des services climatiques</w:t>
      </w:r>
      <w:r w:rsidR="005A5F32" w:rsidRPr="00A605E9">
        <w:rPr>
          <w:rFonts w:ascii="Verdana" w:hAnsi="Verdana"/>
          <w:sz w:val="20"/>
          <w:szCs w:val="20"/>
        </w:rPr>
        <w:t xml:space="preserve"> tel que les institutions responsables de la gestion des catastrophes, l’agriculture, la santé, la pêche, le tourisme, l’eau entre autres.</w:t>
      </w:r>
      <w:r w:rsidRPr="00A605E9">
        <w:rPr>
          <w:rFonts w:ascii="Verdana" w:hAnsi="Verdana"/>
          <w:sz w:val="20"/>
          <w:szCs w:val="20"/>
        </w:rPr>
        <w:t xml:space="preserve"> </w:t>
      </w:r>
    </w:p>
    <w:p w14:paraId="7F735930" w14:textId="77777777" w:rsidR="00BB0861" w:rsidRDefault="00B52ED9" w:rsidP="0008409C">
      <w:pPr>
        <w:jc w:val="both"/>
        <w:rPr>
          <w:rFonts w:ascii="Verdana" w:hAnsi="Verdana"/>
          <w:sz w:val="20"/>
          <w:szCs w:val="20"/>
        </w:rPr>
      </w:pPr>
      <w:r w:rsidRPr="00A605E9">
        <w:rPr>
          <w:rFonts w:ascii="Verdana" w:hAnsi="Verdana"/>
          <w:sz w:val="20"/>
          <w:szCs w:val="20"/>
        </w:rPr>
        <w:t xml:space="preserve">L'installation des équipements devrait commencer fin 2025 et se poursuivre jusqu'à la fin de 2026. Entre-temps, avec le soutien de l'OMM, la mise en place du centre climatique régional en réseau suit son cours et le début de la phase de démonstration est prévu pour </w:t>
      </w:r>
      <w:r w:rsidRPr="00A605E9">
        <w:rPr>
          <w:rFonts w:ascii="Verdana" w:hAnsi="Verdana"/>
          <w:sz w:val="20"/>
          <w:szCs w:val="20"/>
        </w:rPr>
        <w:lastRenderedPageBreak/>
        <w:t xml:space="preserve">l'année prochaine. </w:t>
      </w:r>
      <w:r w:rsidR="0008409C" w:rsidRPr="00A605E9">
        <w:rPr>
          <w:rFonts w:ascii="Verdana" w:hAnsi="Verdana"/>
          <w:sz w:val="20"/>
          <w:szCs w:val="20"/>
        </w:rPr>
        <w:t xml:space="preserve">Plusieurs appels d'intérêt ont été lancés au cours de ce trimestre, dont la </w:t>
      </w:r>
      <w:r w:rsidRPr="00A605E9">
        <w:rPr>
          <w:rFonts w:ascii="Verdana" w:hAnsi="Verdana"/>
          <w:sz w:val="20"/>
          <w:szCs w:val="20"/>
        </w:rPr>
        <w:t>préqualification</w:t>
      </w:r>
      <w:r w:rsidR="0008409C" w:rsidRPr="00A605E9">
        <w:rPr>
          <w:rFonts w:ascii="Verdana" w:hAnsi="Verdana"/>
          <w:sz w:val="20"/>
          <w:szCs w:val="20"/>
        </w:rPr>
        <w:t xml:space="preserve"> pour l'achat d'équipements. </w:t>
      </w:r>
      <w:r w:rsidR="00762819" w:rsidRPr="00A605E9">
        <w:rPr>
          <w:rFonts w:ascii="Verdana" w:hAnsi="Verdana"/>
          <w:sz w:val="20"/>
          <w:szCs w:val="20"/>
        </w:rPr>
        <w:t xml:space="preserve">Il est important d'attirer l'attention des pays sur le fait que plusieurs critères doivent être remplis avant l'achat et l'installation de certains équipements, notamment les radars. Une étude préliminaire sera nécessaire pour identifier le site approprié pour l'installation et pour s'assurer que toutes les conditions sont réunies pour la maintenance de ces équipements. </w:t>
      </w:r>
    </w:p>
    <w:p w14:paraId="14D7D36C" w14:textId="77777777" w:rsidR="00BB0861" w:rsidRDefault="005A4657" w:rsidP="0008409C">
      <w:pPr>
        <w:jc w:val="both"/>
        <w:rPr>
          <w:rFonts w:ascii="Verdana" w:hAnsi="Verdana"/>
          <w:sz w:val="20"/>
          <w:szCs w:val="20"/>
        </w:rPr>
      </w:pPr>
      <w:r w:rsidRPr="00A605E9">
        <w:rPr>
          <w:rFonts w:ascii="Verdana" w:hAnsi="Verdana"/>
          <w:sz w:val="20"/>
          <w:szCs w:val="20"/>
        </w:rPr>
        <w:t>Il est également important de rappeler aux pays bénéficiaires la nécessité de faire état de leur contribution nationale au projet, comme indiqué dans le budget du projet. L'équipe d'assistance technique travaillera avec le point focal national pour développer un format de présentation de la contribution nationale.</w:t>
      </w:r>
    </w:p>
    <w:p w14:paraId="41E1D441" w14:textId="77777777" w:rsidR="00BB0861" w:rsidRDefault="00326460" w:rsidP="0008409C">
      <w:pPr>
        <w:jc w:val="both"/>
        <w:rPr>
          <w:rFonts w:ascii="Verdana" w:hAnsi="Verdana"/>
          <w:sz w:val="20"/>
          <w:szCs w:val="20"/>
        </w:rPr>
      </w:pPr>
      <w:r w:rsidRPr="00A605E9">
        <w:rPr>
          <w:rFonts w:ascii="Verdana" w:hAnsi="Verdana"/>
          <w:sz w:val="20"/>
          <w:szCs w:val="20"/>
        </w:rPr>
        <w:t>Dans l’ensemble,</w:t>
      </w:r>
      <w:r w:rsidR="0008409C" w:rsidRPr="00A605E9">
        <w:rPr>
          <w:rFonts w:ascii="Verdana" w:hAnsi="Verdana"/>
          <w:sz w:val="20"/>
          <w:szCs w:val="20"/>
        </w:rPr>
        <w:t xml:space="preserve"> le projet </w:t>
      </w:r>
      <w:r w:rsidR="00BB0861">
        <w:rPr>
          <w:rFonts w:ascii="Verdana" w:hAnsi="Verdana"/>
          <w:sz w:val="20"/>
          <w:szCs w:val="20"/>
        </w:rPr>
        <w:t>atteint sa vitesse de croisière</w:t>
      </w:r>
      <w:r w:rsidR="005A4657" w:rsidRPr="00A605E9">
        <w:rPr>
          <w:rFonts w:ascii="Verdana" w:hAnsi="Verdana"/>
          <w:sz w:val="20"/>
          <w:szCs w:val="20"/>
        </w:rPr>
        <w:t>. Pour assurer un meilleur suivi des activités du projet, une réunion mensuelle avec les partenaires financiers, l'UE et l'AFD, est organisée et deux comités de pilotage régionaux sont prévus pour 2025 avec les pays, les partenaires techniques et les partenaires financiers.</w:t>
      </w:r>
      <w:r w:rsidR="005963B4" w:rsidRPr="00A605E9">
        <w:rPr>
          <w:rFonts w:ascii="Verdana" w:hAnsi="Verdana"/>
          <w:sz w:val="20"/>
          <w:szCs w:val="20"/>
        </w:rPr>
        <w:t xml:space="preserve"> La coordination avec les autres projets dans le domaine se fait notamment avec les projets RDRM-IO, CLIMSA,</w:t>
      </w:r>
      <w:r w:rsidR="005A4657" w:rsidRPr="00A605E9">
        <w:rPr>
          <w:rFonts w:ascii="Verdana" w:hAnsi="Verdana"/>
          <w:sz w:val="20"/>
          <w:szCs w:val="20"/>
        </w:rPr>
        <w:t xml:space="preserve"> </w:t>
      </w:r>
      <w:r w:rsidR="005963B4" w:rsidRPr="00A605E9">
        <w:rPr>
          <w:rFonts w:ascii="Verdana" w:hAnsi="Verdana"/>
          <w:sz w:val="20"/>
          <w:szCs w:val="20"/>
        </w:rPr>
        <w:t>CREWS de l</w:t>
      </w:r>
      <w:r w:rsidR="00D41D82">
        <w:rPr>
          <w:rFonts w:ascii="Verdana" w:hAnsi="Verdana"/>
          <w:sz w:val="20"/>
          <w:szCs w:val="20"/>
        </w:rPr>
        <w:t>’</w:t>
      </w:r>
      <w:r w:rsidR="005963B4" w:rsidRPr="00A605E9">
        <w:rPr>
          <w:rFonts w:ascii="Verdana" w:hAnsi="Verdana"/>
          <w:sz w:val="20"/>
          <w:szCs w:val="20"/>
        </w:rPr>
        <w:t>OMM ainsi que les programme</w:t>
      </w:r>
      <w:r w:rsidR="00D41D82">
        <w:rPr>
          <w:rFonts w:ascii="Verdana" w:hAnsi="Verdana"/>
          <w:sz w:val="20"/>
          <w:szCs w:val="20"/>
        </w:rPr>
        <w:t>s</w:t>
      </w:r>
      <w:r w:rsidR="005963B4" w:rsidRPr="00A605E9">
        <w:rPr>
          <w:rFonts w:ascii="Verdana" w:hAnsi="Verdana"/>
          <w:sz w:val="20"/>
          <w:szCs w:val="20"/>
        </w:rPr>
        <w:t xml:space="preserve"> de l</w:t>
      </w:r>
      <w:r w:rsidR="00D41D82">
        <w:rPr>
          <w:rFonts w:ascii="Verdana" w:hAnsi="Verdana"/>
          <w:sz w:val="20"/>
          <w:szCs w:val="20"/>
        </w:rPr>
        <w:t>’</w:t>
      </w:r>
      <w:r w:rsidR="005963B4" w:rsidRPr="00A605E9">
        <w:rPr>
          <w:rFonts w:ascii="Verdana" w:hAnsi="Verdana"/>
          <w:sz w:val="20"/>
          <w:szCs w:val="20"/>
        </w:rPr>
        <w:t>U</w:t>
      </w:r>
      <w:r w:rsidR="00D41D82">
        <w:rPr>
          <w:rFonts w:ascii="Verdana" w:hAnsi="Verdana"/>
          <w:sz w:val="20"/>
          <w:szCs w:val="20"/>
        </w:rPr>
        <w:t>nion africaine</w:t>
      </w:r>
      <w:r w:rsidR="005963B4" w:rsidRPr="00A605E9">
        <w:rPr>
          <w:rFonts w:ascii="Verdana" w:hAnsi="Verdana"/>
          <w:sz w:val="20"/>
          <w:szCs w:val="20"/>
        </w:rPr>
        <w:t xml:space="preserve">. </w:t>
      </w:r>
    </w:p>
    <w:p w14:paraId="6BAD319F" w14:textId="4CDD6D99" w:rsidR="0008409C" w:rsidRPr="00A605E9" w:rsidRDefault="005963B4" w:rsidP="0008409C">
      <w:pPr>
        <w:jc w:val="both"/>
        <w:rPr>
          <w:rFonts w:ascii="Verdana" w:hAnsi="Verdana"/>
          <w:sz w:val="20"/>
          <w:szCs w:val="20"/>
        </w:rPr>
      </w:pPr>
      <w:r w:rsidRPr="00A605E9">
        <w:rPr>
          <w:rFonts w:ascii="Verdana" w:hAnsi="Verdana"/>
          <w:sz w:val="20"/>
          <w:szCs w:val="20"/>
        </w:rPr>
        <w:t>Malgré le bon avancement</w:t>
      </w:r>
      <w:r w:rsidR="009B1A7D" w:rsidRPr="00A605E9">
        <w:rPr>
          <w:rFonts w:ascii="Verdana" w:hAnsi="Verdana"/>
          <w:sz w:val="20"/>
          <w:szCs w:val="20"/>
        </w:rPr>
        <w:t xml:space="preserve"> du </w:t>
      </w:r>
      <w:r w:rsidRPr="00A605E9">
        <w:rPr>
          <w:rFonts w:ascii="Verdana" w:hAnsi="Verdana"/>
          <w:sz w:val="20"/>
          <w:szCs w:val="20"/>
        </w:rPr>
        <w:t>projet,</w:t>
      </w:r>
      <w:r w:rsidR="009B1A7D" w:rsidRPr="00A605E9">
        <w:rPr>
          <w:rFonts w:ascii="Verdana" w:hAnsi="Verdana"/>
          <w:sz w:val="20"/>
          <w:szCs w:val="20"/>
        </w:rPr>
        <w:t xml:space="preserve"> </w:t>
      </w:r>
      <w:r w:rsidRPr="00A605E9">
        <w:rPr>
          <w:rFonts w:ascii="Verdana" w:hAnsi="Verdana"/>
          <w:sz w:val="20"/>
          <w:szCs w:val="20"/>
        </w:rPr>
        <w:t>il sera</w:t>
      </w:r>
      <w:r w:rsidR="0008409C" w:rsidRPr="00A605E9">
        <w:rPr>
          <w:rFonts w:ascii="Verdana" w:hAnsi="Verdana"/>
          <w:sz w:val="20"/>
          <w:szCs w:val="20"/>
        </w:rPr>
        <w:t xml:space="preserve"> nécessaire d'étendre l'accord de financement pour le fonds de l'UE.  Pour rappel, l'accord de financement pour mobiliser les fonds de l'UE a été signé et est entré en vigueur en novembre 2021 contrairement à la convention de financement pour le fond du GCF qui est devenu</w:t>
      </w:r>
      <w:r w:rsidR="00D41D82">
        <w:rPr>
          <w:rFonts w:ascii="Verdana" w:hAnsi="Verdana"/>
          <w:sz w:val="20"/>
          <w:szCs w:val="20"/>
        </w:rPr>
        <w:t>e</w:t>
      </w:r>
      <w:r w:rsidR="0008409C" w:rsidRPr="00A605E9">
        <w:rPr>
          <w:rFonts w:ascii="Verdana" w:hAnsi="Verdana"/>
          <w:sz w:val="20"/>
          <w:szCs w:val="20"/>
        </w:rPr>
        <w:t xml:space="preserve"> effecti</w:t>
      </w:r>
      <w:r w:rsidR="00C73A50">
        <w:rPr>
          <w:rFonts w:ascii="Verdana" w:hAnsi="Verdana"/>
          <w:sz w:val="20"/>
          <w:szCs w:val="20"/>
        </w:rPr>
        <w:t>f</w:t>
      </w:r>
      <w:r w:rsidR="0008409C" w:rsidRPr="00A605E9">
        <w:rPr>
          <w:rFonts w:ascii="Verdana" w:hAnsi="Verdana"/>
          <w:sz w:val="20"/>
          <w:szCs w:val="20"/>
        </w:rPr>
        <w:t xml:space="preserve"> en octobre 2022. Un alignement est nécessaire </w:t>
      </w:r>
      <w:r w:rsidR="00326460" w:rsidRPr="00A605E9">
        <w:rPr>
          <w:rFonts w:ascii="Verdana" w:hAnsi="Verdana"/>
          <w:sz w:val="20"/>
          <w:szCs w:val="20"/>
        </w:rPr>
        <w:t>pour permettre d’atteindre</w:t>
      </w:r>
      <w:r w:rsidR="0008409C" w:rsidRPr="00A605E9">
        <w:rPr>
          <w:rFonts w:ascii="Verdana" w:hAnsi="Verdana"/>
          <w:sz w:val="20"/>
          <w:szCs w:val="20"/>
        </w:rPr>
        <w:t xml:space="preserve"> les objectifs de ce projet.</w:t>
      </w:r>
    </w:p>
    <w:p w14:paraId="6DB47898" w14:textId="77777777" w:rsidR="005B3A54" w:rsidRDefault="005B3A54" w:rsidP="005B3A54"/>
    <w:p w14:paraId="3F8359F4" w14:textId="77777777" w:rsidR="005B3A54" w:rsidRDefault="005B3A54" w:rsidP="005B3A54">
      <w:pPr>
        <w:pStyle w:val="Sous-partie2"/>
      </w:pPr>
      <w:r>
        <w:t>Projet RDRM - IO</w:t>
      </w:r>
    </w:p>
    <w:p w14:paraId="17CB7B21" w14:textId="38CB57A3" w:rsidR="00B52ED9" w:rsidRPr="00A605E9" w:rsidRDefault="005B3A54" w:rsidP="00B52ED9">
      <w:pPr>
        <w:jc w:val="both"/>
        <w:rPr>
          <w:rFonts w:ascii="Verdana" w:hAnsi="Verdana"/>
          <w:sz w:val="20"/>
          <w:szCs w:val="20"/>
        </w:rPr>
      </w:pPr>
      <w:r w:rsidRPr="00A605E9">
        <w:rPr>
          <w:rFonts w:ascii="Verdana" w:hAnsi="Verdana"/>
          <w:sz w:val="20"/>
          <w:szCs w:val="20"/>
        </w:rPr>
        <w:t>Le projet de renforcement de la résilience et gestion de la réponse aux catastrophes (RDRM-IO) dont la Convention de financement a été signée entre la COI et l’Union européenne en décembre 2020 est en cours</w:t>
      </w:r>
      <w:r w:rsidR="00326460" w:rsidRPr="00A605E9">
        <w:rPr>
          <w:rFonts w:ascii="Verdana" w:hAnsi="Verdana"/>
          <w:sz w:val="20"/>
          <w:szCs w:val="20"/>
        </w:rPr>
        <w:t xml:space="preserve"> et la date de fin de la période de mise en œuvre est décembre 2025. </w:t>
      </w:r>
      <w:r w:rsidR="002E496C" w:rsidRPr="00A605E9">
        <w:rPr>
          <w:rFonts w:ascii="Verdana" w:hAnsi="Verdana"/>
          <w:sz w:val="20"/>
          <w:szCs w:val="20"/>
        </w:rPr>
        <w:t>Le troisième comité de pilotage régional de ce projet s’est tenu aux Seychelles en mai derni</w:t>
      </w:r>
      <w:r w:rsidR="00331EFE">
        <w:rPr>
          <w:rFonts w:ascii="Verdana" w:hAnsi="Verdana"/>
          <w:sz w:val="20"/>
          <w:szCs w:val="20"/>
        </w:rPr>
        <w:t>er</w:t>
      </w:r>
      <w:r w:rsidR="002E496C" w:rsidRPr="00A605E9">
        <w:rPr>
          <w:rFonts w:ascii="Verdana" w:hAnsi="Verdana"/>
          <w:sz w:val="20"/>
          <w:szCs w:val="20"/>
        </w:rPr>
        <w:t>. L’état d’avancement des activités du projet a été satisfaisant</w:t>
      </w:r>
      <w:r w:rsidR="00331EFE">
        <w:rPr>
          <w:rFonts w:ascii="Verdana" w:hAnsi="Verdana"/>
          <w:sz w:val="20"/>
          <w:szCs w:val="20"/>
        </w:rPr>
        <w:t>,</w:t>
      </w:r>
      <w:r w:rsidR="002E496C" w:rsidRPr="00A605E9">
        <w:rPr>
          <w:rFonts w:ascii="Verdana" w:hAnsi="Verdana"/>
          <w:sz w:val="20"/>
          <w:szCs w:val="20"/>
        </w:rPr>
        <w:t xml:space="preserve"> toutefois</w:t>
      </w:r>
      <w:r w:rsidR="00331EFE">
        <w:rPr>
          <w:rFonts w:ascii="Verdana" w:hAnsi="Verdana"/>
          <w:sz w:val="20"/>
          <w:szCs w:val="20"/>
        </w:rPr>
        <w:t>,</w:t>
      </w:r>
      <w:r w:rsidR="002E496C" w:rsidRPr="00A605E9">
        <w:rPr>
          <w:rFonts w:ascii="Verdana" w:hAnsi="Verdana"/>
          <w:sz w:val="20"/>
          <w:szCs w:val="20"/>
        </w:rPr>
        <w:t xml:space="preserve"> un certain nombre d’activité doit être revu</w:t>
      </w:r>
      <w:r w:rsidR="00331EFE">
        <w:rPr>
          <w:rFonts w:ascii="Verdana" w:hAnsi="Verdana"/>
          <w:sz w:val="20"/>
          <w:szCs w:val="20"/>
        </w:rPr>
        <w:t>e</w:t>
      </w:r>
      <w:r w:rsidR="002E496C" w:rsidRPr="00A605E9">
        <w:rPr>
          <w:rFonts w:ascii="Verdana" w:hAnsi="Verdana"/>
          <w:sz w:val="20"/>
          <w:szCs w:val="20"/>
        </w:rPr>
        <w:t xml:space="preserve">. Cela entrainera une révision budgétaire et </w:t>
      </w:r>
      <w:r w:rsidR="00331EFE">
        <w:rPr>
          <w:rFonts w:ascii="Verdana" w:hAnsi="Verdana"/>
          <w:sz w:val="20"/>
          <w:szCs w:val="20"/>
        </w:rPr>
        <w:t xml:space="preserve">un </w:t>
      </w:r>
      <w:r w:rsidR="002E496C" w:rsidRPr="00A605E9">
        <w:rPr>
          <w:rFonts w:ascii="Verdana" w:hAnsi="Verdana"/>
          <w:sz w:val="20"/>
          <w:szCs w:val="20"/>
        </w:rPr>
        <w:t>avenant au devis programme de la COI et au</w:t>
      </w:r>
      <w:r w:rsidR="00331EFE">
        <w:rPr>
          <w:rFonts w:ascii="Verdana" w:hAnsi="Verdana"/>
          <w:sz w:val="20"/>
          <w:szCs w:val="20"/>
        </w:rPr>
        <w:t>x c</w:t>
      </w:r>
      <w:r w:rsidR="002E496C" w:rsidRPr="00A605E9">
        <w:rPr>
          <w:rFonts w:ascii="Verdana" w:hAnsi="Verdana"/>
          <w:sz w:val="20"/>
          <w:szCs w:val="20"/>
        </w:rPr>
        <w:t xml:space="preserve">ontrats du </w:t>
      </w:r>
      <w:r w:rsidR="00331EFE">
        <w:rPr>
          <w:rFonts w:ascii="Verdana" w:hAnsi="Verdana"/>
          <w:sz w:val="20"/>
          <w:szCs w:val="20"/>
        </w:rPr>
        <w:t>b</w:t>
      </w:r>
      <w:r w:rsidR="002E496C" w:rsidRPr="00A605E9">
        <w:rPr>
          <w:rFonts w:ascii="Verdana" w:hAnsi="Verdana"/>
          <w:sz w:val="20"/>
          <w:szCs w:val="20"/>
        </w:rPr>
        <w:t>ureau de</w:t>
      </w:r>
      <w:r w:rsidR="00331EFE">
        <w:rPr>
          <w:rFonts w:ascii="Verdana" w:hAnsi="Verdana"/>
          <w:sz w:val="20"/>
          <w:szCs w:val="20"/>
        </w:rPr>
        <w:t>s</w:t>
      </w:r>
      <w:r w:rsidR="002E496C" w:rsidRPr="00A605E9">
        <w:rPr>
          <w:rFonts w:ascii="Verdana" w:hAnsi="Verdana"/>
          <w:sz w:val="20"/>
          <w:szCs w:val="20"/>
        </w:rPr>
        <w:t xml:space="preserve"> </w:t>
      </w:r>
      <w:r w:rsidR="00C73A50">
        <w:rPr>
          <w:rFonts w:ascii="Verdana" w:hAnsi="Verdana"/>
          <w:sz w:val="20"/>
          <w:szCs w:val="20"/>
        </w:rPr>
        <w:t>N</w:t>
      </w:r>
      <w:r w:rsidR="002E496C" w:rsidRPr="00A605E9">
        <w:rPr>
          <w:rFonts w:ascii="Verdana" w:hAnsi="Verdana"/>
          <w:sz w:val="20"/>
          <w:szCs w:val="20"/>
        </w:rPr>
        <w:t>ation</w:t>
      </w:r>
      <w:r w:rsidR="00331EFE">
        <w:rPr>
          <w:rFonts w:ascii="Verdana" w:hAnsi="Verdana"/>
          <w:sz w:val="20"/>
          <w:szCs w:val="20"/>
        </w:rPr>
        <w:t>s</w:t>
      </w:r>
      <w:r w:rsidR="002E496C" w:rsidRPr="00A605E9">
        <w:rPr>
          <w:rFonts w:ascii="Verdana" w:hAnsi="Verdana"/>
          <w:sz w:val="20"/>
          <w:szCs w:val="20"/>
        </w:rPr>
        <w:t xml:space="preserve"> </w:t>
      </w:r>
      <w:r w:rsidR="00C73A50">
        <w:rPr>
          <w:rFonts w:ascii="Verdana" w:hAnsi="Verdana"/>
          <w:sz w:val="20"/>
          <w:szCs w:val="20"/>
        </w:rPr>
        <w:t>u</w:t>
      </w:r>
      <w:r w:rsidR="002E496C" w:rsidRPr="00A605E9">
        <w:rPr>
          <w:rFonts w:ascii="Verdana" w:hAnsi="Verdana"/>
          <w:sz w:val="20"/>
          <w:szCs w:val="20"/>
        </w:rPr>
        <w:t>nie</w:t>
      </w:r>
      <w:r w:rsidR="00331EFE">
        <w:rPr>
          <w:rFonts w:ascii="Verdana" w:hAnsi="Verdana"/>
          <w:sz w:val="20"/>
          <w:szCs w:val="20"/>
        </w:rPr>
        <w:t>s</w:t>
      </w:r>
      <w:r w:rsidR="002E496C" w:rsidRPr="00A605E9">
        <w:rPr>
          <w:rFonts w:ascii="Verdana" w:hAnsi="Verdana"/>
          <w:sz w:val="20"/>
          <w:szCs w:val="20"/>
        </w:rPr>
        <w:t xml:space="preserve"> </w:t>
      </w:r>
      <w:r w:rsidR="00C73A50">
        <w:rPr>
          <w:rFonts w:ascii="Verdana" w:hAnsi="Verdana"/>
          <w:sz w:val="20"/>
          <w:szCs w:val="20"/>
        </w:rPr>
        <w:t xml:space="preserve">pour </w:t>
      </w:r>
      <w:r w:rsidR="002E496C" w:rsidRPr="00A605E9">
        <w:rPr>
          <w:rFonts w:ascii="Verdana" w:hAnsi="Verdana"/>
          <w:sz w:val="20"/>
          <w:szCs w:val="20"/>
        </w:rPr>
        <w:t>la réduction des risques</w:t>
      </w:r>
      <w:r w:rsidR="00331EFE">
        <w:rPr>
          <w:rFonts w:ascii="Verdana" w:hAnsi="Verdana"/>
          <w:sz w:val="20"/>
          <w:szCs w:val="20"/>
        </w:rPr>
        <w:t xml:space="preserve"> - UNDRR</w:t>
      </w:r>
      <w:r w:rsidR="002E496C" w:rsidRPr="00A605E9">
        <w:rPr>
          <w:rFonts w:ascii="Verdana" w:hAnsi="Verdana"/>
          <w:sz w:val="20"/>
          <w:szCs w:val="20"/>
        </w:rPr>
        <w:t xml:space="preserve">. Quant à la </w:t>
      </w:r>
      <w:r w:rsidR="00326460" w:rsidRPr="00A605E9">
        <w:rPr>
          <w:rFonts w:ascii="Verdana" w:hAnsi="Verdana"/>
          <w:sz w:val="20"/>
          <w:szCs w:val="20"/>
        </w:rPr>
        <w:t xml:space="preserve">subvention octroyée à </w:t>
      </w:r>
      <w:r w:rsidR="005A5F32" w:rsidRPr="00A605E9">
        <w:rPr>
          <w:rFonts w:ascii="Verdana" w:hAnsi="Verdana"/>
          <w:sz w:val="20"/>
          <w:szCs w:val="20"/>
        </w:rPr>
        <w:t>la Plateforme</w:t>
      </w:r>
      <w:r w:rsidRPr="00A605E9">
        <w:rPr>
          <w:rFonts w:ascii="Verdana" w:hAnsi="Verdana"/>
          <w:sz w:val="20"/>
          <w:szCs w:val="20"/>
        </w:rPr>
        <w:t xml:space="preserve"> d’intervention régionale de l’océan Indien (PIROI</w:t>
      </w:r>
      <w:r w:rsidR="002E496C" w:rsidRPr="00A605E9">
        <w:rPr>
          <w:rFonts w:ascii="Verdana" w:hAnsi="Verdana"/>
          <w:sz w:val="20"/>
          <w:szCs w:val="20"/>
        </w:rPr>
        <w:t xml:space="preserve">), cela </w:t>
      </w:r>
      <w:r w:rsidR="00326460" w:rsidRPr="00A605E9">
        <w:rPr>
          <w:rFonts w:ascii="Verdana" w:hAnsi="Verdana"/>
          <w:sz w:val="20"/>
          <w:szCs w:val="20"/>
        </w:rPr>
        <w:t>arrive à terme</w:t>
      </w:r>
      <w:r w:rsidR="002E496C" w:rsidRPr="00A605E9">
        <w:rPr>
          <w:rFonts w:ascii="Verdana" w:hAnsi="Verdana"/>
          <w:sz w:val="20"/>
          <w:szCs w:val="20"/>
        </w:rPr>
        <w:t xml:space="preserve"> mais la collaboration avec la PIROI sur un certain nombre d’activité</w:t>
      </w:r>
      <w:r w:rsidR="00C73A50">
        <w:rPr>
          <w:rFonts w:ascii="Verdana" w:hAnsi="Verdana"/>
          <w:sz w:val="20"/>
          <w:szCs w:val="20"/>
        </w:rPr>
        <w:t>s</w:t>
      </w:r>
      <w:r w:rsidR="002E496C" w:rsidRPr="00A605E9">
        <w:rPr>
          <w:rFonts w:ascii="Verdana" w:hAnsi="Verdana"/>
          <w:sz w:val="20"/>
          <w:szCs w:val="20"/>
        </w:rPr>
        <w:t xml:space="preserve"> continuera notamment sur la formation. </w:t>
      </w:r>
      <w:r w:rsidR="00326460" w:rsidRPr="00A605E9">
        <w:rPr>
          <w:rFonts w:ascii="Verdana" w:hAnsi="Verdana"/>
          <w:sz w:val="20"/>
          <w:szCs w:val="20"/>
        </w:rPr>
        <w:t xml:space="preserve"> </w:t>
      </w:r>
    </w:p>
    <w:p w14:paraId="3CC4200D" w14:textId="0D96F5CC" w:rsidR="005963B4" w:rsidRPr="00A605E9" w:rsidRDefault="005963B4" w:rsidP="009B1A7D">
      <w:pPr>
        <w:jc w:val="both"/>
        <w:rPr>
          <w:rFonts w:ascii="Verdana" w:hAnsi="Verdana"/>
          <w:sz w:val="20"/>
          <w:szCs w:val="20"/>
        </w:rPr>
      </w:pPr>
      <w:r w:rsidRPr="00A605E9">
        <w:rPr>
          <w:rFonts w:ascii="Verdana" w:hAnsi="Verdana"/>
          <w:sz w:val="20"/>
          <w:szCs w:val="20"/>
        </w:rPr>
        <w:t>Entretemps, l</w:t>
      </w:r>
      <w:r w:rsidR="005B3A54" w:rsidRPr="00A605E9">
        <w:rPr>
          <w:rFonts w:ascii="Verdana" w:hAnsi="Verdana"/>
          <w:sz w:val="20"/>
          <w:szCs w:val="20"/>
        </w:rPr>
        <w:t xml:space="preserve">e processus d’acquisition des matériels et </w:t>
      </w:r>
      <w:r w:rsidR="00331EFE">
        <w:rPr>
          <w:rFonts w:ascii="Verdana" w:hAnsi="Verdana"/>
          <w:sz w:val="20"/>
          <w:szCs w:val="20"/>
        </w:rPr>
        <w:t>d’</w:t>
      </w:r>
      <w:r w:rsidR="005B3A54" w:rsidRPr="00A605E9">
        <w:rPr>
          <w:rFonts w:ascii="Verdana" w:hAnsi="Verdana"/>
          <w:sz w:val="20"/>
          <w:szCs w:val="20"/>
        </w:rPr>
        <w:t xml:space="preserve">équipements pour les centres de gestion et réponse aux catastrophes progresse </w:t>
      </w:r>
      <w:r w:rsidR="009B1A7D" w:rsidRPr="00A605E9">
        <w:rPr>
          <w:rFonts w:ascii="Verdana" w:hAnsi="Verdana"/>
          <w:sz w:val="20"/>
          <w:szCs w:val="20"/>
        </w:rPr>
        <w:t>et la</w:t>
      </w:r>
      <w:r w:rsidR="005B3A54" w:rsidRPr="00A605E9">
        <w:rPr>
          <w:rFonts w:ascii="Verdana" w:hAnsi="Verdana"/>
          <w:sz w:val="20"/>
          <w:szCs w:val="20"/>
        </w:rPr>
        <w:t xml:space="preserve"> publication des dossiers d’appel d’offre </w:t>
      </w:r>
      <w:r w:rsidR="009B1A7D" w:rsidRPr="00A605E9">
        <w:rPr>
          <w:rFonts w:ascii="Verdana" w:hAnsi="Verdana"/>
          <w:sz w:val="20"/>
          <w:szCs w:val="20"/>
        </w:rPr>
        <w:t>dans chaqu</w:t>
      </w:r>
      <w:r w:rsidR="00A605E9">
        <w:rPr>
          <w:rFonts w:ascii="Verdana" w:hAnsi="Verdana"/>
          <w:sz w:val="20"/>
          <w:szCs w:val="20"/>
        </w:rPr>
        <w:t>e</w:t>
      </w:r>
      <w:r w:rsidR="009B1A7D" w:rsidRPr="00A605E9">
        <w:rPr>
          <w:rFonts w:ascii="Verdana" w:hAnsi="Verdana"/>
          <w:sz w:val="20"/>
          <w:szCs w:val="20"/>
        </w:rPr>
        <w:t xml:space="preserve"> </w:t>
      </w:r>
      <w:r w:rsidR="00331EFE">
        <w:rPr>
          <w:rFonts w:ascii="Verdana" w:hAnsi="Verdana"/>
          <w:sz w:val="20"/>
          <w:szCs w:val="20"/>
        </w:rPr>
        <w:t>p</w:t>
      </w:r>
      <w:r w:rsidR="00331EFE" w:rsidRPr="00A605E9">
        <w:rPr>
          <w:rFonts w:ascii="Verdana" w:hAnsi="Verdana"/>
          <w:sz w:val="20"/>
          <w:szCs w:val="20"/>
        </w:rPr>
        <w:t>ays bénéficiaire</w:t>
      </w:r>
      <w:r w:rsidR="009B1A7D" w:rsidRPr="00A605E9">
        <w:rPr>
          <w:rFonts w:ascii="Verdana" w:hAnsi="Verdana"/>
          <w:sz w:val="20"/>
          <w:szCs w:val="20"/>
        </w:rPr>
        <w:t xml:space="preserve"> </w:t>
      </w:r>
      <w:r w:rsidR="005B3A54" w:rsidRPr="00A605E9">
        <w:rPr>
          <w:rFonts w:ascii="Verdana" w:hAnsi="Verdana"/>
          <w:sz w:val="20"/>
          <w:szCs w:val="20"/>
        </w:rPr>
        <w:t xml:space="preserve">est prévue </w:t>
      </w:r>
      <w:r w:rsidR="009B1A7D" w:rsidRPr="00A605E9">
        <w:rPr>
          <w:rFonts w:ascii="Verdana" w:hAnsi="Verdana"/>
          <w:sz w:val="20"/>
          <w:szCs w:val="20"/>
        </w:rPr>
        <w:t>avant la fin de l’année pour assurer</w:t>
      </w:r>
      <w:r w:rsidR="005B3A54" w:rsidRPr="00A605E9">
        <w:rPr>
          <w:rFonts w:ascii="Verdana" w:hAnsi="Verdana"/>
          <w:sz w:val="20"/>
          <w:szCs w:val="20"/>
        </w:rPr>
        <w:t xml:space="preserve"> le déploiement en 2025. </w:t>
      </w:r>
      <w:r w:rsidR="009B1A7D" w:rsidRPr="00A605E9">
        <w:rPr>
          <w:rFonts w:ascii="Verdana" w:hAnsi="Verdana"/>
          <w:sz w:val="20"/>
          <w:szCs w:val="20"/>
        </w:rPr>
        <w:t xml:space="preserve">Un plan de formation en concertation avec les pays, la PIROI et </w:t>
      </w:r>
      <w:r w:rsidR="00C73A50">
        <w:rPr>
          <w:rFonts w:ascii="Verdana" w:hAnsi="Verdana"/>
          <w:sz w:val="20"/>
          <w:szCs w:val="20"/>
        </w:rPr>
        <w:t>l’UNDRR</w:t>
      </w:r>
      <w:r w:rsidR="009B1A7D" w:rsidRPr="00A605E9">
        <w:rPr>
          <w:rFonts w:ascii="Verdana" w:hAnsi="Verdana"/>
          <w:sz w:val="20"/>
          <w:szCs w:val="20"/>
        </w:rPr>
        <w:t xml:space="preserve"> a été défini et les formations devron</w:t>
      </w:r>
      <w:r w:rsidR="00C73A50">
        <w:rPr>
          <w:rFonts w:ascii="Verdana" w:hAnsi="Verdana"/>
          <w:sz w:val="20"/>
          <w:szCs w:val="20"/>
        </w:rPr>
        <w:t>t</w:t>
      </w:r>
      <w:r w:rsidR="009B1A7D" w:rsidRPr="00A605E9">
        <w:rPr>
          <w:rFonts w:ascii="Verdana" w:hAnsi="Verdana"/>
          <w:sz w:val="20"/>
          <w:szCs w:val="20"/>
        </w:rPr>
        <w:t xml:space="preserve"> se faire en 2025. </w:t>
      </w:r>
      <w:r w:rsidR="005B3A54" w:rsidRPr="00A605E9">
        <w:rPr>
          <w:rFonts w:ascii="Verdana" w:hAnsi="Verdana"/>
          <w:sz w:val="20"/>
          <w:szCs w:val="20"/>
        </w:rPr>
        <w:t xml:space="preserve"> </w:t>
      </w:r>
      <w:r w:rsidR="009B1A7D" w:rsidRPr="00A605E9">
        <w:rPr>
          <w:rFonts w:ascii="Verdana" w:hAnsi="Verdana"/>
          <w:sz w:val="20"/>
          <w:szCs w:val="20"/>
        </w:rPr>
        <w:t>La</w:t>
      </w:r>
      <w:r w:rsidR="005B3A54" w:rsidRPr="00A605E9">
        <w:rPr>
          <w:rFonts w:ascii="Verdana" w:hAnsi="Verdana"/>
          <w:sz w:val="20"/>
          <w:szCs w:val="20"/>
        </w:rPr>
        <w:t xml:space="preserve"> mise en place d’un mécanisme de coordination régionale pour la réduction des risques de catastrophes (RRC) </w:t>
      </w:r>
      <w:r w:rsidR="009B1A7D" w:rsidRPr="00A605E9">
        <w:rPr>
          <w:rFonts w:ascii="Verdana" w:hAnsi="Verdana"/>
          <w:sz w:val="20"/>
          <w:szCs w:val="20"/>
        </w:rPr>
        <w:t>progresse bien et les groupes de travail thématique sont en train de se mettre en place</w:t>
      </w:r>
      <w:r w:rsidR="007D1A26" w:rsidRPr="00A605E9">
        <w:rPr>
          <w:rFonts w:ascii="Verdana" w:hAnsi="Verdana"/>
          <w:sz w:val="20"/>
          <w:szCs w:val="20"/>
        </w:rPr>
        <w:t>.</w:t>
      </w:r>
      <w:r w:rsidR="007C1F02" w:rsidRPr="00A605E9">
        <w:rPr>
          <w:rFonts w:ascii="Verdana" w:hAnsi="Verdana"/>
          <w:sz w:val="20"/>
          <w:szCs w:val="20"/>
        </w:rPr>
        <w:t xml:space="preserve"> La plateforme et les groupes</w:t>
      </w:r>
      <w:r w:rsidR="007D1A26" w:rsidRPr="00A605E9">
        <w:rPr>
          <w:rFonts w:ascii="Verdana" w:hAnsi="Verdana"/>
          <w:sz w:val="20"/>
          <w:szCs w:val="20"/>
        </w:rPr>
        <w:t xml:space="preserve"> de travail seront utile</w:t>
      </w:r>
      <w:r w:rsidR="00331EFE">
        <w:rPr>
          <w:rFonts w:ascii="Verdana" w:hAnsi="Verdana"/>
          <w:sz w:val="20"/>
          <w:szCs w:val="20"/>
        </w:rPr>
        <w:t>s</w:t>
      </w:r>
      <w:r w:rsidR="007D1A26" w:rsidRPr="00A605E9">
        <w:rPr>
          <w:rFonts w:ascii="Verdana" w:hAnsi="Verdana"/>
          <w:sz w:val="20"/>
          <w:szCs w:val="20"/>
        </w:rPr>
        <w:t xml:space="preserve"> pour le forum des utilisateurs des services climatiques dans le cadre du projet Hydromet</w:t>
      </w:r>
      <w:r w:rsidR="007C1F02" w:rsidRPr="00A605E9">
        <w:rPr>
          <w:rFonts w:ascii="Verdana" w:hAnsi="Verdana"/>
          <w:sz w:val="20"/>
          <w:szCs w:val="20"/>
        </w:rPr>
        <w:t xml:space="preserve"> et aussi pour les rapports régionaux sur la mise en œuvre du cadre de Sendai sur la </w:t>
      </w:r>
      <w:r w:rsidR="00E61C27" w:rsidRPr="00A605E9">
        <w:rPr>
          <w:rFonts w:ascii="Verdana" w:hAnsi="Verdana"/>
          <w:sz w:val="20"/>
          <w:szCs w:val="20"/>
        </w:rPr>
        <w:t>réduction</w:t>
      </w:r>
      <w:r w:rsidR="007C1F02" w:rsidRPr="00A605E9">
        <w:rPr>
          <w:rFonts w:ascii="Verdana" w:hAnsi="Verdana"/>
          <w:sz w:val="20"/>
          <w:szCs w:val="20"/>
        </w:rPr>
        <w:t xml:space="preserve"> des risques de catastrophes.  </w:t>
      </w:r>
      <w:r w:rsidR="00B61AA6">
        <w:rPr>
          <w:rFonts w:ascii="Verdana" w:hAnsi="Verdana"/>
          <w:sz w:val="20"/>
          <w:szCs w:val="20"/>
        </w:rPr>
        <w:t xml:space="preserve">D’ailleurs la participation de la COI et ses Etats membres au Forum mondial sur la réduction </w:t>
      </w:r>
      <w:r w:rsidR="00331EFE">
        <w:rPr>
          <w:rFonts w:ascii="Verdana" w:hAnsi="Verdana"/>
          <w:sz w:val="20"/>
          <w:szCs w:val="20"/>
        </w:rPr>
        <w:t>des risques</w:t>
      </w:r>
      <w:r w:rsidR="00B61AA6">
        <w:rPr>
          <w:rFonts w:ascii="Verdana" w:hAnsi="Verdana"/>
          <w:sz w:val="20"/>
          <w:szCs w:val="20"/>
        </w:rPr>
        <w:t xml:space="preserve"> de </w:t>
      </w:r>
      <w:r w:rsidR="00C73A50">
        <w:rPr>
          <w:rFonts w:ascii="Verdana" w:hAnsi="Verdana"/>
          <w:sz w:val="20"/>
          <w:szCs w:val="20"/>
        </w:rPr>
        <w:t>c</w:t>
      </w:r>
      <w:r w:rsidR="00B61AA6">
        <w:rPr>
          <w:rFonts w:ascii="Verdana" w:hAnsi="Verdana"/>
          <w:sz w:val="20"/>
          <w:szCs w:val="20"/>
        </w:rPr>
        <w:t>atastrophe</w:t>
      </w:r>
      <w:r w:rsidR="00C73A50">
        <w:rPr>
          <w:rFonts w:ascii="Verdana" w:hAnsi="Verdana"/>
          <w:sz w:val="20"/>
          <w:szCs w:val="20"/>
        </w:rPr>
        <w:t xml:space="preserve">s à </w:t>
      </w:r>
      <w:r w:rsidR="00B61AA6">
        <w:rPr>
          <w:rFonts w:ascii="Verdana" w:hAnsi="Verdana"/>
          <w:sz w:val="20"/>
          <w:szCs w:val="20"/>
        </w:rPr>
        <w:t xml:space="preserve">Genève, </w:t>
      </w:r>
      <w:r w:rsidR="004D4EBF">
        <w:rPr>
          <w:rFonts w:ascii="Verdana" w:hAnsi="Verdana"/>
          <w:sz w:val="20"/>
          <w:szCs w:val="20"/>
        </w:rPr>
        <w:t>Suisse en</w:t>
      </w:r>
      <w:r w:rsidR="00B61AA6">
        <w:rPr>
          <w:rFonts w:ascii="Verdana" w:hAnsi="Verdana"/>
          <w:sz w:val="20"/>
          <w:szCs w:val="20"/>
        </w:rPr>
        <w:t xml:space="preserve"> juin 2025 est envisagé</w:t>
      </w:r>
      <w:r w:rsidR="00331EFE">
        <w:rPr>
          <w:rFonts w:ascii="Verdana" w:hAnsi="Verdana"/>
          <w:sz w:val="20"/>
          <w:szCs w:val="20"/>
        </w:rPr>
        <w:t>e</w:t>
      </w:r>
      <w:r w:rsidR="00B61AA6">
        <w:rPr>
          <w:rFonts w:ascii="Verdana" w:hAnsi="Verdana"/>
          <w:sz w:val="20"/>
          <w:szCs w:val="20"/>
        </w:rPr>
        <w:t xml:space="preserve">. </w:t>
      </w:r>
    </w:p>
    <w:p w14:paraId="0CF2C266" w14:textId="1A45D83B" w:rsidR="005B3A54" w:rsidRPr="00A605E9" w:rsidRDefault="007D1A26" w:rsidP="00E61C27">
      <w:pPr>
        <w:jc w:val="both"/>
        <w:rPr>
          <w:rFonts w:ascii="Verdana" w:hAnsi="Verdana"/>
          <w:sz w:val="20"/>
          <w:szCs w:val="20"/>
        </w:rPr>
      </w:pPr>
      <w:r w:rsidRPr="00A605E9">
        <w:rPr>
          <w:rFonts w:ascii="Verdana" w:hAnsi="Verdana"/>
          <w:sz w:val="20"/>
          <w:szCs w:val="20"/>
        </w:rPr>
        <w:t>La COI collabore</w:t>
      </w:r>
      <w:r w:rsidR="005963B4" w:rsidRPr="00A605E9">
        <w:rPr>
          <w:rFonts w:ascii="Verdana" w:hAnsi="Verdana"/>
          <w:sz w:val="20"/>
          <w:szCs w:val="20"/>
        </w:rPr>
        <w:t xml:space="preserve"> également avec</w:t>
      </w:r>
      <w:r w:rsidRPr="00A605E9">
        <w:rPr>
          <w:rFonts w:ascii="Verdana" w:hAnsi="Verdana"/>
          <w:sz w:val="20"/>
          <w:szCs w:val="20"/>
        </w:rPr>
        <w:t xml:space="preserve"> </w:t>
      </w:r>
      <w:r w:rsidR="005963B4" w:rsidRPr="00A605E9">
        <w:rPr>
          <w:rFonts w:ascii="Verdana" w:hAnsi="Verdana"/>
          <w:sz w:val="20"/>
          <w:szCs w:val="20"/>
        </w:rPr>
        <w:t>d’autres partenaires sur ce</w:t>
      </w:r>
      <w:r w:rsidR="00331EFE">
        <w:rPr>
          <w:rFonts w:ascii="Verdana" w:hAnsi="Verdana"/>
          <w:sz w:val="20"/>
          <w:szCs w:val="20"/>
        </w:rPr>
        <w:t>tte</w:t>
      </w:r>
      <w:r w:rsidR="005963B4" w:rsidRPr="00A605E9">
        <w:rPr>
          <w:rFonts w:ascii="Verdana" w:hAnsi="Verdana"/>
          <w:sz w:val="20"/>
          <w:szCs w:val="20"/>
        </w:rPr>
        <w:t xml:space="preserve"> thématique</w:t>
      </w:r>
      <w:r w:rsidR="007C1F02" w:rsidRPr="00A605E9">
        <w:rPr>
          <w:rFonts w:ascii="Verdana" w:hAnsi="Verdana"/>
          <w:sz w:val="20"/>
          <w:szCs w:val="20"/>
        </w:rPr>
        <w:t xml:space="preserve">. Vu les augmentations </w:t>
      </w:r>
      <w:r w:rsidR="00331EFE">
        <w:rPr>
          <w:rFonts w:ascii="Verdana" w:hAnsi="Verdana"/>
          <w:sz w:val="20"/>
          <w:szCs w:val="20"/>
        </w:rPr>
        <w:t>des</w:t>
      </w:r>
      <w:r w:rsidR="007C1F02" w:rsidRPr="00A605E9">
        <w:rPr>
          <w:rFonts w:ascii="Verdana" w:hAnsi="Verdana"/>
          <w:sz w:val="20"/>
          <w:szCs w:val="20"/>
        </w:rPr>
        <w:t xml:space="preserve"> inondations dans les zones construite</w:t>
      </w:r>
      <w:r w:rsidR="00331EFE">
        <w:rPr>
          <w:rFonts w:ascii="Verdana" w:hAnsi="Verdana"/>
          <w:sz w:val="20"/>
          <w:szCs w:val="20"/>
        </w:rPr>
        <w:t>s</w:t>
      </w:r>
      <w:r w:rsidR="007C1F02" w:rsidRPr="00A605E9">
        <w:rPr>
          <w:rFonts w:ascii="Verdana" w:hAnsi="Verdana"/>
          <w:sz w:val="20"/>
          <w:szCs w:val="20"/>
        </w:rPr>
        <w:t xml:space="preserve"> et les éboulements et </w:t>
      </w:r>
      <w:r w:rsidR="007C1F02" w:rsidRPr="00A605E9">
        <w:rPr>
          <w:rFonts w:ascii="Verdana" w:hAnsi="Verdana"/>
          <w:sz w:val="20"/>
          <w:szCs w:val="20"/>
        </w:rPr>
        <w:lastRenderedPageBreak/>
        <w:t>glissement</w:t>
      </w:r>
      <w:r w:rsidR="00331EFE">
        <w:rPr>
          <w:rFonts w:ascii="Verdana" w:hAnsi="Verdana"/>
          <w:sz w:val="20"/>
          <w:szCs w:val="20"/>
        </w:rPr>
        <w:t>s</w:t>
      </w:r>
      <w:r w:rsidR="007C1F02" w:rsidRPr="00A605E9">
        <w:rPr>
          <w:rFonts w:ascii="Verdana" w:hAnsi="Verdana"/>
          <w:sz w:val="20"/>
          <w:szCs w:val="20"/>
        </w:rPr>
        <w:t xml:space="preserve"> de terrain à la suite des pluies diluvienne</w:t>
      </w:r>
      <w:r w:rsidR="00331EFE">
        <w:rPr>
          <w:rFonts w:ascii="Verdana" w:hAnsi="Verdana"/>
          <w:sz w:val="20"/>
          <w:szCs w:val="20"/>
        </w:rPr>
        <w:t>s</w:t>
      </w:r>
      <w:r w:rsidR="007C1F02" w:rsidRPr="00A605E9">
        <w:rPr>
          <w:rFonts w:ascii="Verdana" w:hAnsi="Verdana"/>
          <w:sz w:val="20"/>
          <w:szCs w:val="20"/>
        </w:rPr>
        <w:t xml:space="preserve">, </w:t>
      </w:r>
      <w:r w:rsidR="005963B4" w:rsidRPr="00A605E9">
        <w:rPr>
          <w:rFonts w:ascii="Verdana" w:hAnsi="Verdana"/>
          <w:sz w:val="20"/>
          <w:szCs w:val="20"/>
        </w:rPr>
        <w:t xml:space="preserve">un atelier sur </w:t>
      </w:r>
      <w:r w:rsidR="009B1A7D" w:rsidRPr="00A605E9">
        <w:rPr>
          <w:rFonts w:ascii="Verdana" w:hAnsi="Verdana"/>
          <w:sz w:val="20"/>
          <w:szCs w:val="20"/>
        </w:rPr>
        <w:t>l</w:t>
      </w:r>
      <w:r w:rsidRPr="00A605E9">
        <w:rPr>
          <w:rFonts w:ascii="Verdana" w:hAnsi="Verdana"/>
          <w:sz w:val="20"/>
          <w:szCs w:val="20"/>
        </w:rPr>
        <w:t xml:space="preserve">a résilience urbaine </w:t>
      </w:r>
      <w:r w:rsidR="007C1F02" w:rsidRPr="00A605E9">
        <w:rPr>
          <w:rFonts w:ascii="Verdana" w:hAnsi="Verdana"/>
          <w:sz w:val="20"/>
          <w:szCs w:val="20"/>
        </w:rPr>
        <w:t>en collaboration avec UN Habitat a été organisé en octobre 2024. Cet atelier a permis de dégager les pistes pour les programmes futurs et améliorer l</w:t>
      </w:r>
      <w:r w:rsidR="0025268C">
        <w:rPr>
          <w:rFonts w:ascii="Verdana" w:hAnsi="Verdana"/>
          <w:sz w:val="20"/>
          <w:szCs w:val="20"/>
        </w:rPr>
        <w:t xml:space="preserve">es </w:t>
      </w:r>
      <w:r w:rsidR="007C1F02" w:rsidRPr="00A605E9">
        <w:rPr>
          <w:rFonts w:ascii="Verdana" w:hAnsi="Verdana"/>
          <w:sz w:val="20"/>
          <w:szCs w:val="20"/>
        </w:rPr>
        <w:t>échanges et les bonnes pratiques entre les Etats membre</w:t>
      </w:r>
      <w:r w:rsidR="0025268C">
        <w:rPr>
          <w:rFonts w:ascii="Verdana" w:hAnsi="Verdana"/>
          <w:sz w:val="20"/>
          <w:szCs w:val="20"/>
        </w:rPr>
        <w:t>s</w:t>
      </w:r>
      <w:r w:rsidR="007C1F02" w:rsidRPr="00A605E9">
        <w:rPr>
          <w:rFonts w:ascii="Verdana" w:hAnsi="Verdana"/>
          <w:sz w:val="20"/>
          <w:szCs w:val="20"/>
        </w:rPr>
        <w:t xml:space="preserve">.  </w:t>
      </w:r>
    </w:p>
    <w:p w14:paraId="0E469376" w14:textId="02AE92FF" w:rsidR="00E61C27" w:rsidRPr="00A605E9" w:rsidRDefault="00E61C27" w:rsidP="00E61C27">
      <w:pPr>
        <w:jc w:val="both"/>
        <w:rPr>
          <w:rFonts w:ascii="Verdana" w:hAnsi="Verdana"/>
          <w:sz w:val="20"/>
          <w:szCs w:val="20"/>
        </w:rPr>
      </w:pPr>
      <w:r w:rsidRPr="00A605E9">
        <w:rPr>
          <w:rFonts w:ascii="Verdana" w:hAnsi="Verdana"/>
          <w:sz w:val="20"/>
          <w:szCs w:val="20"/>
        </w:rPr>
        <w:t>D’autre part, dans le</w:t>
      </w:r>
      <w:r w:rsidR="005B3A54" w:rsidRPr="00A605E9">
        <w:rPr>
          <w:rFonts w:ascii="Verdana" w:hAnsi="Verdana"/>
          <w:sz w:val="20"/>
          <w:szCs w:val="20"/>
        </w:rPr>
        <w:t xml:space="preserve"> cadre du partenariat COI -</w:t>
      </w:r>
      <w:r w:rsidR="00C73A50">
        <w:rPr>
          <w:rFonts w:ascii="Verdana" w:hAnsi="Verdana"/>
          <w:sz w:val="20"/>
          <w:szCs w:val="20"/>
        </w:rPr>
        <w:t xml:space="preserve"> </w:t>
      </w:r>
      <w:proofErr w:type="spellStart"/>
      <w:r w:rsidR="005B3A54" w:rsidRPr="00A605E9">
        <w:rPr>
          <w:rFonts w:ascii="Verdana" w:hAnsi="Verdana"/>
          <w:sz w:val="20"/>
          <w:szCs w:val="20"/>
        </w:rPr>
        <w:t>R</w:t>
      </w:r>
      <w:r w:rsidR="00C73A50">
        <w:rPr>
          <w:rFonts w:ascii="Verdana" w:hAnsi="Verdana"/>
          <w:sz w:val="20"/>
          <w:szCs w:val="20"/>
        </w:rPr>
        <w:t>edR</w:t>
      </w:r>
      <w:proofErr w:type="spellEnd"/>
      <w:r w:rsidR="005B3A54" w:rsidRPr="00A605E9">
        <w:rPr>
          <w:rFonts w:ascii="Verdana" w:hAnsi="Verdana"/>
          <w:sz w:val="20"/>
          <w:szCs w:val="20"/>
        </w:rPr>
        <w:t xml:space="preserve"> </w:t>
      </w:r>
      <w:proofErr w:type="spellStart"/>
      <w:r w:rsidRPr="00A605E9">
        <w:rPr>
          <w:rFonts w:ascii="Verdana" w:hAnsi="Verdana"/>
          <w:sz w:val="20"/>
          <w:szCs w:val="20"/>
        </w:rPr>
        <w:t>Australia</w:t>
      </w:r>
      <w:proofErr w:type="spellEnd"/>
      <w:r w:rsidRPr="00A605E9">
        <w:rPr>
          <w:rFonts w:ascii="Verdana" w:hAnsi="Verdana"/>
          <w:sz w:val="20"/>
          <w:szCs w:val="20"/>
        </w:rPr>
        <w:t xml:space="preserve">, la COI </w:t>
      </w:r>
      <w:r w:rsidR="00574DE2">
        <w:rPr>
          <w:rFonts w:ascii="Verdana" w:hAnsi="Verdana"/>
          <w:sz w:val="20"/>
          <w:szCs w:val="20"/>
        </w:rPr>
        <w:t>a</w:t>
      </w:r>
      <w:r w:rsidRPr="00A605E9">
        <w:rPr>
          <w:rFonts w:ascii="Verdana" w:hAnsi="Verdana"/>
          <w:sz w:val="20"/>
          <w:szCs w:val="20"/>
        </w:rPr>
        <w:t xml:space="preserve"> bénéfici</w:t>
      </w:r>
      <w:r w:rsidR="00574DE2">
        <w:rPr>
          <w:rFonts w:ascii="Verdana" w:hAnsi="Verdana"/>
          <w:sz w:val="20"/>
          <w:szCs w:val="20"/>
        </w:rPr>
        <w:t>é</w:t>
      </w:r>
      <w:r w:rsidRPr="00A605E9">
        <w:rPr>
          <w:rFonts w:ascii="Verdana" w:hAnsi="Verdana"/>
          <w:sz w:val="20"/>
          <w:szCs w:val="20"/>
        </w:rPr>
        <w:t xml:space="preserve"> d’un expert technique dans le domaine. Le contrat de l’expert s’est achevé le 4 novembre</w:t>
      </w:r>
      <w:r w:rsidR="00574DE2">
        <w:rPr>
          <w:rFonts w:ascii="Verdana" w:hAnsi="Verdana"/>
          <w:sz w:val="20"/>
          <w:szCs w:val="20"/>
        </w:rPr>
        <w:t xml:space="preserve"> </w:t>
      </w:r>
      <w:r w:rsidR="00BE178B">
        <w:rPr>
          <w:rFonts w:ascii="Verdana" w:hAnsi="Verdana"/>
          <w:sz w:val="20"/>
          <w:szCs w:val="20"/>
        </w:rPr>
        <w:t>20</w:t>
      </w:r>
      <w:r w:rsidR="00574DE2">
        <w:rPr>
          <w:rFonts w:ascii="Verdana" w:hAnsi="Verdana"/>
          <w:sz w:val="20"/>
          <w:szCs w:val="20"/>
        </w:rPr>
        <w:t>24</w:t>
      </w:r>
      <w:r w:rsidRPr="00A605E9">
        <w:rPr>
          <w:rFonts w:ascii="Verdana" w:hAnsi="Verdana"/>
          <w:sz w:val="20"/>
          <w:szCs w:val="20"/>
        </w:rPr>
        <w:t xml:space="preserve">. Le rapport de l’expert est attendu d’ici la fin de l’année. </w:t>
      </w:r>
    </w:p>
    <w:p w14:paraId="3C34E057" w14:textId="5E9B56F7" w:rsidR="005B3A54" w:rsidRDefault="00E61C27" w:rsidP="00E57F99">
      <w:pPr>
        <w:jc w:val="both"/>
        <w:rPr>
          <w:rFonts w:ascii="Verdana" w:hAnsi="Verdana"/>
          <w:sz w:val="20"/>
          <w:szCs w:val="20"/>
        </w:rPr>
      </w:pPr>
      <w:r w:rsidRPr="00A605E9">
        <w:rPr>
          <w:rFonts w:ascii="Verdana" w:hAnsi="Verdana"/>
          <w:sz w:val="20"/>
          <w:szCs w:val="20"/>
        </w:rPr>
        <w:t xml:space="preserve">Une collaboration avec la Fédération </w:t>
      </w:r>
      <w:r w:rsidR="00574DE2">
        <w:rPr>
          <w:rFonts w:ascii="Verdana" w:hAnsi="Verdana"/>
          <w:sz w:val="20"/>
          <w:szCs w:val="20"/>
        </w:rPr>
        <w:t>I</w:t>
      </w:r>
      <w:r w:rsidRPr="00A605E9">
        <w:rPr>
          <w:rFonts w:ascii="Verdana" w:hAnsi="Verdana"/>
          <w:sz w:val="20"/>
          <w:szCs w:val="20"/>
        </w:rPr>
        <w:t xml:space="preserve">nternationale de la </w:t>
      </w:r>
      <w:r w:rsidR="00574DE2">
        <w:rPr>
          <w:rFonts w:ascii="Verdana" w:hAnsi="Verdana"/>
          <w:sz w:val="20"/>
          <w:szCs w:val="20"/>
        </w:rPr>
        <w:t>C</w:t>
      </w:r>
      <w:r w:rsidRPr="00A605E9">
        <w:rPr>
          <w:rFonts w:ascii="Verdana" w:hAnsi="Verdana"/>
          <w:sz w:val="20"/>
          <w:szCs w:val="20"/>
        </w:rPr>
        <w:t xml:space="preserve">roix </w:t>
      </w:r>
      <w:r w:rsidR="00574DE2">
        <w:rPr>
          <w:rFonts w:ascii="Verdana" w:hAnsi="Verdana"/>
          <w:sz w:val="20"/>
          <w:szCs w:val="20"/>
        </w:rPr>
        <w:t>R</w:t>
      </w:r>
      <w:r w:rsidRPr="00A605E9">
        <w:rPr>
          <w:rFonts w:ascii="Verdana" w:hAnsi="Verdana"/>
          <w:sz w:val="20"/>
          <w:szCs w:val="20"/>
        </w:rPr>
        <w:t xml:space="preserve">ouge et </w:t>
      </w:r>
      <w:r w:rsidR="00574DE2">
        <w:rPr>
          <w:rFonts w:ascii="Verdana" w:hAnsi="Verdana"/>
          <w:sz w:val="20"/>
          <w:szCs w:val="20"/>
        </w:rPr>
        <w:t>Cr</w:t>
      </w:r>
      <w:r w:rsidRPr="00A605E9">
        <w:rPr>
          <w:rFonts w:ascii="Verdana" w:hAnsi="Verdana"/>
          <w:sz w:val="20"/>
          <w:szCs w:val="20"/>
        </w:rPr>
        <w:t xml:space="preserve">oissant </w:t>
      </w:r>
      <w:r w:rsidR="00574DE2">
        <w:rPr>
          <w:rFonts w:ascii="Verdana" w:hAnsi="Verdana"/>
          <w:sz w:val="20"/>
          <w:szCs w:val="20"/>
        </w:rPr>
        <w:t>R</w:t>
      </w:r>
      <w:r w:rsidRPr="00A605E9">
        <w:rPr>
          <w:rFonts w:ascii="Verdana" w:hAnsi="Verdana"/>
          <w:sz w:val="20"/>
          <w:szCs w:val="20"/>
        </w:rPr>
        <w:t xml:space="preserve">ouge est envisagée. A </w:t>
      </w:r>
      <w:r w:rsidR="00E57F99" w:rsidRPr="00A605E9">
        <w:rPr>
          <w:rFonts w:ascii="Verdana" w:hAnsi="Verdana"/>
          <w:sz w:val="20"/>
          <w:szCs w:val="20"/>
        </w:rPr>
        <w:t>la suite</w:t>
      </w:r>
      <w:r w:rsidRPr="00A605E9">
        <w:rPr>
          <w:rFonts w:ascii="Verdana" w:hAnsi="Verdana"/>
          <w:sz w:val="20"/>
          <w:szCs w:val="20"/>
        </w:rPr>
        <w:t xml:space="preserve"> des échanges</w:t>
      </w:r>
      <w:r w:rsidR="00574DE2">
        <w:rPr>
          <w:rFonts w:ascii="Verdana" w:hAnsi="Verdana"/>
          <w:sz w:val="20"/>
          <w:szCs w:val="20"/>
        </w:rPr>
        <w:t>,</w:t>
      </w:r>
      <w:r w:rsidRPr="00A605E9">
        <w:rPr>
          <w:rFonts w:ascii="Verdana" w:hAnsi="Verdana"/>
          <w:sz w:val="20"/>
          <w:szCs w:val="20"/>
        </w:rPr>
        <w:t xml:space="preserve"> un projet de </w:t>
      </w:r>
      <w:proofErr w:type="spellStart"/>
      <w:r w:rsidRPr="00A605E9">
        <w:rPr>
          <w:rFonts w:ascii="Verdana" w:hAnsi="Verdana"/>
          <w:sz w:val="20"/>
          <w:szCs w:val="20"/>
        </w:rPr>
        <w:t>MoU</w:t>
      </w:r>
      <w:proofErr w:type="spellEnd"/>
      <w:r w:rsidRPr="00A605E9">
        <w:rPr>
          <w:rFonts w:ascii="Verdana" w:hAnsi="Verdana"/>
          <w:sz w:val="20"/>
          <w:szCs w:val="20"/>
        </w:rPr>
        <w:t xml:space="preserve"> est proposé</w:t>
      </w:r>
      <w:r w:rsidR="00E57F99" w:rsidRPr="00A605E9">
        <w:rPr>
          <w:rFonts w:ascii="Verdana" w:hAnsi="Verdana"/>
          <w:sz w:val="20"/>
          <w:szCs w:val="20"/>
        </w:rPr>
        <w:t xml:space="preserve">. Ce </w:t>
      </w:r>
      <w:proofErr w:type="spellStart"/>
      <w:r w:rsidR="00E57F99" w:rsidRPr="00A605E9">
        <w:rPr>
          <w:rFonts w:ascii="Verdana" w:hAnsi="Verdana"/>
          <w:sz w:val="20"/>
          <w:szCs w:val="20"/>
        </w:rPr>
        <w:t>MoU</w:t>
      </w:r>
      <w:proofErr w:type="spellEnd"/>
      <w:r w:rsidR="00E57F99" w:rsidRPr="00A605E9">
        <w:rPr>
          <w:rFonts w:ascii="Verdana" w:hAnsi="Verdana"/>
          <w:sz w:val="20"/>
          <w:szCs w:val="20"/>
        </w:rPr>
        <w:t xml:space="preserve"> prend en compte la </w:t>
      </w:r>
      <w:r w:rsidR="005B3A54" w:rsidRPr="00A605E9">
        <w:rPr>
          <w:rFonts w:ascii="Verdana" w:hAnsi="Verdana"/>
          <w:sz w:val="20"/>
          <w:szCs w:val="20"/>
        </w:rPr>
        <w:t xml:space="preserve">collaboration existante </w:t>
      </w:r>
      <w:r w:rsidR="00574DE2">
        <w:rPr>
          <w:rFonts w:ascii="Verdana" w:hAnsi="Verdana"/>
          <w:sz w:val="20"/>
          <w:szCs w:val="20"/>
        </w:rPr>
        <w:t>entre la</w:t>
      </w:r>
      <w:r w:rsidR="005B3A54" w:rsidRPr="00A605E9">
        <w:rPr>
          <w:rFonts w:ascii="Verdana" w:hAnsi="Verdana"/>
          <w:sz w:val="20"/>
          <w:szCs w:val="20"/>
        </w:rPr>
        <w:t xml:space="preserve"> COI </w:t>
      </w:r>
      <w:r w:rsidR="00574DE2">
        <w:rPr>
          <w:rFonts w:ascii="Verdana" w:hAnsi="Verdana"/>
          <w:sz w:val="20"/>
          <w:szCs w:val="20"/>
        </w:rPr>
        <w:t>et</w:t>
      </w:r>
      <w:r w:rsidR="005B3A54" w:rsidRPr="00A605E9">
        <w:rPr>
          <w:rFonts w:ascii="Verdana" w:hAnsi="Verdana"/>
          <w:sz w:val="20"/>
          <w:szCs w:val="20"/>
        </w:rPr>
        <w:t xml:space="preserve"> la PIROI comme rappelé lors du Comité des OPL 01/2024. (Annexe :1 projet de </w:t>
      </w:r>
      <w:proofErr w:type="spellStart"/>
      <w:r w:rsidR="005B3A54" w:rsidRPr="00A605E9">
        <w:rPr>
          <w:rFonts w:ascii="Verdana" w:hAnsi="Verdana"/>
          <w:sz w:val="20"/>
          <w:szCs w:val="20"/>
        </w:rPr>
        <w:t>MoU</w:t>
      </w:r>
      <w:proofErr w:type="spellEnd"/>
      <w:r w:rsidR="005B3A54" w:rsidRPr="00A605E9">
        <w:rPr>
          <w:rFonts w:ascii="Verdana" w:hAnsi="Verdana"/>
          <w:sz w:val="20"/>
          <w:szCs w:val="20"/>
        </w:rPr>
        <w:t xml:space="preserve"> avec la FICR)</w:t>
      </w:r>
      <w:r w:rsidR="00E57F99" w:rsidRPr="00A605E9">
        <w:rPr>
          <w:rFonts w:ascii="Verdana" w:hAnsi="Verdana"/>
          <w:sz w:val="20"/>
          <w:szCs w:val="20"/>
        </w:rPr>
        <w:t xml:space="preserve">. L’accord des </w:t>
      </w:r>
      <w:r w:rsidR="00574DE2">
        <w:rPr>
          <w:rFonts w:ascii="Verdana" w:hAnsi="Verdana"/>
          <w:sz w:val="20"/>
          <w:szCs w:val="20"/>
        </w:rPr>
        <w:t>E</w:t>
      </w:r>
      <w:r w:rsidR="00E57F99" w:rsidRPr="00A605E9">
        <w:rPr>
          <w:rFonts w:ascii="Verdana" w:hAnsi="Verdana"/>
          <w:sz w:val="20"/>
          <w:szCs w:val="20"/>
        </w:rPr>
        <w:t>tats membre</w:t>
      </w:r>
      <w:r w:rsidR="00574DE2">
        <w:rPr>
          <w:rFonts w:ascii="Verdana" w:hAnsi="Verdana"/>
          <w:sz w:val="20"/>
          <w:szCs w:val="20"/>
        </w:rPr>
        <w:t>s</w:t>
      </w:r>
      <w:r w:rsidR="00E57F99" w:rsidRPr="00A605E9">
        <w:rPr>
          <w:rFonts w:ascii="Verdana" w:hAnsi="Verdana"/>
          <w:sz w:val="20"/>
          <w:szCs w:val="20"/>
        </w:rPr>
        <w:t xml:space="preserve"> est recherch</w:t>
      </w:r>
      <w:r w:rsidR="00574DE2">
        <w:rPr>
          <w:rFonts w:ascii="Verdana" w:hAnsi="Verdana"/>
          <w:sz w:val="20"/>
          <w:szCs w:val="20"/>
        </w:rPr>
        <w:t>é</w:t>
      </w:r>
      <w:r w:rsidR="00E57F99" w:rsidRPr="00A605E9">
        <w:rPr>
          <w:rFonts w:ascii="Verdana" w:hAnsi="Verdana"/>
          <w:sz w:val="20"/>
          <w:szCs w:val="20"/>
        </w:rPr>
        <w:t xml:space="preserve"> pour finaliser la signature de ce </w:t>
      </w:r>
      <w:proofErr w:type="spellStart"/>
      <w:r w:rsidR="00E57F99" w:rsidRPr="00A605E9">
        <w:rPr>
          <w:rFonts w:ascii="Verdana" w:hAnsi="Verdana"/>
          <w:sz w:val="20"/>
          <w:szCs w:val="20"/>
        </w:rPr>
        <w:t>MoU</w:t>
      </w:r>
      <w:proofErr w:type="spellEnd"/>
      <w:r w:rsidR="00E57F99" w:rsidRPr="00A605E9">
        <w:rPr>
          <w:rFonts w:ascii="Verdana" w:hAnsi="Verdana"/>
          <w:sz w:val="20"/>
          <w:szCs w:val="20"/>
        </w:rPr>
        <w:t xml:space="preserve"> </w:t>
      </w:r>
      <w:r w:rsidR="0054347B">
        <w:rPr>
          <w:rFonts w:ascii="Verdana" w:hAnsi="Verdana"/>
          <w:sz w:val="20"/>
          <w:szCs w:val="20"/>
        </w:rPr>
        <w:t>afin de</w:t>
      </w:r>
      <w:r w:rsidR="00E57F99" w:rsidRPr="00A605E9">
        <w:rPr>
          <w:rFonts w:ascii="Verdana" w:hAnsi="Verdana"/>
          <w:sz w:val="20"/>
          <w:szCs w:val="20"/>
        </w:rPr>
        <w:t xml:space="preserve"> permettre au </w:t>
      </w:r>
      <w:r w:rsidR="0054347B">
        <w:rPr>
          <w:rFonts w:ascii="Verdana" w:hAnsi="Verdana"/>
          <w:sz w:val="20"/>
          <w:szCs w:val="20"/>
        </w:rPr>
        <w:t>S</w:t>
      </w:r>
      <w:r w:rsidR="00E57F99" w:rsidRPr="00A605E9">
        <w:rPr>
          <w:rFonts w:ascii="Verdana" w:hAnsi="Verdana"/>
          <w:sz w:val="20"/>
          <w:szCs w:val="20"/>
        </w:rPr>
        <w:t>ecrétariat général de travailler avec la FICR</w:t>
      </w:r>
      <w:r w:rsidR="0054347B">
        <w:rPr>
          <w:rFonts w:ascii="Verdana" w:hAnsi="Verdana"/>
          <w:sz w:val="20"/>
          <w:szCs w:val="20"/>
        </w:rPr>
        <w:t xml:space="preserve">, </w:t>
      </w:r>
      <w:r w:rsidR="00E57F99" w:rsidRPr="00A605E9">
        <w:rPr>
          <w:rFonts w:ascii="Verdana" w:hAnsi="Verdana"/>
          <w:sz w:val="20"/>
          <w:szCs w:val="20"/>
        </w:rPr>
        <w:t xml:space="preserve">notamment sur la question de droit de catastrophes.  </w:t>
      </w:r>
    </w:p>
    <w:p w14:paraId="04825634" w14:textId="77777777" w:rsidR="0054347B" w:rsidRPr="00A605E9" w:rsidRDefault="0054347B" w:rsidP="00E57F99">
      <w:pPr>
        <w:jc w:val="both"/>
        <w:rPr>
          <w:rFonts w:ascii="Verdana" w:hAnsi="Verdana"/>
          <w:sz w:val="20"/>
          <w:szCs w:val="20"/>
        </w:rPr>
      </w:pPr>
    </w:p>
    <w:p w14:paraId="010590A5" w14:textId="321414A7" w:rsidR="005B253D" w:rsidRDefault="005B253D" w:rsidP="005B3A54">
      <w:pPr>
        <w:pStyle w:val="Sous-partie2"/>
      </w:pPr>
      <w:r>
        <w:t>Collaboration avec les Agences de Nations</w:t>
      </w:r>
      <w:r w:rsidR="00C73A50">
        <w:t xml:space="preserve"> u</w:t>
      </w:r>
      <w:r>
        <w:t>nie</w:t>
      </w:r>
      <w:r w:rsidR="00B61AA6">
        <w:t>s</w:t>
      </w:r>
      <w:r>
        <w:t xml:space="preserve"> </w:t>
      </w:r>
    </w:p>
    <w:p w14:paraId="5F4C5B23" w14:textId="77777777" w:rsidR="005B253D" w:rsidRDefault="005B253D" w:rsidP="005B253D">
      <w:pPr>
        <w:pStyle w:val="Sous-partie2"/>
        <w:numPr>
          <w:ilvl w:val="0"/>
          <w:numId w:val="0"/>
        </w:numPr>
        <w:ind w:left="1080"/>
      </w:pPr>
    </w:p>
    <w:p w14:paraId="382CD455" w14:textId="53785FBB" w:rsidR="005B3A54" w:rsidRDefault="007C644A" w:rsidP="005B253D">
      <w:pPr>
        <w:pStyle w:val="Sous-partie2"/>
        <w:numPr>
          <w:ilvl w:val="0"/>
          <w:numId w:val="0"/>
        </w:numPr>
        <w:ind w:left="1080"/>
      </w:pPr>
      <w:r>
        <w:t xml:space="preserve">2.4.1 </w:t>
      </w:r>
      <w:r w:rsidR="005B253D">
        <w:t>PNUD</w:t>
      </w:r>
    </w:p>
    <w:p w14:paraId="545E65B9" w14:textId="280EFC60" w:rsidR="005B253D" w:rsidRPr="00A605E9" w:rsidRDefault="005B253D" w:rsidP="005B253D">
      <w:pPr>
        <w:jc w:val="both"/>
        <w:rPr>
          <w:rFonts w:ascii="Verdana" w:eastAsia="+mn-ea" w:hAnsi="Verdana" w:cstheme="minorHAnsi"/>
          <w:kern w:val="24"/>
          <w:sz w:val="20"/>
          <w:szCs w:val="20"/>
        </w:rPr>
      </w:pPr>
      <w:r w:rsidRPr="00A605E9">
        <w:rPr>
          <w:rFonts w:ascii="Verdana" w:eastAsia="+mn-ea" w:hAnsi="Verdana" w:cstheme="minorHAnsi"/>
          <w:kern w:val="24"/>
          <w:sz w:val="20"/>
          <w:szCs w:val="20"/>
        </w:rPr>
        <w:t>Le Secr</w:t>
      </w:r>
      <w:r w:rsidR="00C73A50">
        <w:rPr>
          <w:rFonts w:ascii="Verdana" w:eastAsia="+mn-ea" w:hAnsi="Verdana" w:cstheme="minorHAnsi"/>
          <w:kern w:val="24"/>
          <w:sz w:val="20"/>
          <w:szCs w:val="20"/>
        </w:rPr>
        <w:t>é</w:t>
      </w:r>
      <w:r w:rsidRPr="00A605E9">
        <w:rPr>
          <w:rFonts w:ascii="Verdana" w:eastAsia="+mn-ea" w:hAnsi="Verdana" w:cstheme="minorHAnsi"/>
          <w:kern w:val="24"/>
          <w:sz w:val="20"/>
          <w:szCs w:val="20"/>
        </w:rPr>
        <w:t xml:space="preserve">tariat collabore avec le PNUD sur deux programmes dans le domaine de l’environnement : </w:t>
      </w:r>
    </w:p>
    <w:p w14:paraId="3C0B58CD" w14:textId="61F4AB1E" w:rsidR="00221DB9" w:rsidRPr="00A605E9" w:rsidRDefault="005B253D" w:rsidP="00221DB9">
      <w:pPr>
        <w:pStyle w:val="Paragraphedeliste"/>
        <w:numPr>
          <w:ilvl w:val="0"/>
          <w:numId w:val="13"/>
        </w:numPr>
        <w:jc w:val="both"/>
        <w:rPr>
          <w:rFonts w:ascii="Verdana" w:eastAsia="+mn-ea" w:hAnsi="Verdana" w:cstheme="minorHAnsi"/>
          <w:kern w:val="24"/>
          <w:sz w:val="20"/>
          <w:szCs w:val="20"/>
        </w:rPr>
      </w:pPr>
      <w:r w:rsidRPr="00A605E9">
        <w:rPr>
          <w:rFonts w:ascii="Verdana" w:eastAsia="+mn-ea" w:hAnsi="Verdana" w:cstheme="minorHAnsi"/>
          <w:kern w:val="24"/>
          <w:sz w:val="20"/>
          <w:szCs w:val="20"/>
        </w:rPr>
        <w:t xml:space="preserve">Le projet ISLANDS portant sur les déchets chimiques en synergie avec le projet </w:t>
      </w:r>
      <w:proofErr w:type="spellStart"/>
      <w:r w:rsidRPr="00A605E9">
        <w:rPr>
          <w:rFonts w:ascii="Verdana" w:eastAsia="+mn-ea" w:hAnsi="Verdana" w:cstheme="minorHAnsi"/>
          <w:kern w:val="24"/>
          <w:sz w:val="20"/>
          <w:szCs w:val="20"/>
        </w:rPr>
        <w:t>ExPLOI</w:t>
      </w:r>
      <w:proofErr w:type="spellEnd"/>
      <w:r w:rsidRPr="00A605E9">
        <w:rPr>
          <w:rFonts w:ascii="Verdana" w:eastAsia="+mn-ea" w:hAnsi="Verdana" w:cstheme="minorHAnsi"/>
          <w:kern w:val="24"/>
          <w:sz w:val="20"/>
          <w:szCs w:val="20"/>
        </w:rPr>
        <w:t xml:space="preserve">. La coordination globale est </w:t>
      </w:r>
      <w:r w:rsidR="007C644A" w:rsidRPr="00A605E9">
        <w:rPr>
          <w:rFonts w:ascii="Verdana" w:eastAsia="+mn-ea" w:hAnsi="Verdana" w:cstheme="minorHAnsi"/>
          <w:kern w:val="24"/>
          <w:sz w:val="20"/>
          <w:szCs w:val="20"/>
        </w:rPr>
        <w:t xml:space="preserve">assurée </w:t>
      </w:r>
      <w:r w:rsidRPr="00A605E9">
        <w:rPr>
          <w:rFonts w:ascii="Verdana" w:eastAsia="+mn-ea" w:hAnsi="Verdana" w:cstheme="minorHAnsi"/>
          <w:kern w:val="24"/>
          <w:sz w:val="20"/>
          <w:szCs w:val="20"/>
        </w:rPr>
        <w:t>par le PNUD avec un</w:t>
      </w:r>
      <w:r w:rsidR="0000327E">
        <w:rPr>
          <w:rFonts w:ascii="Verdana" w:eastAsia="+mn-ea" w:hAnsi="Verdana" w:cstheme="minorHAnsi"/>
          <w:kern w:val="24"/>
          <w:sz w:val="20"/>
          <w:szCs w:val="20"/>
        </w:rPr>
        <w:t>e</w:t>
      </w:r>
      <w:r w:rsidRPr="00A605E9">
        <w:rPr>
          <w:rFonts w:ascii="Verdana" w:eastAsia="+mn-ea" w:hAnsi="Verdana" w:cstheme="minorHAnsi"/>
          <w:kern w:val="24"/>
          <w:sz w:val="20"/>
          <w:szCs w:val="20"/>
        </w:rPr>
        <w:t xml:space="preserve"> </w:t>
      </w:r>
      <w:r w:rsidR="007C644A" w:rsidRPr="00A605E9">
        <w:rPr>
          <w:rFonts w:ascii="Verdana" w:eastAsia="+mn-ea" w:hAnsi="Verdana" w:cstheme="minorHAnsi"/>
          <w:kern w:val="24"/>
          <w:sz w:val="20"/>
          <w:szCs w:val="20"/>
        </w:rPr>
        <w:t>assistance technique basé</w:t>
      </w:r>
      <w:r w:rsidR="00C73A50">
        <w:rPr>
          <w:rFonts w:ascii="Verdana" w:eastAsia="+mn-ea" w:hAnsi="Verdana" w:cstheme="minorHAnsi"/>
          <w:kern w:val="24"/>
          <w:sz w:val="20"/>
          <w:szCs w:val="20"/>
        </w:rPr>
        <w:t>e</w:t>
      </w:r>
      <w:r w:rsidR="007C644A" w:rsidRPr="00A605E9">
        <w:rPr>
          <w:rFonts w:ascii="Verdana" w:eastAsia="+mn-ea" w:hAnsi="Verdana" w:cstheme="minorHAnsi"/>
          <w:kern w:val="24"/>
          <w:sz w:val="20"/>
          <w:szCs w:val="20"/>
        </w:rPr>
        <w:t xml:space="preserve"> au</w:t>
      </w:r>
      <w:r w:rsidR="0000327E">
        <w:rPr>
          <w:rFonts w:ascii="Verdana" w:eastAsia="+mn-ea" w:hAnsi="Verdana" w:cstheme="minorHAnsi"/>
          <w:kern w:val="24"/>
          <w:sz w:val="20"/>
          <w:szCs w:val="20"/>
        </w:rPr>
        <w:t>x</w:t>
      </w:r>
      <w:r w:rsidR="007C644A" w:rsidRPr="00A605E9">
        <w:rPr>
          <w:rFonts w:ascii="Verdana" w:eastAsia="+mn-ea" w:hAnsi="Verdana" w:cstheme="minorHAnsi"/>
          <w:kern w:val="24"/>
          <w:sz w:val="20"/>
          <w:szCs w:val="20"/>
        </w:rPr>
        <w:t xml:space="preserve"> Comores. La COI aura la responsabilité de coordonner quelques activités régionales</w:t>
      </w:r>
      <w:r w:rsidR="0000327E">
        <w:rPr>
          <w:rFonts w:ascii="Verdana" w:eastAsia="+mn-ea" w:hAnsi="Verdana" w:cstheme="minorHAnsi"/>
          <w:kern w:val="24"/>
          <w:sz w:val="20"/>
          <w:szCs w:val="20"/>
        </w:rPr>
        <w:t>,</w:t>
      </w:r>
      <w:r w:rsidR="007C644A" w:rsidRPr="00A605E9">
        <w:rPr>
          <w:rFonts w:ascii="Verdana" w:eastAsia="+mn-ea" w:hAnsi="Verdana" w:cstheme="minorHAnsi"/>
          <w:kern w:val="24"/>
          <w:sz w:val="20"/>
          <w:szCs w:val="20"/>
        </w:rPr>
        <w:t xml:space="preserve"> notamment sur la formation, la mise en place d’une plateforme pour la gestion des connaissances (</w:t>
      </w:r>
      <w:r w:rsidR="007C644A" w:rsidRPr="00A605E9">
        <w:rPr>
          <w:rFonts w:ascii="Verdana" w:eastAsia="+mn-ea" w:hAnsi="Verdana" w:cstheme="minorHAnsi"/>
          <w:i/>
          <w:iCs/>
          <w:kern w:val="24"/>
          <w:sz w:val="20"/>
          <w:szCs w:val="20"/>
        </w:rPr>
        <w:t>Suivi assur</w:t>
      </w:r>
      <w:r w:rsidR="0000327E">
        <w:rPr>
          <w:rFonts w:ascii="Verdana" w:eastAsia="+mn-ea" w:hAnsi="Verdana" w:cstheme="minorHAnsi"/>
          <w:i/>
          <w:iCs/>
          <w:kern w:val="24"/>
          <w:sz w:val="20"/>
          <w:szCs w:val="20"/>
        </w:rPr>
        <w:t>é</w:t>
      </w:r>
      <w:r w:rsidR="007C644A" w:rsidRPr="00A605E9">
        <w:rPr>
          <w:rFonts w:ascii="Verdana" w:eastAsia="+mn-ea" w:hAnsi="Verdana" w:cstheme="minorHAnsi"/>
          <w:i/>
          <w:iCs/>
          <w:kern w:val="24"/>
          <w:sz w:val="20"/>
          <w:szCs w:val="20"/>
        </w:rPr>
        <w:t xml:space="preserve"> par le DI 1</w:t>
      </w:r>
      <w:r w:rsidR="007C644A" w:rsidRPr="00A605E9">
        <w:rPr>
          <w:rFonts w:ascii="Verdana" w:eastAsia="+mn-ea" w:hAnsi="Verdana" w:cstheme="minorHAnsi"/>
          <w:kern w:val="24"/>
          <w:sz w:val="20"/>
          <w:szCs w:val="20"/>
        </w:rPr>
        <w:t>)</w:t>
      </w:r>
      <w:r w:rsidR="0000327E">
        <w:rPr>
          <w:rFonts w:ascii="Verdana" w:eastAsia="+mn-ea" w:hAnsi="Verdana" w:cstheme="minorHAnsi"/>
          <w:kern w:val="24"/>
          <w:sz w:val="20"/>
          <w:szCs w:val="20"/>
        </w:rPr>
        <w:t>.</w:t>
      </w:r>
    </w:p>
    <w:p w14:paraId="1A5A7F3A" w14:textId="77777777" w:rsidR="00221DB9" w:rsidRPr="00A605E9" w:rsidRDefault="00221DB9" w:rsidP="00221DB9">
      <w:pPr>
        <w:pStyle w:val="Paragraphedeliste"/>
        <w:rPr>
          <w:rFonts w:ascii="Verdana" w:eastAsia="+mn-ea" w:hAnsi="Verdana" w:cstheme="minorHAnsi"/>
          <w:kern w:val="24"/>
          <w:sz w:val="20"/>
          <w:szCs w:val="20"/>
        </w:rPr>
      </w:pPr>
    </w:p>
    <w:p w14:paraId="0E37751F" w14:textId="77777777" w:rsidR="006E50D1" w:rsidRDefault="007C644A" w:rsidP="006E50D1">
      <w:pPr>
        <w:pStyle w:val="Paragraphedeliste"/>
        <w:numPr>
          <w:ilvl w:val="0"/>
          <w:numId w:val="13"/>
        </w:numPr>
        <w:spacing w:after="0" w:line="240" w:lineRule="auto"/>
        <w:jc w:val="both"/>
        <w:rPr>
          <w:rFonts w:ascii="Verdana" w:eastAsia="Times New Roman" w:hAnsi="Verdana" w:cstheme="minorHAnsi"/>
          <w:sz w:val="20"/>
          <w:szCs w:val="20"/>
        </w:rPr>
      </w:pPr>
      <w:r w:rsidRPr="00C73A50">
        <w:rPr>
          <w:rFonts w:ascii="Verdana" w:eastAsia="+mn-ea" w:hAnsi="Verdana" w:cstheme="minorHAnsi"/>
          <w:kern w:val="24"/>
          <w:sz w:val="20"/>
          <w:szCs w:val="20"/>
        </w:rPr>
        <w:t>L</w:t>
      </w:r>
      <w:r w:rsidR="005B253D" w:rsidRPr="00C73A50">
        <w:rPr>
          <w:rFonts w:ascii="Verdana" w:eastAsia="+mn-ea" w:hAnsi="Verdana" w:cstheme="minorHAnsi"/>
          <w:kern w:val="24"/>
          <w:sz w:val="20"/>
          <w:szCs w:val="20"/>
        </w:rPr>
        <w:t xml:space="preserve">e projet « GEF 8 Blue and Green ISLANDS Integrated Program (BGI IP) and </w:t>
      </w:r>
      <w:proofErr w:type="spellStart"/>
      <w:r w:rsidR="005B253D" w:rsidRPr="00C73A50">
        <w:rPr>
          <w:rFonts w:ascii="Verdana" w:eastAsia="+mn-ea" w:hAnsi="Verdana" w:cstheme="minorHAnsi"/>
          <w:kern w:val="24"/>
          <w:sz w:val="20"/>
          <w:szCs w:val="20"/>
        </w:rPr>
        <w:t>it</w:t>
      </w:r>
      <w:r w:rsidR="0000327E" w:rsidRPr="00C73A50">
        <w:rPr>
          <w:rFonts w:ascii="Verdana" w:eastAsia="+mn-ea" w:hAnsi="Verdana" w:cstheme="minorHAnsi"/>
          <w:kern w:val="24"/>
          <w:sz w:val="20"/>
          <w:szCs w:val="20"/>
        </w:rPr>
        <w:t>’</w:t>
      </w:r>
      <w:r w:rsidR="005B253D" w:rsidRPr="00C73A50">
        <w:rPr>
          <w:rFonts w:ascii="Verdana" w:eastAsia="+mn-ea" w:hAnsi="Verdana" w:cstheme="minorHAnsi"/>
          <w:kern w:val="24"/>
          <w:sz w:val="20"/>
          <w:szCs w:val="20"/>
        </w:rPr>
        <w:t>s</w:t>
      </w:r>
      <w:proofErr w:type="spellEnd"/>
      <w:r w:rsidR="005B253D" w:rsidRPr="00C73A50">
        <w:rPr>
          <w:rFonts w:ascii="Verdana" w:eastAsia="+mn-ea" w:hAnsi="Verdana" w:cstheme="minorHAnsi"/>
          <w:kern w:val="24"/>
          <w:sz w:val="20"/>
          <w:szCs w:val="20"/>
        </w:rPr>
        <w:t xml:space="preserve"> Global Coordination Project (GCP)” dans le cadre d’appui aux petits </w:t>
      </w:r>
      <w:r w:rsidR="0000327E" w:rsidRPr="00C73A50">
        <w:rPr>
          <w:rFonts w:ascii="Verdana" w:eastAsia="+mn-ea" w:hAnsi="Verdana" w:cstheme="minorHAnsi"/>
          <w:kern w:val="24"/>
          <w:sz w:val="20"/>
          <w:szCs w:val="20"/>
        </w:rPr>
        <w:t>E</w:t>
      </w:r>
      <w:r w:rsidR="005B253D" w:rsidRPr="00C73A50">
        <w:rPr>
          <w:rFonts w:ascii="Verdana" w:eastAsia="+mn-ea" w:hAnsi="Verdana" w:cstheme="minorHAnsi"/>
          <w:kern w:val="24"/>
          <w:sz w:val="20"/>
          <w:szCs w:val="20"/>
        </w:rPr>
        <w:t xml:space="preserve">tats insulaires en développement. </w:t>
      </w:r>
      <w:r w:rsidRPr="00C73A50">
        <w:rPr>
          <w:rFonts w:ascii="Verdana" w:eastAsia="+mn-ea" w:hAnsi="Verdana" w:cstheme="minorHAnsi"/>
          <w:kern w:val="24"/>
          <w:sz w:val="20"/>
          <w:szCs w:val="20"/>
        </w:rPr>
        <w:t xml:space="preserve">Le projet est financé par le </w:t>
      </w:r>
      <w:r w:rsidR="0000327E" w:rsidRPr="00C73A50">
        <w:rPr>
          <w:rFonts w:ascii="Verdana" w:eastAsia="+mn-ea" w:hAnsi="Verdana" w:cstheme="minorHAnsi"/>
          <w:kern w:val="24"/>
          <w:sz w:val="20"/>
          <w:szCs w:val="20"/>
        </w:rPr>
        <w:t>F</w:t>
      </w:r>
      <w:r w:rsidRPr="00C73A50">
        <w:rPr>
          <w:rFonts w:ascii="Verdana" w:eastAsia="+mn-ea" w:hAnsi="Verdana" w:cstheme="minorHAnsi"/>
          <w:kern w:val="24"/>
          <w:sz w:val="20"/>
          <w:szCs w:val="20"/>
        </w:rPr>
        <w:t>ond</w:t>
      </w:r>
      <w:r w:rsidR="00C73A50" w:rsidRPr="00C73A50">
        <w:rPr>
          <w:rFonts w:ascii="Verdana" w:eastAsia="+mn-ea" w:hAnsi="Verdana" w:cstheme="minorHAnsi"/>
          <w:kern w:val="24"/>
          <w:sz w:val="20"/>
          <w:szCs w:val="20"/>
        </w:rPr>
        <w:t>s</w:t>
      </w:r>
      <w:r w:rsidRPr="00C73A50">
        <w:rPr>
          <w:rFonts w:ascii="Verdana" w:eastAsia="+mn-ea" w:hAnsi="Verdana" w:cstheme="minorHAnsi"/>
          <w:kern w:val="24"/>
          <w:sz w:val="20"/>
          <w:szCs w:val="20"/>
        </w:rPr>
        <w:t xml:space="preserve"> </w:t>
      </w:r>
      <w:r w:rsidR="0000327E" w:rsidRPr="00C73A50">
        <w:rPr>
          <w:rFonts w:ascii="Verdana" w:eastAsia="+mn-ea" w:hAnsi="Verdana" w:cstheme="minorHAnsi"/>
          <w:kern w:val="24"/>
          <w:sz w:val="20"/>
          <w:szCs w:val="20"/>
        </w:rPr>
        <w:t>M</w:t>
      </w:r>
      <w:r w:rsidRPr="00C73A50">
        <w:rPr>
          <w:rFonts w:ascii="Verdana" w:eastAsia="+mn-ea" w:hAnsi="Verdana" w:cstheme="minorHAnsi"/>
          <w:kern w:val="24"/>
          <w:sz w:val="20"/>
          <w:szCs w:val="20"/>
        </w:rPr>
        <w:t>ondial pour l’</w:t>
      </w:r>
      <w:r w:rsidR="0000327E" w:rsidRPr="00C73A50">
        <w:rPr>
          <w:rFonts w:ascii="Verdana" w:eastAsia="+mn-ea" w:hAnsi="Verdana" w:cstheme="minorHAnsi"/>
          <w:kern w:val="24"/>
          <w:sz w:val="20"/>
          <w:szCs w:val="20"/>
        </w:rPr>
        <w:t>E</w:t>
      </w:r>
      <w:r w:rsidRPr="00C73A50">
        <w:rPr>
          <w:rFonts w:ascii="Verdana" w:eastAsia="+mn-ea" w:hAnsi="Verdana" w:cstheme="minorHAnsi"/>
          <w:kern w:val="24"/>
          <w:sz w:val="20"/>
          <w:szCs w:val="20"/>
        </w:rPr>
        <w:t>nvironnement (FEM) et la coordination globale est assur</w:t>
      </w:r>
      <w:r w:rsidR="0000327E" w:rsidRPr="00C73A50">
        <w:rPr>
          <w:rFonts w:ascii="Verdana" w:eastAsia="+mn-ea" w:hAnsi="Verdana" w:cstheme="minorHAnsi"/>
          <w:kern w:val="24"/>
          <w:sz w:val="20"/>
          <w:szCs w:val="20"/>
        </w:rPr>
        <w:t xml:space="preserve">ée </w:t>
      </w:r>
      <w:r w:rsidRPr="00C73A50">
        <w:rPr>
          <w:rFonts w:ascii="Verdana" w:eastAsia="+mn-ea" w:hAnsi="Verdana" w:cstheme="minorHAnsi"/>
          <w:kern w:val="24"/>
          <w:sz w:val="20"/>
          <w:szCs w:val="20"/>
        </w:rPr>
        <w:t>par le PNUD basé à New York. La COI est pressenti</w:t>
      </w:r>
      <w:r w:rsidR="0000327E" w:rsidRPr="00C73A50">
        <w:rPr>
          <w:rFonts w:ascii="Verdana" w:eastAsia="+mn-ea" w:hAnsi="Verdana" w:cstheme="minorHAnsi"/>
          <w:kern w:val="24"/>
          <w:sz w:val="20"/>
          <w:szCs w:val="20"/>
        </w:rPr>
        <w:t>e</w:t>
      </w:r>
      <w:r w:rsidRPr="00C73A50">
        <w:rPr>
          <w:rFonts w:ascii="Verdana" w:eastAsia="+mn-ea" w:hAnsi="Verdana" w:cstheme="minorHAnsi"/>
          <w:kern w:val="24"/>
          <w:sz w:val="20"/>
          <w:szCs w:val="20"/>
        </w:rPr>
        <w:t xml:space="preserve"> comme collaborateur pour </w:t>
      </w:r>
      <w:r w:rsidR="005D13B2" w:rsidRPr="00C73A50">
        <w:rPr>
          <w:rFonts w:ascii="Verdana" w:eastAsia="+mn-ea" w:hAnsi="Verdana" w:cstheme="minorHAnsi"/>
          <w:kern w:val="24"/>
          <w:sz w:val="20"/>
          <w:szCs w:val="20"/>
        </w:rPr>
        <w:t xml:space="preserve">assurer </w:t>
      </w:r>
      <w:r w:rsidRPr="00C73A50">
        <w:rPr>
          <w:rFonts w:ascii="Verdana" w:eastAsia="+mn-ea" w:hAnsi="Verdana" w:cstheme="minorHAnsi"/>
          <w:kern w:val="24"/>
          <w:sz w:val="20"/>
          <w:szCs w:val="20"/>
        </w:rPr>
        <w:t xml:space="preserve">la </w:t>
      </w:r>
      <w:r w:rsidR="00A90ED8" w:rsidRPr="00C73A50">
        <w:rPr>
          <w:rFonts w:ascii="Verdana" w:eastAsia="+mn-ea" w:hAnsi="Verdana" w:cstheme="minorHAnsi"/>
          <w:kern w:val="24"/>
          <w:sz w:val="20"/>
          <w:szCs w:val="20"/>
        </w:rPr>
        <w:t>coordination, capitalisation</w:t>
      </w:r>
      <w:r w:rsidR="00A90ED8" w:rsidRPr="00C73A50">
        <w:rPr>
          <w:rFonts w:ascii="Verdana" w:eastAsia="Times New Roman" w:hAnsi="Verdana" w:cstheme="minorHAnsi"/>
          <w:sz w:val="20"/>
          <w:szCs w:val="20"/>
        </w:rPr>
        <w:t xml:space="preserve"> et gestion des connaissances dans les petits Etats insulaires de la région Atlantique et océan Indien (AIS- selon la définition des Nations unies). </w:t>
      </w:r>
      <w:r w:rsidR="005D13B2" w:rsidRPr="00C73A50">
        <w:rPr>
          <w:rFonts w:ascii="Verdana" w:eastAsia="+mn-ea" w:hAnsi="Verdana" w:cstheme="minorHAnsi"/>
          <w:kern w:val="24"/>
          <w:sz w:val="20"/>
          <w:szCs w:val="20"/>
        </w:rPr>
        <w:t>Les échanges avec le PNUD se poursui</w:t>
      </w:r>
      <w:r w:rsidR="00C73A50">
        <w:rPr>
          <w:rFonts w:ascii="Verdana" w:eastAsia="+mn-ea" w:hAnsi="Verdana" w:cstheme="minorHAnsi"/>
          <w:kern w:val="24"/>
          <w:sz w:val="20"/>
          <w:szCs w:val="20"/>
        </w:rPr>
        <w:t>ven</w:t>
      </w:r>
      <w:r w:rsidR="005D13B2" w:rsidRPr="00C73A50">
        <w:rPr>
          <w:rFonts w:ascii="Verdana" w:eastAsia="+mn-ea" w:hAnsi="Verdana" w:cstheme="minorHAnsi"/>
          <w:kern w:val="24"/>
          <w:sz w:val="20"/>
          <w:szCs w:val="20"/>
        </w:rPr>
        <w:t xml:space="preserve">t </w:t>
      </w:r>
      <w:r w:rsidR="00C73A50">
        <w:rPr>
          <w:rFonts w:ascii="Verdana" w:eastAsia="+mn-ea" w:hAnsi="Verdana" w:cstheme="minorHAnsi"/>
          <w:kern w:val="24"/>
          <w:sz w:val="20"/>
          <w:szCs w:val="20"/>
        </w:rPr>
        <w:t>et pourraient déboucher sur la</w:t>
      </w:r>
      <w:r w:rsidR="005D13B2" w:rsidRPr="00C73A50">
        <w:rPr>
          <w:rFonts w:ascii="Verdana" w:eastAsia="+mn-ea" w:hAnsi="Verdana" w:cstheme="minorHAnsi"/>
          <w:kern w:val="24"/>
          <w:sz w:val="20"/>
          <w:szCs w:val="20"/>
        </w:rPr>
        <w:t xml:space="preserve"> concrétisation </w:t>
      </w:r>
      <w:r w:rsidR="00C73A50">
        <w:rPr>
          <w:rFonts w:ascii="Verdana" w:eastAsia="+mn-ea" w:hAnsi="Verdana" w:cstheme="minorHAnsi"/>
          <w:kern w:val="24"/>
          <w:sz w:val="20"/>
          <w:szCs w:val="20"/>
        </w:rPr>
        <w:t>de la collaboration à travers</w:t>
      </w:r>
      <w:r w:rsidR="005D13B2" w:rsidRPr="00C73A50">
        <w:rPr>
          <w:rFonts w:ascii="Verdana" w:eastAsia="+mn-ea" w:hAnsi="Verdana" w:cstheme="minorHAnsi"/>
          <w:kern w:val="24"/>
          <w:sz w:val="20"/>
          <w:szCs w:val="20"/>
        </w:rPr>
        <w:t xml:space="preserve"> la signature d’une lettre d’enten</w:t>
      </w:r>
      <w:r w:rsidR="00C73A50">
        <w:rPr>
          <w:rFonts w:ascii="Verdana" w:eastAsia="+mn-ea" w:hAnsi="Verdana" w:cstheme="minorHAnsi"/>
          <w:kern w:val="24"/>
          <w:sz w:val="20"/>
          <w:szCs w:val="20"/>
        </w:rPr>
        <w:t>te</w:t>
      </w:r>
      <w:r w:rsidR="005D13B2" w:rsidRPr="00C73A50">
        <w:rPr>
          <w:rFonts w:ascii="Verdana" w:eastAsia="+mn-ea" w:hAnsi="Verdana" w:cstheme="minorHAnsi"/>
          <w:kern w:val="24"/>
          <w:sz w:val="20"/>
          <w:szCs w:val="20"/>
        </w:rPr>
        <w:t>. Afin de finaliser l'accord, un exercice de due diligence est en cours de finalisation. L’accord des Etats membre</w:t>
      </w:r>
      <w:r w:rsidR="0000327E" w:rsidRPr="00C73A50">
        <w:rPr>
          <w:rFonts w:ascii="Verdana" w:eastAsia="+mn-ea" w:hAnsi="Verdana" w:cstheme="minorHAnsi"/>
          <w:kern w:val="24"/>
          <w:sz w:val="20"/>
          <w:szCs w:val="20"/>
        </w:rPr>
        <w:t>s</w:t>
      </w:r>
      <w:r w:rsidR="005D13B2" w:rsidRPr="00C73A50">
        <w:rPr>
          <w:rFonts w:ascii="Verdana" w:eastAsia="+mn-ea" w:hAnsi="Verdana" w:cstheme="minorHAnsi"/>
          <w:kern w:val="24"/>
          <w:sz w:val="20"/>
          <w:szCs w:val="20"/>
        </w:rPr>
        <w:t xml:space="preserve"> est recherch</w:t>
      </w:r>
      <w:r w:rsidR="0000327E" w:rsidRPr="00C73A50">
        <w:rPr>
          <w:rFonts w:ascii="Verdana" w:eastAsia="+mn-ea" w:hAnsi="Verdana" w:cstheme="minorHAnsi"/>
          <w:kern w:val="24"/>
          <w:sz w:val="20"/>
          <w:szCs w:val="20"/>
        </w:rPr>
        <w:t xml:space="preserve">é </w:t>
      </w:r>
      <w:r w:rsidR="005D13B2" w:rsidRPr="00C73A50">
        <w:rPr>
          <w:rFonts w:ascii="Verdana" w:eastAsia="+mn-ea" w:hAnsi="Verdana" w:cstheme="minorHAnsi"/>
          <w:kern w:val="24"/>
          <w:sz w:val="20"/>
          <w:szCs w:val="20"/>
        </w:rPr>
        <w:t>pour la signature de la lettre d’</w:t>
      </w:r>
      <w:r w:rsidR="00A90ED8" w:rsidRPr="00C73A50">
        <w:rPr>
          <w:rFonts w:ascii="Verdana" w:eastAsia="+mn-ea" w:hAnsi="Verdana" w:cstheme="minorHAnsi"/>
          <w:kern w:val="24"/>
          <w:sz w:val="20"/>
          <w:szCs w:val="20"/>
        </w:rPr>
        <w:t xml:space="preserve">entente </w:t>
      </w:r>
      <w:r w:rsidR="005D13B2" w:rsidRPr="00C73A50">
        <w:rPr>
          <w:rFonts w:ascii="Verdana" w:eastAsia="+mn-ea" w:hAnsi="Verdana" w:cstheme="minorHAnsi"/>
          <w:kern w:val="24"/>
          <w:sz w:val="20"/>
          <w:szCs w:val="20"/>
        </w:rPr>
        <w:t>avec le PNUD</w:t>
      </w:r>
      <w:r w:rsidR="00A90ED8" w:rsidRPr="00C73A50">
        <w:rPr>
          <w:rFonts w:ascii="Verdana" w:eastAsia="+mn-ea" w:hAnsi="Verdana" w:cstheme="minorHAnsi"/>
          <w:kern w:val="24"/>
          <w:sz w:val="20"/>
          <w:szCs w:val="20"/>
        </w:rPr>
        <w:t>.</w:t>
      </w:r>
      <w:r w:rsidR="00A90ED8" w:rsidRPr="00C73A50">
        <w:rPr>
          <w:rFonts w:ascii="Verdana" w:eastAsia="Times New Roman" w:hAnsi="Verdana" w:cstheme="minorHAnsi"/>
          <w:sz w:val="20"/>
          <w:szCs w:val="20"/>
        </w:rPr>
        <w:t xml:space="preserve">  Les Termes de référence </w:t>
      </w:r>
      <w:r w:rsidR="006B188E" w:rsidRPr="00C73A50">
        <w:rPr>
          <w:rFonts w:ascii="Verdana" w:eastAsia="Times New Roman" w:hAnsi="Verdana" w:cstheme="minorHAnsi"/>
          <w:sz w:val="20"/>
          <w:szCs w:val="20"/>
        </w:rPr>
        <w:t xml:space="preserve">et le </w:t>
      </w:r>
      <w:r w:rsidR="006E50D1">
        <w:rPr>
          <w:rFonts w:ascii="Verdana" w:eastAsia="Times New Roman" w:hAnsi="Verdana" w:cstheme="minorHAnsi"/>
          <w:sz w:val="20"/>
          <w:szCs w:val="20"/>
        </w:rPr>
        <w:t xml:space="preserve">modèle-type </w:t>
      </w:r>
      <w:r w:rsidR="006B188E" w:rsidRPr="00C73A50">
        <w:rPr>
          <w:rFonts w:ascii="Verdana" w:eastAsia="Times New Roman" w:hAnsi="Verdana" w:cstheme="minorHAnsi"/>
          <w:sz w:val="20"/>
          <w:szCs w:val="20"/>
        </w:rPr>
        <w:t xml:space="preserve">de la lettre d’entente </w:t>
      </w:r>
      <w:r w:rsidR="00A90ED8" w:rsidRPr="00C73A50">
        <w:rPr>
          <w:rFonts w:ascii="Verdana" w:eastAsia="Times New Roman" w:hAnsi="Verdana" w:cstheme="minorHAnsi"/>
          <w:sz w:val="20"/>
          <w:szCs w:val="20"/>
        </w:rPr>
        <w:t>pour cette collaboration COI et PNUD sont en annexe</w:t>
      </w:r>
      <w:r w:rsidR="0000327E" w:rsidRPr="00C73A50">
        <w:rPr>
          <w:rFonts w:ascii="Verdana" w:eastAsia="Times New Roman" w:hAnsi="Verdana" w:cstheme="minorHAnsi"/>
          <w:sz w:val="20"/>
          <w:szCs w:val="20"/>
        </w:rPr>
        <w:t>s</w:t>
      </w:r>
      <w:r w:rsidR="00A90ED8" w:rsidRPr="00C73A50">
        <w:rPr>
          <w:rFonts w:ascii="Verdana" w:eastAsia="Times New Roman" w:hAnsi="Verdana" w:cstheme="minorHAnsi"/>
          <w:sz w:val="20"/>
          <w:szCs w:val="20"/>
        </w:rPr>
        <w:t xml:space="preserve"> (annexe </w:t>
      </w:r>
      <w:r w:rsidR="00735EE6" w:rsidRPr="00C73A50">
        <w:rPr>
          <w:rFonts w:ascii="Verdana" w:eastAsia="Times New Roman" w:hAnsi="Verdana" w:cstheme="minorHAnsi"/>
          <w:sz w:val="20"/>
          <w:szCs w:val="20"/>
        </w:rPr>
        <w:t xml:space="preserve">2a ,2b </w:t>
      </w:r>
      <w:r w:rsidR="00A90ED8" w:rsidRPr="00C73A50">
        <w:rPr>
          <w:rFonts w:ascii="Verdana" w:eastAsia="Times New Roman" w:hAnsi="Verdana" w:cstheme="minorHAnsi"/>
          <w:sz w:val="20"/>
          <w:szCs w:val="20"/>
        </w:rPr>
        <w:t>: traduction française)</w:t>
      </w:r>
      <w:r w:rsidR="006E50D1">
        <w:rPr>
          <w:rFonts w:ascii="Verdana" w:eastAsia="Times New Roman" w:hAnsi="Verdana" w:cstheme="minorHAnsi"/>
          <w:sz w:val="20"/>
          <w:szCs w:val="20"/>
        </w:rPr>
        <w:t xml:space="preserve">. </w:t>
      </w:r>
    </w:p>
    <w:p w14:paraId="0094E847" w14:textId="77777777" w:rsidR="006E50D1" w:rsidRPr="006E50D1" w:rsidRDefault="006E50D1" w:rsidP="006E50D1">
      <w:pPr>
        <w:pStyle w:val="Paragraphedeliste"/>
        <w:rPr>
          <w:rFonts w:ascii="Verdana" w:eastAsia="+mn-ea" w:hAnsi="Verdana" w:cstheme="minorHAnsi"/>
          <w:kern w:val="24"/>
          <w:sz w:val="20"/>
          <w:szCs w:val="20"/>
        </w:rPr>
      </w:pPr>
    </w:p>
    <w:p w14:paraId="48152A22" w14:textId="77777777" w:rsidR="006E50D1" w:rsidRDefault="005D13B2" w:rsidP="006E50D1">
      <w:pPr>
        <w:pStyle w:val="Paragraphedeliste"/>
        <w:spacing w:after="0" w:line="240" w:lineRule="auto"/>
        <w:jc w:val="both"/>
        <w:rPr>
          <w:rFonts w:ascii="Verdana" w:eastAsia="Times New Roman" w:hAnsi="Verdana" w:cstheme="minorHAnsi"/>
          <w:sz w:val="20"/>
          <w:szCs w:val="20"/>
        </w:rPr>
      </w:pPr>
      <w:r w:rsidRPr="006E50D1">
        <w:rPr>
          <w:rFonts w:ascii="Verdana" w:eastAsia="+mn-ea" w:hAnsi="Verdana" w:cstheme="minorHAnsi"/>
          <w:kern w:val="24"/>
          <w:sz w:val="20"/>
          <w:szCs w:val="20"/>
        </w:rPr>
        <w:t>P</w:t>
      </w:r>
      <w:r w:rsidR="007C644A" w:rsidRPr="006E50D1">
        <w:rPr>
          <w:rFonts w:ascii="Verdana" w:eastAsia="+mn-ea" w:hAnsi="Verdana" w:cstheme="minorHAnsi"/>
          <w:kern w:val="24"/>
          <w:sz w:val="20"/>
          <w:szCs w:val="20"/>
        </w:rPr>
        <w:t xml:space="preserve">our </w:t>
      </w:r>
      <w:r w:rsidR="00A90ED8" w:rsidRPr="006E50D1">
        <w:rPr>
          <w:rFonts w:ascii="Verdana" w:eastAsia="+mn-ea" w:hAnsi="Verdana" w:cstheme="minorHAnsi"/>
          <w:kern w:val="24"/>
          <w:sz w:val="20"/>
          <w:szCs w:val="20"/>
        </w:rPr>
        <w:t>rappel,</w:t>
      </w:r>
      <w:r w:rsidR="007C644A" w:rsidRPr="006E50D1">
        <w:rPr>
          <w:rFonts w:ascii="Verdana" w:eastAsia="+mn-ea" w:hAnsi="Verdana" w:cstheme="minorHAnsi"/>
          <w:kern w:val="24"/>
          <w:sz w:val="20"/>
          <w:szCs w:val="20"/>
        </w:rPr>
        <w:t xml:space="preserve"> l</w:t>
      </w:r>
      <w:r w:rsidR="005B253D" w:rsidRPr="006E50D1">
        <w:rPr>
          <w:rFonts w:ascii="Verdana" w:eastAsia="+mn-ea" w:hAnsi="Verdana" w:cstheme="minorHAnsi"/>
          <w:kern w:val="24"/>
          <w:sz w:val="20"/>
          <w:szCs w:val="20"/>
        </w:rPr>
        <w:t>e programme comprend</w:t>
      </w:r>
      <w:r w:rsidR="005B253D" w:rsidRPr="006E50D1">
        <w:rPr>
          <w:rFonts w:ascii="Verdana" w:eastAsia="+mn-ea" w:hAnsi="Verdana" w:cstheme="minorHAnsi"/>
          <w:b/>
          <w:bCs/>
          <w:kern w:val="24"/>
          <w:sz w:val="20"/>
          <w:szCs w:val="20"/>
        </w:rPr>
        <w:t xml:space="preserve"> </w:t>
      </w:r>
      <w:r w:rsidR="005B253D" w:rsidRPr="006E50D1">
        <w:rPr>
          <w:rFonts w:ascii="Verdana" w:eastAsia="Times New Roman" w:hAnsi="Verdana" w:cstheme="minorHAnsi"/>
          <w:sz w:val="20"/>
          <w:szCs w:val="20"/>
        </w:rPr>
        <w:t xml:space="preserve">-15 projets nationaux dans 15 petits États insulaires en développement (6 dans le Pacifique, 4 dans les Caraïbes, 5 dans l'Atlantique et l'océan Indien), qui seront mis en œuvre par 6 agences du FEM et un projet de coordination globale (GCP), mis en œuvre par le PNUD. </w:t>
      </w:r>
    </w:p>
    <w:p w14:paraId="271CC4E2" w14:textId="77777777" w:rsidR="006E50D1" w:rsidRDefault="006E50D1" w:rsidP="006E50D1">
      <w:pPr>
        <w:pStyle w:val="Paragraphedeliste"/>
        <w:spacing w:after="0" w:line="240" w:lineRule="auto"/>
        <w:jc w:val="both"/>
        <w:rPr>
          <w:rFonts w:ascii="Verdana" w:eastAsia="Times New Roman" w:hAnsi="Verdana" w:cstheme="minorHAnsi"/>
          <w:sz w:val="20"/>
          <w:szCs w:val="20"/>
        </w:rPr>
      </w:pPr>
    </w:p>
    <w:p w14:paraId="40C07277" w14:textId="6EFE26A0" w:rsidR="005B253D" w:rsidRPr="006E50D1" w:rsidRDefault="005B253D" w:rsidP="006E50D1">
      <w:pPr>
        <w:pStyle w:val="Paragraphedeliste"/>
        <w:spacing w:after="0" w:line="240" w:lineRule="auto"/>
        <w:jc w:val="both"/>
        <w:rPr>
          <w:rFonts w:ascii="Verdana" w:eastAsia="Times New Roman" w:hAnsi="Verdana" w:cstheme="minorHAnsi"/>
          <w:sz w:val="20"/>
          <w:szCs w:val="20"/>
        </w:rPr>
      </w:pPr>
      <w:r w:rsidRPr="00A605E9">
        <w:rPr>
          <w:rFonts w:ascii="Verdana" w:eastAsia="+mn-ea" w:hAnsi="Verdana" w:cstheme="minorHAnsi"/>
          <w:kern w:val="24"/>
          <w:sz w:val="20"/>
          <w:szCs w:val="20"/>
        </w:rPr>
        <w:t>Ce programme vise à</w:t>
      </w:r>
      <w:r w:rsidRPr="00A605E9">
        <w:rPr>
          <w:rFonts w:ascii="Verdana" w:eastAsia="Times New Roman" w:hAnsi="Verdana" w:cstheme="minorHAnsi"/>
          <w:sz w:val="20"/>
          <w:szCs w:val="20"/>
        </w:rPr>
        <w:t xml:space="preserve"> diffuser plus largement et mettre en œuvre des solutions basées sur la nature dans les PEID en associant le secteur public et privé, en :</w:t>
      </w:r>
    </w:p>
    <w:p w14:paraId="31F40477" w14:textId="77777777" w:rsidR="005B253D" w:rsidRPr="00A605E9" w:rsidRDefault="005B253D" w:rsidP="005B253D">
      <w:pPr>
        <w:pStyle w:val="Paragraphedeliste"/>
        <w:numPr>
          <w:ilvl w:val="0"/>
          <w:numId w:val="12"/>
        </w:numPr>
        <w:spacing w:before="100" w:beforeAutospacing="1" w:after="100" w:afterAutospacing="1" w:line="240" w:lineRule="auto"/>
        <w:jc w:val="both"/>
        <w:rPr>
          <w:rFonts w:ascii="Verdana" w:eastAsia="Times New Roman" w:hAnsi="Verdana" w:cstheme="minorHAnsi"/>
          <w:sz w:val="20"/>
          <w:szCs w:val="20"/>
        </w:rPr>
      </w:pPr>
      <w:r w:rsidRPr="00A605E9">
        <w:rPr>
          <w:rFonts w:ascii="Verdana" w:eastAsia="Times New Roman" w:hAnsi="Verdana" w:cstheme="minorHAnsi"/>
          <w:sz w:val="20"/>
          <w:szCs w:val="20"/>
        </w:rPr>
        <w:t>1)Débloquant le capital et l'action du secteur privé (sur le financement/investissement, mais aussi les industriels sur les chaînes de valeur et la négociation collective, etc.) dans les secteurs cibles : systèmes alimentaires, tourisme et secteur urbain.</w:t>
      </w:r>
    </w:p>
    <w:p w14:paraId="795C1CC6" w14:textId="77777777" w:rsidR="005B253D" w:rsidRPr="00A605E9" w:rsidRDefault="005B253D" w:rsidP="005B253D">
      <w:pPr>
        <w:pStyle w:val="Paragraphedeliste"/>
        <w:numPr>
          <w:ilvl w:val="0"/>
          <w:numId w:val="12"/>
        </w:numPr>
        <w:spacing w:before="100" w:beforeAutospacing="1" w:after="100" w:afterAutospacing="1" w:line="240" w:lineRule="auto"/>
        <w:jc w:val="both"/>
        <w:rPr>
          <w:rFonts w:ascii="Verdana" w:eastAsia="Times New Roman" w:hAnsi="Verdana" w:cstheme="minorHAnsi"/>
          <w:sz w:val="20"/>
          <w:szCs w:val="20"/>
        </w:rPr>
      </w:pPr>
      <w:r w:rsidRPr="00A605E9">
        <w:rPr>
          <w:rFonts w:ascii="Verdana" w:eastAsia="Times New Roman" w:hAnsi="Verdana" w:cstheme="minorHAnsi"/>
          <w:sz w:val="20"/>
          <w:szCs w:val="20"/>
        </w:rPr>
        <w:t>2) Engageant les ministères au-delà de la question environnementale.</w:t>
      </w:r>
    </w:p>
    <w:p w14:paraId="5DC8C613" w14:textId="17EAF080" w:rsidR="005B253D" w:rsidRPr="00A605E9" w:rsidRDefault="005B253D" w:rsidP="005B253D">
      <w:pPr>
        <w:spacing w:before="100" w:beforeAutospacing="1" w:after="100" w:afterAutospacing="1"/>
        <w:jc w:val="both"/>
        <w:rPr>
          <w:rFonts w:ascii="Verdana" w:eastAsia="Times New Roman" w:hAnsi="Verdana" w:cstheme="minorHAnsi"/>
          <w:b/>
          <w:bCs/>
          <w:sz w:val="20"/>
          <w:szCs w:val="20"/>
        </w:rPr>
      </w:pPr>
      <w:r w:rsidRPr="00A605E9">
        <w:rPr>
          <w:rFonts w:ascii="Verdana" w:eastAsia="Times New Roman" w:hAnsi="Verdana" w:cstheme="minorHAnsi"/>
          <w:b/>
          <w:bCs/>
          <w:sz w:val="20"/>
          <w:szCs w:val="20"/>
        </w:rPr>
        <w:lastRenderedPageBreak/>
        <w:t>Le programme comporte trois composantes :</w:t>
      </w:r>
    </w:p>
    <w:p w14:paraId="7A63A156" w14:textId="77777777" w:rsidR="005B253D" w:rsidRPr="00A605E9" w:rsidRDefault="005B253D" w:rsidP="005B253D">
      <w:pPr>
        <w:pStyle w:val="Paragraphedeliste"/>
        <w:numPr>
          <w:ilvl w:val="0"/>
          <w:numId w:val="11"/>
        </w:numPr>
        <w:spacing w:before="100" w:beforeAutospacing="1" w:after="100" w:afterAutospacing="1"/>
        <w:jc w:val="both"/>
        <w:rPr>
          <w:rFonts w:ascii="Verdana" w:eastAsia="Times New Roman" w:hAnsi="Verdana" w:cstheme="minorHAnsi"/>
          <w:sz w:val="20"/>
          <w:szCs w:val="20"/>
        </w:rPr>
      </w:pPr>
      <w:r w:rsidRPr="0000327E">
        <w:rPr>
          <w:rFonts w:ascii="Verdana" w:eastAsia="Times New Roman" w:hAnsi="Verdana" w:cstheme="minorHAnsi"/>
          <w:b/>
          <w:bCs/>
          <w:sz w:val="20"/>
          <w:szCs w:val="20"/>
        </w:rPr>
        <w:t>Composante 1</w:t>
      </w:r>
      <w:r w:rsidRPr="00A605E9">
        <w:rPr>
          <w:rFonts w:ascii="Verdana" w:eastAsia="Times New Roman" w:hAnsi="Verdana" w:cstheme="minorHAnsi"/>
          <w:sz w:val="20"/>
          <w:szCs w:val="20"/>
        </w:rPr>
        <w:t xml:space="preserve"> : Intégration de la nature dans les politiques de développement et les politiques fiscales, ainsi que dans la planification des secteurs économiques clés.</w:t>
      </w:r>
    </w:p>
    <w:p w14:paraId="5B3169A9" w14:textId="42C9EC18" w:rsidR="005B253D" w:rsidRPr="00A605E9" w:rsidRDefault="005B253D" w:rsidP="005B253D">
      <w:pPr>
        <w:pStyle w:val="Paragraphedeliste"/>
        <w:numPr>
          <w:ilvl w:val="0"/>
          <w:numId w:val="11"/>
        </w:numPr>
        <w:spacing w:before="100" w:beforeAutospacing="1" w:after="100" w:afterAutospacing="1"/>
        <w:jc w:val="both"/>
        <w:rPr>
          <w:rFonts w:ascii="Verdana" w:eastAsia="Times New Roman" w:hAnsi="Verdana" w:cstheme="minorHAnsi"/>
          <w:sz w:val="20"/>
          <w:szCs w:val="20"/>
        </w:rPr>
      </w:pPr>
      <w:r w:rsidRPr="0000327E">
        <w:rPr>
          <w:rFonts w:ascii="Verdana" w:eastAsia="Times New Roman" w:hAnsi="Verdana" w:cstheme="minorHAnsi"/>
          <w:b/>
          <w:bCs/>
          <w:sz w:val="20"/>
          <w:szCs w:val="20"/>
        </w:rPr>
        <w:t>Composante 2</w:t>
      </w:r>
      <w:r w:rsidRPr="00A605E9">
        <w:rPr>
          <w:rFonts w:ascii="Verdana" w:eastAsia="Times New Roman" w:hAnsi="Verdana" w:cstheme="minorHAnsi"/>
          <w:sz w:val="20"/>
          <w:szCs w:val="20"/>
        </w:rPr>
        <w:t xml:space="preserve"> : Mise en œuvre de</w:t>
      </w:r>
      <w:r w:rsidR="0000327E">
        <w:rPr>
          <w:rFonts w:ascii="Verdana" w:eastAsia="Times New Roman" w:hAnsi="Verdana" w:cstheme="minorHAnsi"/>
          <w:sz w:val="20"/>
          <w:szCs w:val="20"/>
        </w:rPr>
        <w:t>s</w:t>
      </w:r>
      <w:r w:rsidRPr="00A605E9">
        <w:rPr>
          <w:rFonts w:ascii="Verdana" w:eastAsia="Times New Roman" w:hAnsi="Verdana" w:cstheme="minorHAnsi"/>
          <w:sz w:val="20"/>
          <w:szCs w:val="20"/>
        </w:rPr>
        <w:t xml:space="preserve"> solutions fondées sur la nature au niveau des paysages terrestres et marins dans des écosystèmes clés soutenant les secteurs du tourisme, de l'alimentation et de l'urbanisme.</w:t>
      </w:r>
    </w:p>
    <w:p w14:paraId="11AF5755" w14:textId="77777777" w:rsidR="005B253D" w:rsidRPr="00A605E9" w:rsidRDefault="005B253D" w:rsidP="005B253D">
      <w:pPr>
        <w:pStyle w:val="Paragraphedeliste"/>
        <w:numPr>
          <w:ilvl w:val="0"/>
          <w:numId w:val="11"/>
        </w:numPr>
        <w:spacing w:before="100" w:beforeAutospacing="1" w:after="100" w:afterAutospacing="1"/>
        <w:jc w:val="both"/>
        <w:rPr>
          <w:rFonts w:ascii="Verdana" w:eastAsia="Times New Roman" w:hAnsi="Verdana" w:cstheme="minorHAnsi"/>
          <w:sz w:val="20"/>
          <w:szCs w:val="20"/>
        </w:rPr>
      </w:pPr>
      <w:r w:rsidRPr="0000327E">
        <w:rPr>
          <w:rFonts w:ascii="Verdana" w:eastAsia="Times New Roman" w:hAnsi="Verdana" w:cstheme="minorHAnsi"/>
          <w:b/>
          <w:bCs/>
          <w:sz w:val="20"/>
          <w:szCs w:val="20"/>
        </w:rPr>
        <w:t xml:space="preserve">Composante 3 </w:t>
      </w:r>
      <w:r w:rsidRPr="00A605E9">
        <w:rPr>
          <w:rFonts w:ascii="Verdana" w:eastAsia="Times New Roman" w:hAnsi="Verdana" w:cstheme="minorHAnsi"/>
          <w:sz w:val="20"/>
          <w:szCs w:val="20"/>
        </w:rPr>
        <w:t>: Coordination du programme, gestion des connaissances, action collective et mise à l'échelle.</w:t>
      </w:r>
    </w:p>
    <w:p w14:paraId="0EB610AE" w14:textId="77777777" w:rsidR="005B253D" w:rsidRPr="00A605E9" w:rsidRDefault="005B253D" w:rsidP="005B253D">
      <w:pPr>
        <w:spacing w:before="100" w:beforeAutospacing="1" w:after="100" w:afterAutospacing="1"/>
        <w:jc w:val="both"/>
        <w:rPr>
          <w:rFonts w:ascii="Verdana" w:eastAsia="Times New Roman" w:hAnsi="Verdana" w:cstheme="minorHAnsi"/>
          <w:sz w:val="20"/>
          <w:szCs w:val="20"/>
        </w:rPr>
      </w:pPr>
      <w:r w:rsidRPr="00A605E9">
        <w:rPr>
          <w:rFonts w:ascii="Verdana" w:eastAsia="Times New Roman" w:hAnsi="Verdana" w:cstheme="minorHAnsi"/>
          <w:sz w:val="20"/>
          <w:szCs w:val="20"/>
        </w:rPr>
        <w:t xml:space="preserve">Les composante 1 et 2 seront mis en œuvre par les agences du Fonds pour l’Environnement Mondial (FEM) dans les États insulaires identifiés dont les Comores, Maurice et les Seychelles. Les agences du FEM se concentreront sur les interventions au niveau national alignées sur les composantes 1 et 2, tandis que le PNUD sera chargé de la composante 3. </w:t>
      </w:r>
    </w:p>
    <w:p w14:paraId="18BC9B19" w14:textId="4D8EF49A" w:rsidR="00221DB9" w:rsidRPr="00A605E9" w:rsidRDefault="00221DB9" w:rsidP="002C56ED">
      <w:pPr>
        <w:pStyle w:val="Paragraphe"/>
        <w:rPr>
          <w:color w:val="4472C4" w:themeColor="accent1"/>
        </w:rPr>
      </w:pPr>
      <w:r w:rsidRPr="00A605E9">
        <w:rPr>
          <w:color w:val="4472C4" w:themeColor="accent1"/>
        </w:rPr>
        <w:t xml:space="preserve">2.4.2 Collaboration PNUE – Convention de </w:t>
      </w:r>
      <w:r w:rsidR="00BE4DD6" w:rsidRPr="00A605E9">
        <w:rPr>
          <w:color w:val="4472C4" w:themeColor="accent1"/>
        </w:rPr>
        <w:t>Nairobi</w:t>
      </w:r>
      <w:r w:rsidRPr="00A605E9">
        <w:rPr>
          <w:color w:val="4472C4" w:themeColor="accent1"/>
        </w:rPr>
        <w:t xml:space="preserve"> </w:t>
      </w:r>
    </w:p>
    <w:p w14:paraId="250F1336" w14:textId="281E7FD9" w:rsidR="00BE4DD6" w:rsidRPr="00A605E9" w:rsidRDefault="00221DB9" w:rsidP="00BE4DD6">
      <w:pPr>
        <w:pStyle w:val="Paragraphe"/>
        <w:rPr>
          <w:shd w:val="clear" w:color="auto" w:fill="FFFFFF"/>
        </w:rPr>
      </w:pPr>
      <w:r w:rsidRPr="00A605E9">
        <w:rPr>
          <w:shd w:val="clear" w:color="auto" w:fill="FFFFFF"/>
        </w:rPr>
        <w:t>La COI collabore avec</w:t>
      </w:r>
      <w:r w:rsidR="00BE4DD6" w:rsidRPr="00A605E9">
        <w:rPr>
          <w:shd w:val="clear" w:color="auto" w:fill="FFFFFF"/>
        </w:rPr>
        <w:t xml:space="preserve"> le PNUE et la</w:t>
      </w:r>
      <w:r w:rsidRPr="00A605E9">
        <w:rPr>
          <w:shd w:val="clear" w:color="auto" w:fill="FFFFFF"/>
        </w:rPr>
        <w:t xml:space="preserve"> Convention de Nairobi </w:t>
      </w:r>
      <w:r w:rsidR="00BE4DD6" w:rsidRPr="00A605E9">
        <w:rPr>
          <w:shd w:val="clear" w:color="auto" w:fill="FFFFFF"/>
        </w:rPr>
        <w:t>depuis plusieurs années dans le domaine de l’environnement marin et côti</w:t>
      </w:r>
      <w:r w:rsidR="006E50D1">
        <w:rPr>
          <w:shd w:val="clear" w:color="auto" w:fill="FFFFFF"/>
        </w:rPr>
        <w:t xml:space="preserve">er </w:t>
      </w:r>
      <w:r w:rsidR="00BE4DD6" w:rsidRPr="00A605E9">
        <w:rPr>
          <w:shd w:val="clear" w:color="auto" w:fill="FFFFFF"/>
        </w:rPr>
        <w:t>et elle siège aux travaux de la Con</w:t>
      </w:r>
      <w:r w:rsidR="006B19AB">
        <w:rPr>
          <w:shd w:val="clear" w:color="auto" w:fill="FFFFFF"/>
        </w:rPr>
        <w:t>fé</w:t>
      </w:r>
      <w:r w:rsidR="00BE4DD6" w:rsidRPr="00A605E9">
        <w:rPr>
          <w:shd w:val="clear" w:color="auto" w:fill="FFFFFF"/>
        </w:rPr>
        <w:t xml:space="preserve">rence </w:t>
      </w:r>
      <w:r w:rsidR="006B19AB">
        <w:rPr>
          <w:shd w:val="clear" w:color="auto" w:fill="FFFFFF"/>
        </w:rPr>
        <w:t>d</w:t>
      </w:r>
      <w:r w:rsidR="00BE4DD6" w:rsidRPr="00A605E9">
        <w:rPr>
          <w:shd w:val="clear" w:color="auto" w:fill="FFFFFF"/>
        </w:rPr>
        <w:t xml:space="preserve">es parties en tant que partenaire de la Convention. </w:t>
      </w:r>
      <w:r w:rsidR="00F5604D" w:rsidRPr="00A605E9">
        <w:rPr>
          <w:shd w:val="clear" w:color="auto" w:fill="FFFFFF"/>
        </w:rPr>
        <w:t>Tous les Etats membre</w:t>
      </w:r>
      <w:r w:rsidR="006B19AB">
        <w:rPr>
          <w:shd w:val="clear" w:color="auto" w:fill="FFFFFF"/>
        </w:rPr>
        <w:t>s</w:t>
      </w:r>
      <w:r w:rsidR="00F5604D" w:rsidRPr="00A605E9">
        <w:rPr>
          <w:shd w:val="clear" w:color="auto" w:fill="FFFFFF"/>
        </w:rPr>
        <w:t xml:space="preserve"> de la COI </w:t>
      </w:r>
      <w:r w:rsidR="006B19AB">
        <w:rPr>
          <w:shd w:val="clear" w:color="auto" w:fill="FFFFFF"/>
        </w:rPr>
        <w:t>f</w:t>
      </w:r>
      <w:r w:rsidR="00F5604D" w:rsidRPr="00A605E9">
        <w:rPr>
          <w:shd w:val="clear" w:color="auto" w:fill="FFFFFF"/>
        </w:rPr>
        <w:t>ont partie</w:t>
      </w:r>
      <w:r w:rsidR="006B19AB">
        <w:rPr>
          <w:shd w:val="clear" w:color="auto" w:fill="FFFFFF"/>
        </w:rPr>
        <w:t>s de</w:t>
      </w:r>
      <w:r w:rsidR="00F5604D" w:rsidRPr="00A605E9">
        <w:rPr>
          <w:shd w:val="clear" w:color="auto" w:fill="FFFFFF"/>
        </w:rPr>
        <w:t xml:space="preserve"> cette convention. </w:t>
      </w:r>
      <w:r w:rsidR="00BE4DD6" w:rsidRPr="00A605E9">
        <w:rPr>
          <w:shd w:val="clear" w:color="auto" w:fill="FFFFFF"/>
        </w:rPr>
        <w:t xml:space="preserve">La COI a </w:t>
      </w:r>
      <w:r w:rsidR="006E50D1">
        <w:rPr>
          <w:shd w:val="clear" w:color="auto" w:fill="FFFFFF"/>
        </w:rPr>
        <w:t>joué un rôle moteur dans</w:t>
      </w:r>
      <w:r w:rsidR="00BE4DD6" w:rsidRPr="00A605E9">
        <w:rPr>
          <w:shd w:val="clear" w:color="auto" w:fill="FFFFFF"/>
        </w:rPr>
        <w:t xml:space="preserve"> la mise en place du protocole sur la gestion des zones côtière</w:t>
      </w:r>
      <w:r w:rsidR="006B19AB">
        <w:rPr>
          <w:shd w:val="clear" w:color="auto" w:fill="FFFFFF"/>
        </w:rPr>
        <w:t>s</w:t>
      </w:r>
      <w:r w:rsidR="00BE4DD6" w:rsidRPr="00A605E9">
        <w:rPr>
          <w:shd w:val="clear" w:color="auto" w:fill="FFFFFF"/>
        </w:rPr>
        <w:t>, la mise en œuvre du protocole sur la pollution marine due au déversement des hydrocarbures, le suivi des récifs coralliens et l’élaboration de la stratégie régionale sur la gouvernance de l’océan. Ce</w:t>
      </w:r>
      <w:r w:rsidR="006E50D1">
        <w:rPr>
          <w:shd w:val="clear" w:color="auto" w:fill="FFFFFF"/>
        </w:rPr>
        <w:t>tte</w:t>
      </w:r>
      <w:r w:rsidR="00BE4DD6" w:rsidRPr="00A605E9">
        <w:rPr>
          <w:shd w:val="clear" w:color="auto" w:fill="FFFFFF"/>
        </w:rPr>
        <w:t xml:space="preserve"> derni</w:t>
      </w:r>
      <w:r w:rsidR="006E50D1">
        <w:rPr>
          <w:shd w:val="clear" w:color="auto" w:fill="FFFFFF"/>
        </w:rPr>
        <w:t>ère</w:t>
      </w:r>
      <w:r w:rsidR="00BE4DD6" w:rsidRPr="00A605E9">
        <w:rPr>
          <w:shd w:val="clear" w:color="auto" w:fill="FFFFFF"/>
        </w:rPr>
        <w:t xml:space="preserve"> a été adopté</w:t>
      </w:r>
      <w:r w:rsidR="006E50D1">
        <w:rPr>
          <w:shd w:val="clear" w:color="auto" w:fill="FFFFFF"/>
        </w:rPr>
        <w:t>e</w:t>
      </w:r>
      <w:r w:rsidR="00BE4DD6" w:rsidRPr="00A605E9">
        <w:rPr>
          <w:shd w:val="clear" w:color="auto" w:fill="FFFFFF"/>
        </w:rPr>
        <w:t xml:space="preserve"> lors d</w:t>
      </w:r>
      <w:r w:rsidR="006E50D1">
        <w:rPr>
          <w:shd w:val="clear" w:color="auto" w:fill="FFFFFF"/>
        </w:rPr>
        <w:t>e la</w:t>
      </w:r>
      <w:r w:rsidR="00BE4DD6" w:rsidRPr="00A605E9">
        <w:rPr>
          <w:shd w:val="clear" w:color="auto" w:fill="FFFFFF"/>
        </w:rPr>
        <w:t xml:space="preserve"> 11</w:t>
      </w:r>
      <w:r w:rsidR="00BE4DD6" w:rsidRPr="006E50D1">
        <w:rPr>
          <w:shd w:val="clear" w:color="auto" w:fill="FFFFFF"/>
          <w:vertAlign w:val="superscript"/>
        </w:rPr>
        <w:t>eme</w:t>
      </w:r>
      <w:r w:rsidR="00BE4DD6" w:rsidRPr="00A605E9">
        <w:rPr>
          <w:shd w:val="clear" w:color="auto" w:fill="FFFFFF"/>
        </w:rPr>
        <w:t xml:space="preserve"> </w:t>
      </w:r>
      <w:r w:rsidR="006E50D1" w:rsidRPr="00A605E9">
        <w:rPr>
          <w:shd w:val="clear" w:color="auto" w:fill="FFFFFF"/>
        </w:rPr>
        <w:t>Conférence</w:t>
      </w:r>
      <w:r w:rsidR="00BE4DD6" w:rsidRPr="00A605E9">
        <w:rPr>
          <w:shd w:val="clear" w:color="auto" w:fill="FFFFFF"/>
        </w:rPr>
        <w:t xml:space="preserve"> des parties </w:t>
      </w:r>
      <w:r w:rsidR="00F5604D" w:rsidRPr="00A605E9">
        <w:rPr>
          <w:shd w:val="clear" w:color="auto" w:fill="FFFFFF"/>
        </w:rPr>
        <w:t xml:space="preserve">(COP11) </w:t>
      </w:r>
      <w:r w:rsidR="00BE4DD6" w:rsidRPr="00A605E9">
        <w:rPr>
          <w:shd w:val="clear" w:color="auto" w:fill="FFFFFF"/>
        </w:rPr>
        <w:t xml:space="preserve">qui s’est tenue à Antanarivo à Madagascar. </w:t>
      </w:r>
      <w:r w:rsidR="00F5604D" w:rsidRPr="006E50D1">
        <w:rPr>
          <w:shd w:val="clear" w:color="auto" w:fill="FFFFFF"/>
        </w:rPr>
        <w:t>(</w:t>
      </w:r>
      <w:proofErr w:type="spellStart"/>
      <w:proofErr w:type="gramStart"/>
      <w:r w:rsidR="00F5604D" w:rsidRPr="006E50D1">
        <w:rPr>
          <w:shd w:val="clear" w:color="auto" w:fill="FFFFFF"/>
        </w:rPr>
        <w:t>cf</w:t>
      </w:r>
      <w:proofErr w:type="spellEnd"/>
      <w:proofErr w:type="gramEnd"/>
      <w:r w:rsidR="00F5604D" w:rsidRPr="006E50D1">
        <w:rPr>
          <w:shd w:val="clear" w:color="auto" w:fill="FFFFFF"/>
        </w:rPr>
        <w:t xml:space="preserve"> Annexe </w:t>
      </w:r>
      <w:r w:rsidR="00735EE6" w:rsidRPr="006E50D1">
        <w:rPr>
          <w:shd w:val="clear" w:color="auto" w:fill="FFFFFF"/>
        </w:rPr>
        <w:t>3</w:t>
      </w:r>
      <w:r w:rsidR="00F5604D" w:rsidRPr="006E50D1">
        <w:rPr>
          <w:shd w:val="clear" w:color="auto" w:fill="FFFFFF"/>
        </w:rPr>
        <w:t xml:space="preserve"> décision de la COP 11)</w:t>
      </w:r>
    </w:p>
    <w:p w14:paraId="7A68D4CE" w14:textId="6E632A6A" w:rsidR="009E3526" w:rsidRDefault="00F5604D" w:rsidP="00BE4DD6">
      <w:pPr>
        <w:pStyle w:val="Paragraphe"/>
        <w:rPr>
          <w:shd w:val="clear" w:color="auto" w:fill="FFFFFF"/>
        </w:rPr>
      </w:pPr>
      <w:r w:rsidRPr="00A605E9">
        <w:rPr>
          <w:shd w:val="clear" w:color="auto" w:fill="FFFFFF"/>
        </w:rPr>
        <w:t>La COI</w:t>
      </w:r>
      <w:r w:rsidR="005A30AE">
        <w:rPr>
          <w:shd w:val="clear" w:color="auto" w:fill="FFFFFF"/>
        </w:rPr>
        <w:t xml:space="preserve"> est perçue comme un partenaire clé </w:t>
      </w:r>
      <w:r w:rsidR="006B19AB">
        <w:rPr>
          <w:shd w:val="clear" w:color="auto" w:fill="FFFFFF"/>
        </w:rPr>
        <w:t>de</w:t>
      </w:r>
      <w:r w:rsidR="00B65480">
        <w:rPr>
          <w:shd w:val="clear" w:color="auto" w:fill="FFFFFF"/>
        </w:rPr>
        <w:t xml:space="preserve"> la collaboration </w:t>
      </w:r>
      <w:r w:rsidR="006B19AB">
        <w:rPr>
          <w:shd w:val="clear" w:color="auto" w:fill="FFFFFF"/>
        </w:rPr>
        <w:t>et</w:t>
      </w:r>
      <w:r w:rsidR="00B65480">
        <w:rPr>
          <w:shd w:val="clear" w:color="auto" w:fill="FFFFFF"/>
        </w:rPr>
        <w:t xml:space="preserve"> poursuit dans le cadre de l’architecture maritime notamment sur l</w:t>
      </w:r>
      <w:r w:rsidR="006B19AB">
        <w:rPr>
          <w:shd w:val="clear" w:color="auto" w:fill="FFFFFF"/>
        </w:rPr>
        <w:t>e</w:t>
      </w:r>
      <w:r w:rsidR="00B65480">
        <w:rPr>
          <w:shd w:val="clear" w:color="auto" w:fill="FFFFFF"/>
        </w:rPr>
        <w:t xml:space="preserve"> plan de contingence régional sur la pollution marine </w:t>
      </w:r>
      <w:r w:rsidR="009E3526">
        <w:rPr>
          <w:shd w:val="clear" w:color="auto" w:fill="FFFFFF"/>
        </w:rPr>
        <w:t>(DI</w:t>
      </w:r>
      <w:r w:rsidR="00B65480">
        <w:rPr>
          <w:shd w:val="clear" w:color="auto" w:fill="FFFFFF"/>
        </w:rPr>
        <w:t>2), sur</w:t>
      </w:r>
      <w:r w:rsidR="009E3526">
        <w:rPr>
          <w:shd w:val="clear" w:color="auto" w:fill="FFFFFF"/>
        </w:rPr>
        <w:t xml:space="preserve"> les débris </w:t>
      </w:r>
      <w:r w:rsidR="006E50D1">
        <w:rPr>
          <w:shd w:val="clear" w:color="auto" w:fill="FFFFFF"/>
        </w:rPr>
        <w:t xml:space="preserve">en mer </w:t>
      </w:r>
      <w:r w:rsidR="009E3526">
        <w:rPr>
          <w:shd w:val="clear" w:color="auto" w:fill="FFFFFF"/>
        </w:rPr>
        <w:t xml:space="preserve">et </w:t>
      </w:r>
      <w:r w:rsidR="006E50D1">
        <w:rPr>
          <w:shd w:val="clear" w:color="auto" w:fill="FFFFFF"/>
        </w:rPr>
        <w:t xml:space="preserve">la </w:t>
      </w:r>
      <w:r w:rsidR="009E3526">
        <w:rPr>
          <w:shd w:val="clear" w:color="auto" w:fill="FFFFFF"/>
        </w:rPr>
        <w:t xml:space="preserve">pollution marine ainsi que la gestion des déchets plastique (projet </w:t>
      </w:r>
      <w:proofErr w:type="spellStart"/>
      <w:r w:rsidR="009E3526">
        <w:rPr>
          <w:shd w:val="clear" w:color="auto" w:fill="FFFFFF"/>
        </w:rPr>
        <w:t>ExPLOI</w:t>
      </w:r>
      <w:proofErr w:type="spellEnd"/>
      <w:r w:rsidR="009E3526">
        <w:rPr>
          <w:shd w:val="clear" w:color="auto" w:fill="FFFFFF"/>
        </w:rPr>
        <w:t>) et la gestion des zones côtière</w:t>
      </w:r>
      <w:r w:rsidR="006E50D1">
        <w:rPr>
          <w:shd w:val="clear" w:color="auto" w:fill="FFFFFF"/>
        </w:rPr>
        <w:t>s</w:t>
      </w:r>
      <w:r w:rsidR="009E3526">
        <w:rPr>
          <w:shd w:val="clear" w:color="auto" w:fill="FFFFFF"/>
        </w:rPr>
        <w:t xml:space="preserve"> (projet RECOS).  La contribution de la COI est attendu</w:t>
      </w:r>
      <w:r w:rsidR="006B19AB">
        <w:rPr>
          <w:shd w:val="clear" w:color="auto" w:fill="FFFFFF"/>
        </w:rPr>
        <w:t>e</w:t>
      </w:r>
      <w:r w:rsidR="009E3526">
        <w:rPr>
          <w:shd w:val="clear" w:color="auto" w:fill="FFFFFF"/>
        </w:rPr>
        <w:t xml:space="preserve"> sur</w:t>
      </w:r>
      <w:r w:rsidR="00F40F05">
        <w:rPr>
          <w:shd w:val="clear" w:color="auto" w:fill="FFFFFF"/>
        </w:rPr>
        <w:t xml:space="preserve"> l’élaboration</w:t>
      </w:r>
      <w:r w:rsidR="009E3526">
        <w:rPr>
          <w:shd w:val="clear" w:color="auto" w:fill="FFFFFF"/>
        </w:rPr>
        <w:t xml:space="preserve"> d’une stratégie régionale sur les déchets toxique</w:t>
      </w:r>
      <w:r w:rsidR="006B19AB">
        <w:rPr>
          <w:shd w:val="clear" w:color="auto" w:fill="FFFFFF"/>
        </w:rPr>
        <w:t>s</w:t>
      </w:r>
      <w:r w:rsidR="009E3526">
        <w:rPr>
          <w:shd w:val="clear" w:color="auto" w:fill="FFFFFF"/>
        </w:rPr>
        <w:t xml:space="preserve"> et plastique</w:t>
      </w:r>
      <w:r w:rsidR="006B19AB">
        <w:rPr>
          <w:shd w:val="clear" w:color="auto" w:fill="FFFFFF"/>
        </w:rPr>
        <w:t>s</w:t>
      </w:r>
      <w:r w:rsidR="009E3526">
        <w:rPr>
          <w:shd w:val="clear" w:color="auto" w:fill="FFFFFF"/>
        </w:rPr>
        <w:t xml:space="preserve"> pour examen par le comité technique de la Convention avant la COP 12 et aussi dans la mise en </w:t>
      </w:r>
      <w:r w:rsidR="00F40F05">
        <w:rPr>
          <w:shd w:val="clear" w:color="auto" w:fill="FFFFFF"/>
        </w:rPr>
        <w:t>œuvre de</w:t>
      </w:r>
      <w:r w:rsidR="009E3526">
        <w:rPr>
          <w:shd w:val="clear" w:color="auto" w:fill="FFFFFF"/>
        </w:rPr>
        <w:t xml:space="preserve"> la stratégie sur la gouvernance de </w:t>
      </w:r>
      <w:r w:rsidR="00F40F05">
        <w:rPr>
          <w:shd w:val="clear" w:color="auto" w:fill="FFFFFF"/>
        </w:rPr>
        <w:t>l’océan</w:t>
      </w:r>
      <w:r w:rsidR="009E3526">
        <w:rPr>
          <w:shd w:val="clear" w:color="auto" w:fill="FFFFFF"/>
        </w:rPr>
        <w:t xml:space="preserve"> pour la région sud-ouest de </w:t>
      </w:r>
      <w:r w:rsidR="00F40F05">
        <w:rPr>
          <w:shd w:val="clear" w:color="auto" w:fill="FFFFFF"/>
        </w:rPr>
        <w:t>l’océan</w:t>
      </w:r>
      <w:r w:rsidR="009E3526">
        <w:rPr>
          <w:shd w:val="clear" w:color="auto" w:fill="FFFFFF"/>
        </w:rPr>
        <w:t xml:space="preserve"> </w:t>
      </w:r>
      <w:r w:rsidR="00F40F05">
        <w:rPr>
          <w:shd w:val="clear" w:color="auto" w:fill="FFFFFF"/>
        </w:rPr>
        <w:t>Indien.</w:t>
      </w:r>
      <w:r w:rsidR="009E3526">
        <w:rPr>
          <w:shd w:val="clear" w:color="auto" w:fill="FFFFFF"/>
        </w:rPr>
        <w:t xml:space="preserve">  Pour </w:t>
      </w:r>
      <w:r w:rsidR="00F40F05">
        <w:rPr>
          <w:shd w:val="clear" w:color="auto" w:fill="FFFFFF"/>
        </w:rPr>
        <w:t>rappel,</w:t>
      </w:r>
      <w:r w:rsidR="009E3526">
        <w:rPr>
          <w:shd w:val="clear" w:color="auto" w:fill="FFFFFF"/>
        </w:rPr>
        <w:t xml:space="preserve"> </w:t>
      </w:r>
      <w:r w:rsidR="00F40F05">
        <w:rPr>
          <w:shd w:val="clear" w:color="auto" w:fill="FFFFFF"/>
        </w:rPr>
        <w:t xml:space="preserve">la mise en place de cette stratégie découle d’une décision du Comité </w:t>
      </w:r>
      <w:r w:rsidR="006B19AB">
        <w:rPr>
          <w:shd w:val="clear" w:color="auto" w:fill="FFFFFF"/>
        </w:rPr>
        <w:t>ministérielle de</w:t>
      </w:r>
      <w:r w:rsidR="00F40F05">
        <w:rPr>
          <w:shd w:val="clear" w:color="auto" w:fill="FFFFFF"/>
        </w:rPr>
        <w:t xml:space="preserve"> l’environnement de l’UA (AMCEM) qui a mandat</w:t>
      </w:r>
      <w:r w:rsidR="006B19AB">
        <w:rPr>
          <w:shd w:val="clear" w:color="auto" w:fill="FFFFFF"/>
        </w:rPr>
        <w:t>é</w:t>
      </w:r>
      <w:r w:rsidR="00F40F05">
        <w:rPr>
          <w:shd w:val="clear" w:color="auto" w:fill="FFFFFF"/>
        </w:rPr>
        <w:t xml:space="preserve"> le Secr</w:t>
      </w:r>
      <w:r w:rsidR="006B19AB">
        <w:rPr>
          <w:shd w:val="clear" w:color="auto" w:fill="FFFFFF"/>
        </w:rPr>
        <w:t>é</w:t>
      </w:r>
      <w:r w:rsidR="00F40F05">
        <w:rPr>
          <w:shd w:val="clear" w:color="auto" w:fill="FFFFFF"/>
        </w:rPr>
        <w:t>tariat de la Convention de Nairobi à mettre en place la stratégie</w:t>
      </w:r>
      <w:r w:rsidR="006E50D1">
        <w:rPr>
          <w:shd w:val="clear" w:color="auto" w:fill="FFFFFF"/>
        </w:rPr>
        <w:t>. E</w:t>
      </w:r>
      <w:r w:rsidR="00F40F05">
        <w:rPr>
          <w:shd w:val="clear" w:color="auto" w:fill="FFFFFF"/>
        </w:rPr>
        <w:t>n retour</w:t>
      </w:r>
      <w:r w:rsidR="006E50D1">
        <w:rPr>
          <w:shd w:val="clear" w:color="auto" w:fill="FFFFFF"/>
        </w:rPr>
        <w:t>,</w:t>
      </w:r>
      <w:r w:rsidR="00F40F05">
        <w:rPr>
          <w:shd w:val="clear" w:color="auto" w:fill="FFFFFF"/>
        </w:rPr>
        <w:t xml:space="preserve"> cela contribuera à la réalisation de la Stratégie africain</w:t>
      </w:r>
      <w:r w:rsidR="006B19AB">
        <w:rPr>
          <w:shd w:val="clear" w:color="auto" w:fill="FFFFFF"/>
        </w:rPr>
        <w:t>e</w:t>
      </w:r>
      <w:r w:rsidR="00F40F05">
        <w:rPr>
          <w:shd w:val="clear" w:color="auto" w:fill="FFFFFF"/>
        </w:rPr>
        <w:t xml:space="preserve"> sur la thématique. L</w:t>
      </w:r>
      <w:r w:rsidR="009E3526">
        <w:rPr>
          <w:shd w:val="clear" w:color="auto" w:fill="FFFFFF"/>
        </w:rPr>
        <w:t xml:space="preserve">a </w:t>
      </w:r>
      <w:r w:rsidR="00F40F05">
        <w:rPr>
          <w:shd w:val="clear" w:color="auto" w:fill="FFFFFF"/>
        </w:rPr>
        <w:t>stratégie</w:t>
      </w:r>
      <w:r w:rsidR="009E3526">
        <w:rPr>
          <w:shd w:val="clear" w:color="auto" w:fill="FFFFFF"/>
        </w:rPr>
        <w:t xml:space="preserve"> prévoit que la COI fasse partie de </w:t>
      </w:r>
      <w:r w:rsidR="00F40F05">
        <w:rPr>
          <w:shd w:val="clear" w:color="auto" w:fill="FFFFFF"/>
        </w:rPr>
        <w:t>sa</w:t>
      </w:r>
      <w:r w:rsidR="009E3526">
        <w:rPr>
          <w:shd w:val="clear" w:color="auto" w:fill="FFFFFF"/>
        </w:rPr>
        <w:t xml:space="preserve"> </w:t>
      </w:r>
      <w:r w:rsidR="00F40F05">
        <w:rPr>
          <w:shd w:val="clear" w:color="auto" w:fill="FFFFFF"/>
        </w:rPr>
        <w:t xml:space="preserve">structure de gouvernance et la mobilisation des financements. </w:t>
      </w:r>
    </w:p>
    <w:p w14:paraId="76ED3F1A" w14:textId="6F2C4D74" w:rsidR="00F5604D" w:rsidRPr="00A605E9" w:rsidRDefault="00E21161" w:rsidP="00BE4DD6">
      <w:pPr>
        <w:pStyle w:val="Paragraphe"/>
        <w:rPr>
          <w:shd w:val="clear" w:color="auto" w:fill="FFFFFF"/>
        </w:rPr>
      </w:pPr>
      <w:r>
        <w:rPr>
          <w:shd w:val="clear" w:color="auto" w:fill="FFFFFF"/>
        </w:rPr>
        <w:t xml:space="preserve">Une mise à jour du </w:t>
      </w:r>
      <w:proofErr w:type="spellStart"/>
      <w:r w:rsidR="00F40F05">
        <w:rPr>
          <w:shd w:val="clear" w:color="auto" w:fill="FFFFFF"/>
        </w:rPr>
        <w:t>MoU</w:t>
      </w:r>
      <w:proofErr w:type="spellEnd"/>
      <w:r w:rsidR="00F40F05">
        <w:rPr>
          <w:shd w:val="clear" w:color="auto" w:fill="FFFFFF"/>
        </w:rPr>
        <w:t xml:space="preserve"> avec la Convention de Nairobi demeure </w:t>
      </w:r>
      <w:r w:rsidR="006B19AB">
        <w:rPr>
          <w:shd w:val="clear" w:color="auto" w:fill="FFFFFF"/>
        </w:rPr>
        <w:t>importante</w:t>
      </w:r>
      <w:r w:rsidR="00F40F05">
        <w:rPr>
          <w:shd w:val="clear" w:color="auto" w:fill="FFFFFF"/>
        </w:rPr>
        <w:t xml:space="preserve"> pour </w:t>
      </w:r>
      <w:r>
        <w:rPr>
          <w:shd w:val="clear" w:color="auto" w:fill="FFFFFF"/>
        </w:rPr>
        <w:t xml:space="preserve">mieux structurer et </w:t>
      </w:r>
      <w:r w:rsidR="00F40F05">
        <w:rPr>
          <w:shd w:val="clear" w:color="auto" w:fill="FFFFFF"/>
        </w:rPr>
        <w:t>cadre</w:t>
      </w:r>
      <w:r w:rsidR="006B19AB">
        <w:rPr>
          <w:shd w:val="clear" w:color="auto" w:fill="FFFFFF"/>
        </w:rPr>
        <w:t>r</w:t>
      </w:r>
      <w:r w:rsidR="00F40F05">
        <w:rPr>
          <w:shd w:val="clear" w:color="auto" w:fill="FFFFFF"/>
        </w:rPr>
        <w:t xml:space="preserve"> l’</w:t>
      </w:r>
      <w:r>
        <w:rPr>
          <w:shd w:val="clear" w:color="auto" w:fill="FFFFFF"/>
        </w:rPr>
        <w:t>étendu</w:t>
      </w:r>
      <w:r w:rsidR="006B19AB">
        <w:rPr>
          <w:shd w:val="clear" w:color="auto" w:fill="FFFFFF"/>
        </w:rPr>
        <w:t>e</w:t>
      </w:r>
      <w:r w:rsidR="00F40F05">
        <w:rPr>
          <w:shd w:val="clear" w:color="auto" w:fill="FFFFFF"/>
        </w:rPr>
        <w:t xml:space="preserve"> de nos activités </w:t>
      </w:r>
      <w:r>
        <w:rPr>
          <w:shd w:val="clear" w:color="auto" w:fill="FFFFFF"/>
        </w:rPr>
        <w:t>avec la Convention.</w:t>
      </w:r>
      <w:r w:rsidR="00F40F05">
        <w:rPr>
          <w:shd w:val="clear" w:color="auto" w:fill="FFFFFF"/>
        </w:rPr>
        <w:t xml:space="preserve"> </w:t>
      </w:r>
      <w:r>
        <w:rPr>
          <w:shd w:val="clear" w:color="auto" w:fill="FFFFFF"/>
        </w:rPr>
        <w:t>Les échanges sont en cours avec le Secr</w:t>
      </w:r>
      <w:r w:rsidR="006B19AB">
        <w:rPr>
          <w:shd w:val="clear" w:color="auto" w:fill="FFFFFF"/>
        </w:rPr>
        <w:t>é</w:t>
      </w:r>
      <w:r>
        <w:rPr>
          <w:shd w:val="clear" w:color="auto" w:fill="FFFFFF"/>
        </w:rPr>
        <w:t>tariat de la Convention</w:t>
      </w:r>
      <w:r w:rsidR="006B19AB">
        <w:rPr>
          <w:shd w:val="clear" w:color="auto" w:fill="FFFFFF"/>
        </w:rPr>
        <w:t xml:space="preserve"> de Nairobi</w:t>
      </w:r>
      <w:r>
        <w:rPr>
          <w:shd w:val="clear" w:color="auto" w:fill="FFFFFF"/>
        </w:rPr>
        <w:t xml:space="preserve"> pour élaborer un projet de </w:t>
      </w:r>
      <w:proofErr w:type="spellStart"/>
      <w:r>
        <w:rPr>
          <w:shd w:val="clear" w:color="auto" w:fill="FFFFFF"/>
        </w:rPr>
        <w:t>MoU</w:t>
      </w:r>
      <w:proofErr w:type="spellEnd"/>
      <w:r>
        <w:rPr>
          <w:shd w:val="clear" w:color="auto" w:fill="FFFFFF"/>
        </w:rPr>
        <w:t xml:space="preserve">. </w:t>
      </w:r>
    </w:p>
    <w:p w14:paraId="54854EB5" w14:textId="1D7DBEA1" w:rsidR="002C56ED" w:rsidRPr="00E21161" w:rsidRDefault="00E21161" w:rsidP="00BE4DD6">
      <w:pPr>
        <w:pStyle w:val="Paragraphe"/>
        <w:rPr>
          <w:color w:val="4472C4" w:themeColor="accent1"/>
        </w:rPr>
      </w:pPr>
      <w:r w:rsidRPr="00E21161">
        <w:rPr>
          <w:color w:val="4472C4" w:themeColor="accent1"/>
        </w:rPr>
        <w:t xml:space="preserve">2.4.3 Collaboration avec l’UNESCO </w:t>
      </w:r>
    </w:p>
    <w:p w14:paraId="21875958" w14:textId="51B3905C" w:rsidR="002C56ED" w:rsidRDefault="00E21161" w:rsidP="002C56ED">
      <w:pPr>
        <w:pStyle w:val="Paragraphe"/>
        <w:rPr>
          <w:shd w:val="clear" w:color="auto" w:fill="FFFFFF"/>
        </w:rPr>
      </w:pPr>
      <w:r>
        <w:t xml:space="preserve">La COI </w:t>
      </w:r>
      <w:r w:rsidR="006B19AB">
        <w:t>a</w:t>
      </w:r>
      <w:r>
        <w:t xml:space="preserve"> renouvel</w:t>
      </w:r>
      <w:r w:rsidR="006B19AB">
        <w:t xml:space="preserve">é </w:t>
      </w:r>
      <w:r>
        <w:t xml:space="preserve">son accord avec l’UNESCO et ceci permettra à la </w:t>
      </w:r>
      <w:r w:rsidR="006B19AB">
        <w:t xml:space="preserve">COI </w:t>
      </w:r>
      <w:r>
        <w:t xml:space="preserve">de participer dans les activités de l’UNESCO sur le projet </w:t>
      </w:r>
      <w:proofErr w:type="spellStart"/>
      <w:r>
        <w:t>ISLANDWatch</w:t>
      </w:r>
      <w:proofErr w:type="spellEnd"/>
      <w:r w:rsidR="006B19AB">
        <w:t>,</w:t>
      </w:r>
      <w:r>
        <w:t xml:space="preserve"> portant sur l’éducation à l’environnement. </w:t>
      </w:r>
      <w:r w:rsidR="00B61AA6">
        <w:t>Dans le cadre du projet RECOS, des échanges sont en cours sur l’implication des écoles dans le cadre d</w:t>
      </w:r>
      <w:r w:rsidR="006B19AB">
        <w:t>u</w:t>
      </w:r>
      <w:r w:rsidR="00B61AA6">
        <w:t xml:space="preserve"> suivi</w:t>
      </w:r>
      <w:r w:rsidR="006E50D1">
        <w:t xml:space="preserve"> des traits de côtes. </w:t>
      </w:r>
      <w:r>
        <w:t>L’accord a été sign</w:t>
      </w:r>
      <w:r w:rsidR="006B19AB">
        <w:t>é</w:t>
      </w:r>
      <w:r>
        <w:t xml:space="preserve"> lors de la 4eme Conf</w:t>
      </w:r>
      <w:r w:rsidR="006B19AB">
        <w:t>é</w:t>
      </w:r>
      <w:r>
        <w:t>rence International</w:t>
      </w:r>
      <w:r w:rsidR="006B19AB">
        <w:t>e</w:t>
      </w:r>
      <w:r>
        <w:t xml:space="preserve"> sur les PEID. Des </w:t>
      </w:r>
      <w:r w:rsidR="00B61AA6">
        <w:t>échanges sont</w:t>
      </w:r>
      <w:r>
        <w:t xml:space="preserve"> en cours avec l’UNESCO en vue de préparer un événement lors de la</w:t>
      </w:r>
      <w:r w:rsidR="00B61AA6">
        <w:t xml:space="preserve"> </w:t>
      </w:r>
      <w:r>
        <w:t>3eme Conf</w:t>
      </w:r>
      <w:r w:rsidR="006B19AB">
        <w:t>é</w:t>
      </w:r>
      <w:r>
        <w:t xml:space="preserve">rence sur les </w:t>
      </w:r>
      <w:r w:rsidR="00B61AA6">
        <w:t>océans (UNOC3) prévu</w:t>
      </w:r>
      <w:r w:rsidR="006B19AB">
        <w:t>e</w:t>
      </w:r>
      <w:r w:rsidR="00B61AA6">
        <w:t xml:space="preserve"> à Nice France en juin 2025</w:t>
      </w:r>
      <w:r w:rsidR="006B19AB">
        <w:t>.</w:t>
      </w:r>
    </w:p>
    <w:p w14:paraId="004F8498" w14:textId="7F3EDBFB" w:rsidR="00955BB3" w:rsidRDefault="00955BB3" w:rsidP="0008468B">
      <w:pPr>
        <w:pStyle w:val="Paragraphedeliste"/>
        <w:jc w:val="both"/>
        <w:rPr>
          <w:rFonts w:ascii="Verdana" w:hAnsi="Verdana" w:cs="Calibri"/>
          <w:sz w:val="20"/>
          <w:szCs w:val="20"/>
        </w:rPr>
      </w:pPr>
    </w:p>
    <w:p w14:paraId="2F7F5914" w14:textId="608AD6BB" w:rsidR="00955BB3" w:rsidRPr="0008468B" w:rsidRDefault="00955BB3" w:rsidP="00A70123">
      <w:pPr>
        <w:pStyle w:val="Titrepartie"/>
      </w:pPr>
      <w:r w:rsidRPr="0008468B">
        <w:lastRenderedPageBreak/>
        <w:t>Proposition de décision</w:t>
      </w:r>
    </w:p>
    <w:p w14:paraId="05F1F967" w14:textId="39DAAC56" w:rsidR="0008468B" w:rsidRPr="004F5C4B" w:rsidRDefault="0008468B" w:rsidP="006B19AB">
      <w:pPr>
        <w:pStyle w:val="Paragraphe"/>
        <w:ind w:left="284"/>
      </w:pPr>
      <w:r w:rsidRPr="004F5C4B">
        <w:t>Le Comité des OPL</w:t>
      </w:r>
      <w:r w:rsidR="00A76B07">
        <w:t> :</w:t>
      </w:r>
    </w:p>
    <w:p w14:paraId="5BBC2705" w14:textId="3613E1C1" w:rsidR="00FB3B37" w:rsidRDefault="00FB3B37" w:rsidP="00FB3B37">
      <w:pPr>
        <w:pStyle w:val="Paragraphe"/>
        <w:numPr>
          <w:ilvl w:val="0"/>
          <w:numId w:val="6"/>
        </w:numPr>
      </w:pPr>
      <w:r>
        <w:t>Prend note des informations fourni</w:t>
      </w:r>
      <w:r w:rsidR="006B19AB">
        <w:t>es</w:t>
      </w:r>
      <w:r>
        <w:t xml:space="preserve"> </w:t>
      </w:r>
      <w:r w:rsidR="004D4EBF">
        <w:t xml:space="preserve">sur l’état d’avancement des projets </w:t>
      </w:r>
      <w:r w:rsidR="003C03D4">
        <w:t xml:space="preserve">et </w:t>
      </w:r>
      <w:r w:rsidR="00480D30">
        <w:t>les collaborations</w:t>
      </w:r>
      <w:r w:rsidR="003C03D4">
        <w:t xml:space="preserve"> avec les </w:t>
      </w:r>
      <w:r w:rsidR="006E50D1">
        <w:t>A</w:t>
      </w:r>
      <w:r w:rsidR="003C03D4">
        <w:t xml:space="preserve">gences </w:t>
      </w:r>
      <w:r w:rsidR="006B19AB">
        <w:t>du</w:t>
      </w:r>
      <w:r w:rsidR="003C03D4">
        <w:t xml:space="preserve"> système de </w:t>
      </w:r>
      <w:r w:rsidR="006E50D1">
        <w:t>N</w:t>
      </w:r>
      <w:r w:rsidR="003C03D4">
        <w:t xml:space="preserve">ations </w:t>
      </w:r>
      <w:r w:rsidR="006E50D1">
        <w:t>u</w:t>
      </w:r>
      <w:r w:rsidR="003C03D4">
        <w:t>nies</w:t>
      </w:r>
      <w:r w:rsidR="006E50D1">
        <w:t> ;</w:t>
      </w:r>
    </w:p>
    <w:p w14:paraId="1633BA9B" w14:textId="3AF93F52" w:rsidR="00FB3B37" w:rsidRDefault="004D4EBF" w:rsidP="00FB3B37">
      <w:pPr>
        <w:pStyle w:val="Paragraphe"/>
        <w:numPr>
          <w:ilvl w:val="0"/>
          <w:numId w:val="6"/>
        </w:numPr>
      </w:pPr>
      <w:r>
        <w:t>Félicite</w:t>
      </w:r>
      <w:r w:rsidR="00FB3B37">
        <w:t xml:space="preserve"> le Secr</w:t>
      </w:r>
      <w:r w:rsidR="006B19AB">
        <w:t>é</w:t>
      </w:r>
      <w:r w:rsidR="00FB3B37">
        <w:t xml:space="preserve">tariat général pour les mesures de redressement du projet Hydromet et demande au </w:t>
      </w:r>
      <w:r w:rsidR="006B19AB">
        <w:t>S</w:t>
      </w:r>
      <w:r w:rsidR="00FB3B37">
        <w:t>ecréta</w:t>
      </w:r>
      <w:r w:rsidR="006E50D1">
        <w:t>riat</w:t>
      </w:r>
      <w:r w:rsidR="00FB3B37">
        <w:t xml:space="preserve"> général de se </w:t>
      </w:r>
      <w:r>
        <w:t>rapproche</w:t>
      </w:r>
      <w:r w:rsidR="006B19AB">
        <w:t>r</w:t>
      </w:r>
      <w:r w:rsidR="00FB3B37">
        <w:t xml:space="preserve"> de l’AFD pour </w:t>
      </w:r>
      <w:r>
        <w:t>une   prolongation de la Convention de finance</w:t>
      </w:r>
      <w:r w:rsidR="006B19AB">
        <w:t>me</w:t>
      </w:r>
      <w:r>
        <w:t>nt avec l’</w:t>
      </w:r>
      <w:r w:rsidR="006B19AB">
        <w:t>U</w:t>
      </w:r>
      <w:r>
        <w:t>nion européenne</w:t>
      </w:r>
      <w:r w:rsidR="006B19AB">
        <w:t>,</w:t>
      </w:r>
      <w:r>
        <w:t xml:space="preserve"> en vue de garantir la subvention </w:t>
      </w:r>
      <w:r w:rsidR="006E50D1">
        <w:t>européenne</w:t>
      </w:r>
      <w:r>
        <w:t xml:space="preserve"> sur ce projet jusqu’à la fin de la période de mise en œuvre ;</w:t>
      </w:r>
    </w:p>
    <w:p w14:paraId="7A71F963" w14:textId="2963F4D4" w:rsidR="003C03D4" w:rsidRDefault="00FB3B37" w:rsidP="00FB3B37">
      <w:pPr>
        <w:pStyle w:val="Paragraphe"/>
        <w:numPr>
          <w:ilvl w:val="0"/>
          <w:numId w:val="6"/>
        </w:numPr>
      </w:pPr>
      <w:r>
        <w:t xml:space="preserve">Demande au </w:t>
      </w:r>
      <w:r w:rsidR="004D4EBF">
        <w:t>S</w:t>
      </w:r>
      <w:r>
        <w:t>ecréta</w:t>
      </w:r>
      <w:r w:rsidR="006E50D1">
        <w:t>riat</w:t>
      </w:r>
      <w:r>
        <w:t xml:space="preserve"> général </w:t>
      </w:r>
      <w:r w:rsidR="004D4EBF">
        <w:t>de</w:t>
      </w:r>
      <w:r w:rsidR="003C03D4">
        <w:t> :</w:t>
      </w:r>
    </w:p>
    <w:p w14:paraId="177DF26E" w14:textId="6E08B92A" w:rsidR="003C03D4" w:rsidRDefault="003C03D4" w:rsidP="003C03D4">
      <w:pPr>
        <w:pStyle w:val="Paragraphe"/>
        <w:numPr>
          <w:ilvl w:val="0"/>
          <w:numId w:val="14"/>
        </w:numPr>
      </w:pPr>
      <w:r>
        <w:t>Procéder</w:t>
      </w:r>
      <w:r w:rsidR="004D4EBF">
        <w:t xml:space="preserve"> à la signature du </w:t>
      </w:r>
      <w:proofErr w:type="spellStart"/>
      <w:r>
        <w:t>MoU</w:t>
      </w:r>
      <w:proofErr w:type="spellEnd"/>
      <w:r>
        <w:t xml:space="preserve"> avec</w:t>
      </w:r>
      <w:r w:rsidR="004D4EBF">
        <w:t xml:space="preserve"> la </w:t>
      </w:r>
      <w:r w:rsidR="006E50D1">
        <w:t>F</w:t>
      </w:r>
      <w:r w:rsidR="004D4EBF">
        <w:t xml:space="preserve">édération de la </w:t>
      </w:r>
      <w:r w:rsidR="006B19AB">
        <w:t>C</w:t>
      </w:r>
      <w:r w:rsidR="004D4EBF">
        <w:t>roi</w:t>
      </w:r>
      <w:r w:rsidR="006B19AB">
        <w:t>x</w:t>
      </w:r>
      <w:r w:rsidR="004D4EBF">
        <w:t xml:space="preserve"> </w:t>
      </w:r>
      <w:r w:rsidR="006B19AB">
        <w:t>R</w:t>
      </w:r>
      <w:r w:rsidR="004D4EBF">
        <w:t xml:space="preserve">ouge et </w:t>
      </w:r>
      <w:r w:rsidR="006B19AB">
        <w:t>C</w:t>
      </w:r>
      <w:r w:rsidR="004D4EBF">
        <w:t xml:space="preserve">roissant </w:t>
      </w:r>
      <w:r w:rsidR="006B19AB">
        <w:t>R</w:t>
      </w:r>
      <w:r w:rsidR="004D4EBF">
        <w:t xml:space="preserve">ouge </w:t>
      </w:r>
      <w:r w:rsidR="006B19AB">
        <w:t>I</w:t>
      </w:r>
      <w:r w:rsidR="004D4EBF">
        <w:t xml:space="preserve">nternationale </w:t>
      </w:r>
    </w:p>
    <w:p w14:paraId="771906E0" w14:textId="67954D00" w:rsidR="003C03D4" w:rsidRDefault="003C03D4" w:rsidP="003C03D4">
      <w:pPr>
        <w:pStyle w:val="Paragraphe"/>
        <w:numPr>
          <w:ilvl w:val="0"/>
          <w:numId w:val="14"/>
        </w:numPr>
      </w:pPr>
      <w:r>
        <w:t>Finaliser la discussion avec la Convention de Nairobi en vu</w:t>
      </w:r>
      <w:r w:rsidR="006B19AB">
        <w:t>e</w:t>
      </w:r>
      <w:r>
        <w:t xml:space="preserve"> de la signature d’un </w:t>
      </w:r>
      <w:r w:rsidR="006E50D1">
        <w:t>protocole d’entente (</w:t>
      </w:r>
      <w:proofErr w:type="spellStart"/>
      <w:r w:rsidR="006E50D1">
        <w:t>MoU</w:t>
      </w:r>
      <w:proofErr w:type="spellEnd"/>
      <w:r w:rsidR="006E50D1">
        <w:t>)</w:t>
      </w:r>
      <w:r>
        <w:t xml:space="preserve"> </w:t>
      </w:r>
      <w:r w:rsidR="006E50D1">
        <w:t xml:space="preserve">renouvelé </w:t>
      </w:r>
      <w:r>
        <w:t xml:space="preserve">permettant </w:t>
      </w:r>
      <w:r w:rsidR="006E50D1">
        <w:t xml:space="preserve">à </w:t>
      </w:r>
      <w:r>
        <w:t xml:space="preserve">la COI de jouer son rôle de </w:t>
      </w:r>
      <w:r w:rsidR="00480D30">
        <w:t xml:space="preserve">partenaire </w:t>
      </w:r>
      <w:r w:rsidR="006B19AB">
        <w:t>à</w:t>
      </w:r>
      <w:r w:rsidR="00480D30">
        <w:t xml:space="preserve"> la mise en œuvre des décisions des COP ainsi que </w:t>
      </w:r>
      <w:r w:rsidR="006E50D1">
        <w:t xml:space="preserve">de </w:t>
      </w:r>
      <w:r w:rsidR="00480D30">
        <w:t>la Stratégie régional</w:t>
      </w:r>
      <w:r w:rsidR="006B19AB">
        <w:t>e</w:t>
      </w:r>
      <w:r w:rsidR="00480D30">
        <w:t xml:space="preserve"> sur la gouvernance</w:t>
      </w:r>
      <w:r w:rsidR="006E50D1">
        <w:t xml:space="preserve"> de l’océan</w:t>
      </w:r>
      <w:r w:rsidR="00480D30">
        <w:t xml:space="preserve">. </w:t>
      </w:r>
    </w:p>
    <w:p w14:paraId="0A206295" w14:textId="405A6274" w:rsidR="00A76B07" w:rsidRDefault="006E50D1" w:rsidP="003C03D4">
      <w:pPr>
        <w:pStyle w:val="Paragraphe"/>
        <w:numPr>
          <w:ilvl w:val="0"/>
          <w:numId w:val="14"/>
        </w:numPr>
      </w:pPr>
      <w:r>
        <w:t>Finaliser les démarches avec le PNUD en vue de la signature de</w:t>
      </w:r>
      <w:r w:rsidR="003C03D4">
        <w:t xml:space="preserve"> la lettre d’entendre pour la collaboration sur le projet GEF8 sur le BGI-IP</w:t>
      </w:r>
      <w:r w:rsidR="00480D30">
        <w:t xml:space="preserve"> en faveur des </w:t>
      </w:r>
      <w:r w:rsidR="006B19AB">
        <w:t>E</w:t>
      </w:r>
      <w:r w:rsidR="00480D30">
        <w:t>tats insulaires de l’atlantique et l’océan Indien</w:t>
      </w:r>
      <w:r w:rsidR="0017410D">
        <w:t>.</w:t>
      </w:r>
    </w:p>
    <w:p w14:paraId="29A2DD8D" w14:textId="77777777" w:rsidR="0017410D" w:rsidRDefault="0017410D" w:rsidP="0017410D">
      <w:pPr>
        <w:pStyle w:val="Paragraphe"/>
        <w:ind w:left="720"/>
      </w:pPr>
    </w:p>
    <w:p w14:paraId="7EAEB404" w14:textId="72ACB4A7" w:rsidR="00955BB3" w:rsidRPr="0008468B" w:rsidRDefault="00955BB3" w:rsidP="00FE285D">
      <w:pPr>
        <w:pStyle w:val="Titrepartie"/>
      </w:pPr>
      <w:r w:rsidRPr="0008468B">
        <w:t>Rappel des décisions antérieures</w:t>
      </w:r>
    </w:p>
    <w:bookmarkEnd w:id="0"/>
    <w:p w14:paraId="623000D0" w14:textId="1CD19612" w:rsidR="0008468B" w:rsidRPr="00FE285D" w:rsidRDefault="00FE285D" w:rsidP="0017410D">
      <w:pPr>
        <w:pStyle w:val="Exergue"/>
        <w:ind w:left="284"/>
      </w:pPr>
      <w:r>
        <w:t>Cf.</w:t>
      </w:r>
      <w:r w:rsidR="0008468B" w:rsidRPr="00FE285D">
        <w:t xml:space="preserve"> Décision </w:t>
      </w:r>
      <w:r w:rsidR="0017410D">
        <w:t>38</w:t>
      </w:r>
      <w:r w:rsidR="0017410D" w:rsidRPr="0017410D">
        <w:rPr>
          <w:vertAlign w:val="superscript"/>
        </w:rPr>
        <w:t>e</w:t>
      </w:r>
      <w:r w:rsidR="0017410D">
        <w:t xml:space="preserve"> Conseil</w:t>
      </w:r>
      <w:r w:rsidR="0008468B" w:rsidRPr="00FE285D">
        <w:t xml:space="preserve"> </w:t>
      </w:r>
      <w:r w:rsidR="00A76B07">
        <w:t>[</w:t>
      </w:r>
      <w:r w:rsidR="0017410D">
        <w:t>Résilience Climatique</w:t>
      </w:r>
      <w:r w:rsidR="00A76B07">
        <w:t xml:space="preserve">], </w:t>
      </w:r>
      <w:r w:rsidR="0017410D">
        <w:t>16 mai 2024</w:t>
      </w:r>
    </w:p>
    <w:p w14:paraId="0018F37D" w14:textId="77777777" w:rsidR="0017410D" w:rsidRDefault="0017410D" w:rsidP="0017410D">
      <w:pPr>
        <w:pBdr>
          <w:top w:val="nil"/>
          <w:left w:val="nil"/>
          <w:bottom w:val="nil"/>
          <w:right w:val="nil"/>
          <w:between w:val="nil"/>
        </w:pBdr>
        <w:spacing w:after="120" w:line="249" w:lineRule="auto"/>
        <w:jc w:val="both"/>
        <w:rPr>
          <w:rFonts w:ascii="Verdana" w:eastAsia="Verdana" w:hAnsi="Verdana" w:cs="Courier New"/>
          <w:color w:val="000000"/>
          <w:sz w:val="20"/>
          <w:szCs w:val="20"/>
        </w:rPr>
      </w:pPr>
    </w:p>
    <w:p w14:paraId="097D9A11" w14:textId="77777777" w:rsidR="00163EAB" w:rsidRPr="00C54EF7" w:rsidRDefault="00163EAB" w:rsidP="00163EAB">
      <w:pPr>
        <w:spacing w:after="0" w:line="276" w:lineRule="auto"/>
        <w:jc w:val="center"/>
        <w:rPr>
          <w:rFonts w:ascii="Verdana" w:hAnsi="Verdana"/>
          <w:b/>
          <w:bCs/>
          <w:sz w:val="20"/>
          <w:szCs w:val="20"/>
        </w:rPr>
      </w:pPr>
      <w:r w:rsidRPr="00C54EF7">
        <w:rPr>
          <w:rFonts w:ascii="Verdana" w:hAnsi="Verdana"/>
          <w:b/>
          <w:bCs/>
          <w:sz w:val="20"/>
          <w:szCs w:val="20"/>
        </w:rPr>
        <w:t>Décision 10. Résilience climatique</w:t>
      </w:r>
    </w:p>
    <w:p w14:paraId="328C24FD" w14:textId="77777777" w:rsidR="00163EAB" w:rsidRPr="00C54EF7" w:rsidRDefault="00163EAB" w:rsidP="00163EAB">
      <w:pPr>
        <w:pBdr>
          <w:top w:val="nil"/>
          <w:left w:val="nil"/>
          <w:bottom w:val="nil"/>
          <w:right w:val="nil"/>
          <w:between w:val="nil"/>
        </w:pBdr>
        <w:spacing w:after="0" w:line="249" w:lineRule="auto"/>
        <w:rPr>
          <w:rFonts w:ascii="Verdana" w:eastAsia="Verdana" w:hAnsi="Verdana" w:cs="Courier New"/>
          <w:color w:val="000000"/>
          <w:sz w:val="20"/>
          <w:szCs w:val="20"/>
        </w:rPr>
      </w:pPr>
      <w:r w:rsidRPr="00C54EF7">
        <w:rPr>
          <w:rFonts w:ascii="Verdana" w:eastAsia="Verdana" w:hAnsi="Verdana" w:cs="Courier New"/>
          <w:color w:val="000000"/>
          <w:sz w:val="20"/>
          <w:szCs w:val="20"/>
        </w:rPr>
        <w:t xml:space="preserve">Le Conseil des ministres : </w:t>
      </w:r>
    </w:p>
    <w:p w14:paraId="4573DB32" w14:textId="77777777" w:rsidR="00163EAB" w:rsidRPr="00C54EF7" w:rsidRDefault="00163EAB" w:rsidP="00163EAB">
      <w:pPr>
        <w:pStyle w:val="Paragraphedeliste"/>
        <w:numPr>
          <w:ilvl w:val="0"/>
          <w:numId w:val="15"/>
        </w:numPr>
        <w:pBdr>
          <w:top w:val="nil"/>
          <w:left w:val="nil"/>
          <w:bottom w:val="nil"/>
          <w:right w:val="nil"/>
          <w:between w:val="nil"/>
        </w:pBdr>
        <w:spacing w:after="0" w:line="249" w:lineRule="auto"/>
        <w:contextualSpacing w:val="0"/>
        <w:jc w:val="both"/>
        <w:rPr>
          <w:rFonts w:ascii="Verdana" w:eastAsia="Verdana" w:hAnsi="Verdana" w:cs="Courier New"/>
          <w:color w:val="000000"/>
          <w:sz w:val="20"/>
          <w:szCs w:val="20"/>
        </w:rPr>
      </w:pPr>
      <w:r w:rsidRPr="00C54EF7">
        <w:rPr>
          <w:rFonts w:ascii="Verdana" w:eastAsia="Verdana" w:hAnsi="Verdana" w:cs="Courier New"/>
          <w:color w:val="000000"/>
          <w:sz w:val="20"/>
          <w:szCs w:val="20"/>
        </w:rPr>
        <w:t xml:space="preserve">Exprime sa solidarité à la République de Madagascar qui a été durement touchée par le passage du cyclone </w:t>
      </w:r>
      <w:proofErr w:type="spellStart"/>
      <w:r w:rsidRPr="00C54EF7">
        <w:rPr>
          <w:rFonts w:ascii="Verdana" w:eastAsia="Verdana" w:hAnsi="Verdana" w:cs="Courier New"/>
          <w:color w:val="000000"/>
          <w:sz w:val="20"/>
          <w:szCs w:val="20"/>
        </w:rPr>
        <w:t>Gamane</w:t>
      </w:r>
      <w:proofErr w:type="spellEnd"/>
      <w:r w:rsidRPr="00C54EF7">
        <w:rPr>
          <w:rFonts w:ascii="Verdana" w:eastAsia="Verdana" w:hAnsi="Verdana" w:cs="Courier New"/>
          <w:color w:val="000000"/>
          <w:sz w:val="20"/>
          <w:szCs w:val="20"/>
        </w:rPr>
        <w:t xml:space="preserve"> ainsi qu’aux autres Etats membres ayant subi des pertes et dommages importants à la suite d’évènements climatiques extrêmes ; </w:t>
      </w:r>
    </w:p>
    <w:p w14:paraId="08ACEC7A" w14:textId="77777777" w:rsidR="00163EAB" w:rsidRPr="00C54EF7" w:rsidRDefault="00163EAB" w:rsidP="00163EAB">
      <w:pPr>
        <w:pStyle w:val="Paragraphedeliste"/>
        <w:numPr>
          <w:ilvl w:val="0"/>
          <w:numId w:val="15"/>
        </w:numPr>
        <w:pBdr>
          <w:top w:val="nil"/>
          <w:left w:val="nil"/>
          <w:bottom w:val="nil"/>
          <w:right w:val="nil"/>
          <w:between w:val="nil"/>
        </w:pBdr>
        <w:spacing w:after="0" w:line="249" w:lineRule="auto"/>
        <w:contextualSpacing w:val="0"/>
        <w:jc w:val="both"/>
        <w:rPr>
          <w:rFonts w:ascii="Verdana" w:eastAsia="Verdana" w:hAnsi="Verdana" w:cs="Courier New"/>
          <w:color w:val="000000"/>
          <w:sz w:val="20"/>
          <w:szCs w:val="20"/>
        </w:rPr>
      </w:pPr>
      <w:r w:rsidRPr="00C54EF7">
        <w:rPr>
          <w:rFonts w:ascii="Verdana" w:eastAsia="Verdana" w:hAnsi="Verdana" w:cs="Courier New"/>
          <w:color w:val="000000"/>
          <w:sz w:val="20"/>
          <w:szCs w:val="20"/>
        </w:rPr>
        <w:t xml:space="preserve">Prend note des actions de renforcement de capacités des institutions nationales pour la prévention et la réduction des risques de catastrophes et invite le Secrétariat général à conduire une réflexion avec les Etats membres sur les mécanismes de soutien envisageables en réponse aux situations d’urgence et de reconstruction post-catastrophes ; </w:t>
      </w:r>
    </w:p>
    <w:p w14:paraId="6CF8B998" w14:textId="77777777" w:rsidR="00163EAB" w:rsidRPr="00C54EF7" w:rsidRDefault="00163EAB" w:rsidP="00163EAB">
      <w:pPr>
        <w:pStyle w:val="Paragraphedeliste"/>
        <w:numPr>
          <w:ilvl w:val="0"/>
          <w:numId w:val="15"/>
        </w:numPr>
        <w:pBdr>
          <w:top w:val="nil"/>
          <w:left w:val="nil"/>
          <w:bottom w:val="nil"/>
          <w:right w:val="nil"/>
          <w:between w:val="nil"/>
        </w:pBdr>
        <w:spacing w:after="0" w:line="249" w:lineRule="auto"/>
        <w:contextualSpacing w:val="0"/>
        <w:jc w:val="both"/>
        <w:rPr>
          <w:rFonts w:ascii="Verdana" w:eastAsia="Verdana" w:hAnsi="Verdana" w:cs="Courier New"/>
          <w:color w:val="000000"/>
          <w:sz w:val="20"/>
          <w:szCs w:val="20"/>
        </w:rPr>
      </w:pPr>
      <w:r w:rsidRPr="00C54EF7">
        <w:rPr>
          <w:rFonts w:ascii="Verdana" w:eastAsia="Verdana" w:hAnsi="Verdana" w:cs="Courier New"/>
          <w:color w:val="000000"/>
          <w:sz w:val="20"/>
          <w:szCs w:val="20"/>
        </w:rPr>
        <w:t>Donne mandat au Secrétariat général pour assurer pleinement le rôle de secrétariat de la Commission des Etats insulaires d’Afrique sur le climat (AISCC) et de se positionner pour assurer la coordination du groupe Atlantique, océan Indien et mer de Chine (AIS) ;</w:t>
      </w:r>
    </w:p>
    <w:p w14:paraId="1CF4DBAE" w14:textId="77777777" w:rsidR="00163EAB" w:rsidRPr="00C54EF7" w:rsidRDefault="00163EAB" w:rsidP="00163EAB">
      <w:pPr>
        <w:pStyle w:val="Paragraphedeliste"/>
        <w:numPr>
          <w:ilvl w:val="0"/>
          <w:numId w:val="15"/>
        </w:numPr>
        <w:pBdr>
          <w:top w:val="nil"/>
          <w:left w:val="nil"/>
          <w:bottom w:val="nil"/>
          <w:right w:val="nil"/>
          <w:between w:val="nil"/>
        </w:pBdr>
        <w:spacing w:after="0" w:line="249" w:lineRule="auto"/>
        <w:contextualSpacing w:val="0"/>
        <w:jc w:val="both"/>
        <w:rPr>
          <w:rFonts w:ascii="Verdana" w:eastAsia="Verdana" w:hAnsi="Verdana" w:cs="Courier New"/>
          <w:color w:val="000000"/>
          <w:sz w:val="20"/>
          <w:szCs w:val="20"/>
        </w:rPr>
      </w:pPr>
      <w:r w:rsidRPr="00C54EF7">
        <w:rPr>
          <w:rFonts w:ascii="Verdana" w:eastAsia="Verdana" w:hAnsi="Verdana" w:cs="Courier New"/>
          <w:color w:val="000000"/>
          <w:sz w:val="20"/>
          <w:szCs w:val="20"/>
        </w:rPr>
        <w:t xml:space="preserve">Encourage le Secrétariat général à poursuivre les échanges avec </w:t>
      </w:r>
      <w:r w:rsidRPr="00C54EF7">
        <w:rPr>
          <w:rFonts w:ascii="Verdana" w:hAnsi="Verdana" w:cs="Courier New"/>
          <w:sz w:val="20"/>
          <w:szCs w:val="20"/>
        </w:rPr>
        <w:t>la Fédération internationale des sociétés de la Croix Rouge et du Croissant Rouge en vue</w:t>
      </w:r>
      <w:r w:rsidRPr="00C54EF7">
        <w:rPr>
          <w:rFonts w:ascii="Verdana" w:eastAsia="Verdana" w:hAnsi="Verdana" w:cs="Courier New"/>
          <w:color w:val="000000"/>
          <w:sz w:val="20"/>
          <w:szCs w:val="20"/>
        </w:rPr>
        <w:t xml:space="preserve"> d’un protocole d’accord ;</w:t>
      </w:r>
    </w:p>
    <w:p w14:paraId="789C6591" w14:textId="77777777" w:rsidR="00163EAB" w:rsidRPr="00C54EF7" w:rsidRDefault="00163EAB" w:rsidP="00163EAB">
      <w:pPr>
        <w:pStyle w:val="Paragraphedeliste"/>
        <w:numPr>
          <w:ilvl w:val="0"/>
          <w:numId w:val="15"/>
        </w:numPr>
        <w:pBdr>
          <w:top w:val="nil"/>
          <w:left w:val="nil"/>
          <w:bottom w:val="nil"/>
          <w:right w:val="nil"/>
          <w:between w:val="nil"/>
        </w:pBdr>
        <w:spacing w:after="0" w:line="249" w:lineRule="auto"/>
        <w:contextualSpacing w:val="0"/>
        <w:jc w:val="both"/>
        <w:rPr>
          <w:rFonts w:ascii="Verdana" w:eastAsia="Verdana" w:hAnsi="Verdana" w:cs="Courier New"/>
          <w:color w:val="000000"/>
          <w:sz w:val="20"/>
          <w:szCs w:val="20"/>
        </w:rPr>
      </w:pPr>
      <w:r w:rsidRPr="00C54EF7">
        <w:rPr>
          <w:rFonts w:ascii="Verdana" w:eastAsia="Verdana" w:hAnsi="Verdana" w:cs="Courier New"/>
          <w:color w:val="000000"/>
          <w:sz w:val="20"/>
          <w:szCs w:val="20"/>
        </w:rPr>
        <w:t>Invite le Secrétariat général à conduire une réflexion sur la mise en place d’un fonds régional de contingence permettant de disposer des moyens d’intervention dans les situations d’urgence en lien avec les contributions des partenaires et observateurs.</w:t>
      </w:r>
    </w:p>
    <w:p w14:paraId="22F17732" w14:textId="77777777" w:rsidR="00163EAB" w:rsidRPr="00C54EF7" w:rsidRDefault="00163EAB" w:rsidP="00163EAB">
      <w:pPr>
        <w:spacing w:after="0" w:line="276" w:lineRule="auto"/>
        <w:jc w:val="center"/>
        <w:rPr>
          <w:rFonts w:ascii="Verdana" w:hAnsi="Verdana"/>
          <w:b/>
          <w:bCs/>
          <w:sz w:val="20"/>
          <w:szCs w:val="20"/>
        </w:rPr>
      </w:pPr>
    </w:p>
    <w:p w14:paraId="64F5792B" w14:textId="77777777" w:rsidR="00163EAB" w:rsidRDefault="00163EAB" w:rsidP="00163EAB">
      <w:pPr>
        <w:spacing w:after="0" w:line="276" w:lineRule="auto"/>
        <w:jc w:val="center"/>
        <w:rPr>
          <w:rFonts w:ascii="Verdana" w:hAnsi="Verdana"/>
          <w:b/>
          <w:bCs/>
          <w:sz w:val="20"/>
          <w:szCs w:val="20"/>
        </w:rPr>
      </w:pPr>
    </w:p>
    <w:p w14:paraId="16000D46" w14:textId="77777777" w:rsidR="00163EAB" w:rsidRDefault="00163EAB" w:rsidP="00163EAB">
      <w:pPr>
        <w:spacing w:after="0" w:line="276" w:lineRule="auto"/>
        <w:jc w:val="center"/>
        <w:rPr>
          <w:rFonts w:ascii="Verdana" w:hAnsi="Verdana"/>
          <w:b/>
          <w:bCs/>
          <w:sz w:val="20"/>
          <w:szCs w:val="20"/>
        </w:rPr>
      </w:pPr>
    </w:p>
    <w:p w14:paraId="66455C1D" w14:textId="77777777" w:rsidR="00163EAB" w:rsidRDefault="00163EAB" w:rsidP="00163EAB">
      <w:pPr>
        <w:spacing w:after="0" w:line="276" w:lineRule="auto"/>
        <w:jc w:val="center"/>
        <w:rPr>
          <w:rFonts w:ascii="Verdana" w:hAnsi="Verdana"/>
          <w:b/>
          <w:bCs/>
          <w:sz w:val="20"/>
          <w:szCs w:val="20"/>
        </w:rPr>
      </w:pPr>
    </w:p>
    <w:p w14:paraId="28A53B4F" w14:textId="77777777" w:rsidR="00163EAB" w:rsidRDefault="00163EAB" w:rsidP="00163EAB">
      <w:pPr>
        <w:spacing w:after="0" w:line="276" w:lineRule="auto"/>
        <w:jc w:val="center"/>
        <w:rPr>
          <w:rFonts w:ascii="Verdana" w:hAnsi="Verdana"/>
          <w:b/>
          <w:bCs/>
          <w:sz w:val="20"/>
          <w:szCs w:val="20"/>
        </w:rPr>
      </w:pPr>
    </w:p>
    <w:p w14:paraId="24767509" w14:textId="0DEBC304" w:rsidR="00163EAB" w:rsidRPr="00C54EF7" w:rsidRDefault="00163EAB" w:rsidP="00163EAB">
      <w:pPr>
        <w:spacing w:after="0" w:line="276" w:lineRule="auto"/>
        <w:jc w:val="center"/>
        <w:rPr>
          <w:rFonts w:ascii="Verdana" w:hAnsi="Verdana"/>
          <w:spacing w:val="6"/>
          <w:sz w:val="20"/>
          <w:szCs w:val="20"/>
        </w:rPr>
      </w:pPr>
      <w:r w:rsidRPr="00C54EF7">
        <w:rPr>
          <w:rFonts w:ascii="Verdana" w:hAnsi="Verdana"/>
          <w:b/>
          <w:bCs/>
          <w:sz w:val="20"/>
          <w:szCs w:val="20"/>
        </w:rPr>
        <w:t>Décision 11. Biodiversité et gestion des écosystèmes</w:t>
      </w:r>
    </w:p>
    <w:p w14:paraId="6F7492C3" w14:textId="77777777" w:rsidR="00163EAB" w:rsidRPr="00C54EF7" w:rsidRDefault="00163EAB" w:rsidP="00163EAB">
      <w:pPr>
        <w:pStyle w:val="Paragraphe"/>
        <w:spacing w:after="0"/>
      </w:pPr>
      <w:r w:rsidRPr="00C54EF7">
        <w:t xml:space="preserve">Le Conseil des ministres de la COI : </w:t>
      </w:r>
    </w:p>
    <w:p w14:paraId="662F4164" w14:textId="77777777" w:rsidR="00163EAB" w:rsidRPr="00C54EF7" w:rsidRDefault="00163EAB" w:rsidP="00163EAB">
      <w:pPr>
        <w:pStyle w:val="Paragraphe"/>
        <w:numPr>
          <w:ilvl w:val="0"/>
          <w:numId w:val="16"/>
        </w:numPr>
        <w:spacing w:after="0"/>
      </w:pPr>
      <w:r w:rsidRPr="00C54EF7">
        <w:t xml:space="preserve">Demande au Secrétariat général de soumettre dans les meilleurs délais une mise à jour de l’accord de partenariat global avec l’UNESCO en veillant à prendre en compte dans les domaines de coopération : les sciences marines, les priorités globales « Afrique » et « Egalité des genres », le groupe prioritaire « PEID » ainsi que la valorisation du patrimoine matériel et immatériel de l’UNESCO des Etats membres et à associer l’ensemble des Etats membres aux activités ;  </w:t>
      </w:r>
    </w:p>
    <w:p w14:paraId="3DEC9197" w14:textId="77777777" w:rsidR="00163EAB" w:rsidRDefault="00163EAB" w:rsidP="00163EAB">
      <w:pPr>
        <w:pStyle w:val="Paragraphe"/>
        <w:numPr>
          <w:ilvl w:val="0"/>
          <w:numId w:val="16"/>
        </w:numPr>
        <w:spacing w:after="0"/>
      </w:pPr>
      <w:r w:rsidRPr="00C54EF7">
        <w:t>Prend note de la tenue de la COP11 de la Convention de Nairobi à Madagascar au mois d’août 2024 et invite le Secrétariat général à y mobiliser ses projets.</w:t>
      </w:r>
    </w:p>
    <w:p w14:paraId="056786A2" w14:textId="77777777" w:rsidR="00163EAB" w:rsidRPr="00C54EF7" w:rsidRDefault="00163EAB" w:rsidP="00163EAB">
      <w:pPr>
        <w:pStyle w:val="Paragraphe"/>
        <w:spacing w:after="0"/>
        <w:ind w:left="720"/>
      </w:pPr>
    </w:p>
    <w:p w14:paraId="379A15CA" w14:textId="77777777" w:rsidR="00163EAB" w:rsidRPr="00C54EF7" w:rsidRDefault="00163EAB" w:rsidP="00163EAB">
      <w:pPr>
        <w:spacing w:after="0" w:line="276" w:lineRule="auto"/>
        <w:jc w:val="both"/>
        <w:rPr>
          <w:rFonts w:ascii="Verdana" w:hAnsi="Verdana"/>
          <w:spacing w:val="6"/>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4090D54E" w:rsidR="00C325F5" w:rsidRDefault="00620B90" w:rsidP="00620B90">
      <w:pPr>
        <w:pStyle w:val="Paragraphe"/>
        <w:numPr>
          <w:ilvl w:val="0"/>
          <w:numId w:val="9"/>
        </w:numPr>
      </w:pPr>
      <w:r>
        <w:t xml:space="preserve">Annexe 1 : </w:t>
      </w:r>
      <w:r w:rsidR="00AB42FB">
        <w:t xml:space="preserve">Projet de </w:t>
      </w:r>
      <w:r w:rsidR="00D3175B">
        <w:t xml:space="preserve">Protocole d’Accord COI - </w:t>
      </w:r>
      <w:r w:rsidR="00AB42FB">
        <w:t>FICR</w:t>
      </w:r>
    </w:p>
    <w:p w14:paraId="33C59DCE" w14:textId="673F851B" w:rsidR="00AB42FB" w:rsidRDefault="00AB42FB" w:rsidP="00620B90">
      <w:pPr>
        <w:pStyle w:val="Paragraphe"/>
        <w:numPr>
          <w:ilvl w:val="0"/>
          <w:numId w:val="9"/>
        </w:numPr>
      </w:pPr>
      <w:r>
        <w:t>Annexe 2 : 2a – TDR</w:t>
      </w:r>
    </w:p>
    <w:p w14:paraId="191B76B4" w14:textId="1A995474" w:rsidR="00AB42FB" w:rsidRDefault="00AB42FB" w:rsidP="00AB42FB">
      <w:pPr>
        <w:pStyle w:val="Paragraphe"/>
        <w:ind w:left="1843"/>
      </w:pPr>
      <w:r>
        <w:t>2b – Lettre d’entente</w:t>
      </w:r>
    </w:p>
    <w:p w14:paraId="4648F921" w14:textId="395CD1D0" w:rsidR="008F173C" w:rsidRPr="00620B90" w:rsidRDefault="00620B90" w:rsidP="00620B90">
      <w:pPr>
        <w:pStyle w:val="Paragraphe"/>
        <w:numPr>
          <w:ilvl w:val="0"/>
          <w:numId w:val="9"/>
        </w:numPr>
      </w:pPr>
      <w:r>
        <w:t xml:space="preserve">Annexe </w:t>
      </w:r>
      <w:r w:rsidR="00AB42FB">
        <w:t>3</w:t>
      </w:r>
      <w:r>
        <w:t xml:space="preserve"> : </w:t>
      </w:r>
      <w:r w:rsidR="00AB42FB">
        <w:t>Décision</w:t>
      </w:r>
      <w:r w:rsidR="00467379">
        <w:t>s</w:t>
      </w:r>
      <w:r w:rsidR="00AB42FB">
        <w:t xml:space="preserve"> COP 11</w:t>
      </w:r>
    </w:p>
    <w:sectPr w:rsidR="008F173C"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05B30" w14:textId="77777777" w:rsidR="00172FF2" w:rsidRDefault="00172FF2">
      <w:pPr>
        <w:spacing w:after="0" w:line="240" w:lineRule="auto"/>
      </w:pPr>
      <w:r>
        <w:separator/>
      </w:r>
    </w:p>
  </w:endnote>
  <w:endnote w:type="continuationSeparator" w:id="0">
    <w:p w14:paraId="2D3D758C" w14:textId="77777777" w:rsidR="00172FF2" w:rsidRDefault="0017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A23FA" w14:textId="77777777" w:rsidR="00172FF2" w:rsidRDefault="00172FF2">
      <w:pPr>
        <w:spacing w:after="0" w:line="240" w:lineRule="auto"/>
      </w:pPr>
      <w:r>
        <w:separator/>
      </w:r>
    </w:p>
  </w:footnote>
  <w:footnote w:type="continuationSeparator" w:id="0">
    <w:p w14:paraId="09D836AF" w14:textId="77777777" w:rsidR="00172FF2" w:rsidRDefault="00172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17793" w14:textId="0291E5D7" w:rsidR="00AA63A3" w:rsidRDefault="00854EEA" w:rsidP="005B3A54">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B3A54">
      <w:rPr>
        <w:rFonts w:ascii="Verdana" w:hAnsi="Verdana"/>
        <w:b/>
        <w:bCs/>
        <w:sz w:val="20"/>
        <w:szCs w:val="20"/>
      </w:rPr>
      <w:t>2.1</w:t>
    </w:r>
    <w:r w:rsidR="00F877B2">
      <w:rPr>
        <w:rFonts w:ascii="Verdana" w:hAnsi="Verdana"/>
        <w:b/>
        <w:bCs/>
        <w:sz w:val="20"/>
        <w:szCs w:val="20"/>
      </w:rPr>
      <w:t>3</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1792306">
    <w:abstractNumId w:val="5"/>
  </w:num>
  <w:num w:numId="2" w16cid:durableId="1770396224">
    <w:abstractNumId w:val="10"/>
  </w:num>
  <w:num w:numId="3" w16cid:durableId="122770673">
    <w:abstractNumId w:val="3"/>
  </w:num>
  <w:num w:numId="4" w16cid:durableId="371343820">
    <w:abstractNumId w:val="1"/>
  </w:num>
  <w:num w:numId="5" w16cid:durableId="940602662">
    <w:abstractNumId w:val="9"/>
  </w:num>
  <w:num w:numId="6" w16cid:durableId="1830973238">
    <w:abstractNumId w:val="4"/>
  </w:num>
  <w:num w:numId="7" w16cid:durableId="183597694">
    <w:abstractNumId w:val="6"/>
  </w:num>
  <w:num w:numId="8" w16cid:durableId="500895386">
    <w:abstractNumId w:val="3"/>
    <w:lvlOverride w:ilvl="0">
      <w:startOverride w:val="1"/>
    </w:lvlOverride>
  </w:num>
  <w:num w:numId="9" w16cid:durableId="889926590">
    <w:abstractNumId w:val="2"/>
  </w:num>
  <w:num w:numId="10" w16cid:durableId="1273830040">
    <w:abstractNumId w:val="13"/>
  </w:num>
  <w:num w:numId="11" w16cid:durableId="1432117713">
    <w:abstractNumId w:val="8"/>
  </w:num>
  <w:num w:numId="12" w16cid:durableId="1590306601">
    <w:abstractNumId w:val="0"/>
  </w:num>
  <w:num w:numId="13" w16cid:durableId="477113112">
    <w:abstractNumId w:val="11"/>
  </w:num>
  <w:num w:numId="14" w16cid:durableId="2010281517">
    <w:abstractNumId w:val="7"/>
  </w:num>
  <w:num w:numId="15" w16cid:durableId="337733211">
    <w:abstractNumId w:val="14"/>
  </w:num>
  <w:num w:numId="16" w16cid:durableId="1717046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27E"/>
    <w:rsid w:val="00007900"/>
    <w:rsid w:val="000220CF"/>
    <w:rsid w:val="000373B2"/>
    <w:rsid w:val="00042CF5"/>
    <w:rsid w:val="00060CA0"/>
    <w:rsid w:val="00063A26"/>
    <w:rsid w:val="0008409C"/>
    <w:rsid w:val="0008468B"/>
    <w:rsid w:val="000A468A"/>
    <w:rsid w:val="000B0FBD"/>
    <w:rsid w:val="000B1B75"/>
    <w:rsid w:val="000F4728"/>
    <w:rsid w:val="00107D9D"/>
    <w:rsid w:val="00163EAB"/>
    <w:rsid w:val="00172FF2"/>
    <w:rsid w:val="0017410D"/>
    <w:rsid w:val="0018252D"/>
    <w:rsid w:val="0018467B"/>
    <w:rsid w:val="001A56F1"/>
    <w:rsid w:val="001B4738"/>
    <w:rsid w:val="001B4B3E"/>
    <w:rsid w:val="001D3DBB"/>
    <w:rsid w:val="00221DB9"/>
    <w:rsid w:val="0025268C"/>
    <w:rsid w:val="002A0933"/>
    <w:rsid w:val="002A096E"/>
    <w:rsid w:val="002C56ED"/>
    <w:rsid w:val="002E496C"/>
    <w:rsid w:val="002E5AA4"/>
    <w:rsid w:val="00326460"/>
    <w:rsid w:val="00331EFE"/>
    <w:rsid w:val="003604B9"/>
    <w:rsid w:val="003772FB"/>
    <w:rsid w:val="00391152"/>
    <w:rsid w:val="003C03D4"/>
    <w:rsid w:val="003C2538"/>
    <w:rsid w:val="003D485F"/>
    <w:rsid w:val="003D5328"/>
    <w:rsid w:val="0041278C"/>
    <w:rsid w:val="00417683"/>
    <w:rsid w:val="00426673"/>
    <w:rsid w:val="00433B9B"/>
    <w:rsid w:val="00456464"/>
    <w:rsid w:val="004607F7"/>
    <w:rsid w:val="00467379"/>
    <w:rsid w:val="00480D30"/>
    <w:rsid w:val="004D4BC2"/>
    <w:rsid w:val="004D4EBF"/>
    <w:rsid w:val="004F5C4B"/>
    <w:rsid w:val="0053773D"/>
    <w:rsid w:val="0054347B"/>
    <w:rsid w:val="005439C0"/>
    <w:rsid w:val="00561CB6"/>
    <w:rsid w:val="00574DE2"/>
    <w:rsid w:val="00593A8C"/>
    <w:rsid w:val="005963B4"/>
    <w:rsid w:val="005A30AE"/>
    <w:rsid w:val="005A4657"/>
    <w:rsid w:val="005A5F32"/>
    <w:rsid w:val="005B0E6B"/>
    <w:rsid w:val="005B253D"/>
    <w:rsid w:val="005B3A54"/>
    <w:rsid w:val="005D13B2"/>
    <w:rsid w:val="005E6F02"/>
    <w:rsid w:val="006125C6"/>
    <w:rsid w:val="00620B90"/>
    <w:rsid w:val="0062124A"/>
    <w:rsid w:val="006356AF"/>
    <w:rsid w:val="006548BF"/>
    <w:rsid w:val="00660504"/>
    <w:rsid w:val="006B188E"/>
    <w:rsid w:val="006B19AB"/>
    <w:rsid w:val="006E2D9E"/>
    <w:rsid w:val="006E50D1"/>
    <w:rsid w:val="006F3770"/>
    <w:rsid w:val="00735EE6"/>
    <w:rsid w:val="00745EE8"/>
    <w:rsid w:val="007601F2"/>
    <w:rsid w:val="00762819"/>
    <w:rsid w:val="007811A2"/>
    <w:rsid w:val="007B245C"/>
    <w:rsid w:val="007C1F02"/>
    <w:rsid w:val="007C644A"/>
    <w:rsid w:val="007C78FC"/>
    <w:rsid w:val="007D1A26"/>
    <w:rsid w:val="00816DAC"/>
    <w:rsid w:val="0083290E"/>
    <w:rsid w:val="00843FF2"/>
    <w:rsid w:val="008453AB"/>
    <w:rsid w:val="00854EEA"/>
    <w:rsid w:val="008551DA"/>
    <w:rsid w:val="008D193F"/>
    <w:rsid w:val="008F173C"/>
    <w:rsid w:val="00955BB3"/>
    <w:rsid w:val="009A043C"/>
    <w:rsid w:val="009A38AD"/>
    <w:rsid w:val="009B1A7D"/>
    <w:rsid w:val="009E3526"/>
    <w:rsid w:val="00A148A1"/>
    <w:rsid w:val="00A36C09"/>
    <w:rsid w:val="00A37C51"/>
    <w:rsid w:val="00A37C9F"/>
    <w:rsid w:val="00A5332A"/>
    <w:rsid w:val="00A605E9"/>
    <w:rsid w:val="00A70123"/>
    <w:rsid w:val="00A76B07"/>
    <w:rsid w:val="00A81B98"/>
    <w:rsid w:val="00A90305"/>
    <w:rsid w:val="00A90ED8"/>
    <w:rsid w:val="00AA63A3"/>
    <w:rsid w:val="00AB42FB"/>
    <w:rsid w:val="00AB5EB7"/>
    <w:rsid w:val="00AD4D97"/>
    <w:rsid w:val="00AE2453"/>
    <w:rsid w:val="00AF205D"/>
    <w:rsid w:val="00B05DFC"/>
    <w:rsid w:val="00B36EEA"/>
    <w:rsid w:val="00B52ED9"/>
    <w:rsid w:val="00B61AA6"/>
    <w:rsid w:val="00B65480"/>
    <w:rsid w:val="00BA4B55"/>
    <w:rsid w:val="00BB0861"/>
    <w:rsid w:val="00BE178B"/>
    <w:rsid w:val="00BE4DD6"/>
    <w:rsid w:val="00C12C93"/>
    <w:rsid w:val="00C325F5"/>
    <w:rsid w:val="00C457E8"/>
    <w:rsid w:val="00C609B9"/>
    <w:rsid w:val="00C73A50"/>
    <w:rsid w:val="00CE2386"/>
    <w:rsid w:val="00D050A9"/>
    <w:rsid w:val="00D06AD1"/>
    <w:rsid w:val="00D3175B"/>
    <w:rsid w:val="00D41D82"/>
    <w:rsid w:val="00DB1431"/>
    <w:rsid w:val="00DF0F89"/>
    <w:rsid w:val="00E21161"/>
    <w:rsid w:val="00E32408"/>
    <w:rsid w:val="00E42A25"/>
    <w:rsid w:val="00E57F99"/>
    <w:rsid w:val="00E61C27"/>
    <w:rsid w:val="00E845D4"/>
    <w:rsid w:val="00EC22CC"/>
    <w:rsid w:val="00ED6B69"/>
    <w:rsid w:val="00EE34F4"/>
    <w:rsid w:val="00EF22A4"/>
    <w:rsid w:val="00F40F05"/>
    <w:rsid w:val="00F54EA0"/>
    <w:rsid w:val="00F5604D"/>
    <w:rsid w:val="00F83346"/>
    <w:rsid w:val="00F877B2"/>
    <w:rsid w:val="00F96EE9"/>
    <w:rsid w:val="00FB3B37"/>
    <w:rsid w:val="00FD064E"/>
    <w:rsid w:val="00FE285D"/>
    <w:rsid w:val="00FE4E3A"/>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2871</Words>
  <Characters>14824</Characters>
  <Application>Microsoft Office Word</Application>
  <DocSecurity>4</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2024-11-15T08:28:00Z</dcterms:created>
  <dcterms:modified xsi:type="dcterms:W3CDTF">2024-11-15T08:28:00Z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