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9144E0">
        <w:tc>
          <w:tcPr>
            <w:tcW w:w="9062" w:type="dxa"/>
            <w:gridSpan w:val="2"/>
          </w:tcPr>
          <w:p w14:paraId="6FC76F95" w14:textId="16EC19B9" w:rsidR="00EC22CC" w:rsidRDefault="00B133B6" w:rsidP="00854EEA">
            <w:pPr>
              <w:jc w:val="center"/>
              <w:rPr>
                <w:rFonts w:ascii="Verdana" w:hAnsi="Verdana"/>
                <w:b/>
                <w:bCs/>
                <w:sz w:val="20"/>
                <w:szCs w:val="20"/>
              </w:rPr>
            </w:pPr>
            <w:r>
              <w:rPr>
                <w:rFonts w:ascii="Verdana" w:hAnsi="Verdana"/>
                <w:b/>
                <w:bCs/>
              </w:rPr>
              <w:t>Projet Gouvernance, Paix, Stabilité (GPS)</w:t>
            </w:r>
          </w:p>
        </w:tc>
      </w:tr>
      <w:tr w:rsidR="00EC22CC" w14:paraId="7F1B63D2" w14:textId="77777777" w:rsidTr="002A0933">
        <w:tc>
          <w:tcPr>
            <w:tcW w:w="7225" w:type="dxa"/>
          </w:tcPr>
          <w:p w14:paraId="056D9B10" w14:textId="5AB3EBC3" w:rsidR="00EC22CC" w:rsidRPr="002A096E" w:rsidRDefault="00247283" w:rsidP="00823A6F">
            <w:pPr>
              <w:rPr>
                <w:rFonts w:ascii="Verdana" w:hAnsi="Verdana"/>
                <w:sz w:val="20"/>
                <w:szCs w:val="20"/>
              </w:rPr>
            </w:pPr>
            <w:r>
              <w:rPr>
                <w:rFonts w:ascii="Verdana" w:hAnsi="Verdana"/>
                <w:i/>
                <w:iCs/>
                <w:sz w:val="20"/>
                <w:szCs w:val="20"/>
              </w:rPr>
              <w:t>Comité des Officiers permanents de liaison, 02-03 décembre 2024</w:t>
            </w:r>
          </w:p>
        </w:tc>
        <w:tc>
          <w:tcPr>
            <w:tcW w:w="1837" w:type="dxa"/>
          </w:tcPr>
          <w:p w14:paraId="58E25D1F" w14:textId="68814D25" w:rsidR="00EC22CC" w:rsidRPr="002A0933" w:rsidRDefault="00247283" w:rsidP="00854EEA">
            <w:pPr>
              <w:jc w:val="center"/>
              <w:rPr>
                <w:rFonts w:ascii="Verdana" w:hAnsi="Verdana"/>
                <w:sz w:val="20"/>
                <w:szCs w:val="20"/>
              </w:rPr>
            </w:pPr>
            <w:r>
              <w:rPr>
                <w:rFonts w:ascii="Verdana" w:hAnsi="Verdana"/>
                <w:sz w:val="20"/>
                <w:szCs w:val="20"/>
              </w:rPr>
              <w:t>Point 2.</w:t>
            </w:r>
            <w:r w:rsidR="000235F5">
              <w:rPr>
                <w:rFonts w:ascii="Verdana" w:hAnsi="Verdana"/>
                <w:sz w:val="20"/>
                <w:szCs w:val="20"/>
              </w:rPr>
              <w:t>10</w:t>
            </w:r>
          </w:p>
        </w:tc>
      </w:tr>
      <w:tr w:rsidR="00EC22CC" w:rsidRPr="003E306E" w14:paraId="537D1DE5" w14:textId="77777777" w:rsidTr="002A0933">
        <w:tc>
          <w:tcPr>
            <w:tcW w:w="7225" w:type="dxa"/>
          </w:tcPr>
          <w:p w14:paraId="43DEF09E" w14:textId="13B0B5DA" w:rsidR="00EC22CC" w:rsidRPr="00A37C9F" w:rsidRDefault="00A148A1" w:rsidP="00B133B6">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B133B6" w:rsidRPr="003E306E">
              <w:rPr>
                <w:rFonts w:ascii="Verdana" w:hAnsi="Verdana"/>
                <w:sz w:val="20"/>
                <w:szCs w:val="20"/>
              </w:rPr>
              <w:t>Marc Maminiaina, chargé</w:t>
            </w:r>
            <w:r w:rsidR="00B133B6">
              <w:rPr>
                <w:rFonts w:ascii="Verdana" w:hAnsi="Verdana"/>
                <w:sz w:val="20"/>
                <w:szCs w:val="20"/>
              </w:rPr>
              <w:t xml:space="preserve"> de mission DI 3</w:t>
            </w:r>
          </w:p>
        </w:tc>
        <w:tc>
          <w:tcPr>
            <w:tcW w:w="1837" w:type="dxa"/>
          </w:tcPr>
          <w:p w14:paraId="5AC1AFAB" w14:textId="1E5B3946" w:rsidR="00EC22CC" w:rsidRPr="003E306E" w:rsidRDefault="001669C3" w:rsidP="00854EEA">
            <w:pPr>
              <w:jc w:val="center"/>
              <w:rPr>
                <w:rFonts w:ascii="Verdana" w:hAnsi="Verdana"/>
                <w:sz w:val="20"/>
                <w:szCs w:val="20"/>
              </w:rPr>
            </w:pPr>
            <w:r>
              <w:rPr>
                <w:rFonts w:ascii="Verdana" w:hAnsi="Verdana"/>
                <w:sz w:val="20"/>
                <w:szCs w:val="20"/>
              </w:rPr>
              <w:t>Décision</w:t>
            </w:r>
          </w:p>
        </w:tc>
      </w:tr>
      <w:tr w:rsidR="00A90305" w14:paraId="6896DB30" w14:textId="77777777" w:rsidTr="009144E0">
        <w:tc>
          <w:tcPr>
            <w:tcW w:w="9062" w:type="dxa"/>
            <w:gridSpan w:val="2"/>
          </w:tcPr>
          <w:p w14:paraId="0495241B" w14:textId="71845EE8" w:rsidR="00A90305" w:rsidRDefault="00A90305" w:rsidP="00823A6F">
            <w:pPr>
              <w:rPr>
                <w:rFonts w:ascii="Verdana" w:hAnsi="Verdana"/>
                <w:sz w:val="20"/>
                <w:szCs w:val="20"/>
              </w:rPr>
            </w:pPr>
            <w:r>
              <w:rPr>
                <w:rFonts w:ascii="Verdana" w:hAnsi="Verdana"/>
                <w:i/>
                <w:iCs/>
                <w:sz w:val="20"/>
                <w:szCs w:val="20"/>
              </w:rPr>
              <w:t xml:space="preserve">Version du </w:t>
            </w:r>
            <w:r w:rsidR="00247283">
              <w:rPr>
                <w:rFonts w:ascii="Verdana" w:hAnsi="Verdana"/>
                <w:i/>
                <w:iCs/>
                <w:sz w:val="20"/>
                <w:szCs w:val="20"/>
              </w:rPr>
              <w:t>14</w:t>
            </w:r>
            <w:r w:rsidR="00823A6F">
              <w:rPr>
                <w:rFonts w:ascii="Verdana" w:hAnsi="Verdana"/>
                <w:i/>
                <w:iCs/>
                <w:sz w:val="20"/>
                <w:szCs w:val="20"/>
              </w:rPr>
              <w:t xml:space="preserve"> novembre 2024</w:t>
            </w:r>
          </w:p>
        </w:tc>
      </w:tr>
    </w:tbl>
    <w:p w14:paraId="3982A4B5" w14:textId="77777777" w:rsidR="009144E0" w:rsidRDefault="009144E0" w:rsidP="000235F5">
      <w:pPr>
        <w:pStyle w:val="Titrepartie"/>
        <w:numPr>
          <w:ilvl w:val="0"/>
          <w:numId w:val="0"/>
        </w:numPr>
        <w:spacing w:line="276" w:lineRule="auto"/>
        <w:ind w:left="1080"/>
        <w:contextualSpacing w:val="0"/>
      </w:pPr>
      <w:bookmarkStart w:id="0" w:name="_Hlk24535240"/>
    </w:p>
    <w:p w14:paraId="678F0DFC" w14:textId="72CFF484" w:rsidR="00854EEA" w:rsidRPr="0008468B" w:rsidRDefault="00955BB3" w:rsidP="000235F5">
      <w:pPr>
        <w:pStyle w:val="Titrepartie"/>
        <w:numPr>
          <w:ilvl w:val="0"/>
          <w:numId w:val="41"/>
        </w:numPr>
        <w:spacing w:line="276" w:lineRule="auto"/>
        <w:contextualSpacing w:val="0"/>
      </w:pPr>
      <w:r w:rsidRPr="0008468B">
        <w:t>Résumé</w:t>
      </w:r>
    </w:p>
    <w:p w14:paraId="15005AF7" w14:textId="4635CD0C" w:rsidR="00DF7B57" w:rsidRPr="00247283" w:rsidRDefault="00D51528" w:rsidP="000235F5">
      <w:pPr>
        <w:suppressAutoHyphens/>
        <w:autoSpaceDN w:val="0"/>
        <w:spacing w:line="276" w:lineRule="auto"/>
        <w:jc w:val="both"/>
        <w:textAlignment w:val="baseline"/>
        <w:rPr>
          <w:rFonts w:ascii="Verdana" w:hAnsi="Verdana"/>
          <w:sz w:val="20"/>
          <w:szCs w:val="20"/>
          <w:lang w:val="fr-BE"/>
        </w:rPr>
      </w:pPr>
      <w:r w:rsidRPr="00247283">
        <w:rPr>
          <w:rFonts w:ascii="Verdana" w:hAnsi="Verdana"/>
          <w:sz w:val="20"/>
          <w:szCs w:val="20"/>
          <w:lang w:val="fr-BE"/>
        </w:rPr>
        <w:t xml:space="preserve">Les activités liées à la </w:t>
      </w:r>
      <w:r w:rsidR="00DF7B57" w:rsidRPr="00247283">
        <w:rPr>
          <w:rFonts w:ascii="Verdana" w:hAnsi="Verdana"/>
          <w:bCs/>
          <w:sz w:val="20"/>
          <w:szCs w:val="20"/>
          <w:lang w:val="fr-BE"/>
        </w:rPr>
        <w:t>troisième année de mise en œuvre</w:t>
      </w:r>
      <w:r w:rsidR="00DF7B57" w:rsidRPr="00247283">
        <w:rPr>
          <w:rFonts w:ascii="Verdana" w:hAnsi="Verdana"/>
          <w:sz w:val="20"/>
          <w:szCs w:val="20"/>
          <w:lang w:val="fr-BE"/>
        </w:rPr>
        <w:t xml:space="preserve"> </w:t>
      </w:r>
      <w:r w:rsidRPr="00247283">
        <w:rPr>
          <w:rFonts w:ascii="Verdana" w:hAnsi="Verdana"/>
          <w:sz w:val="20"/>
          <w:szCs w:val="20"/>
          <w:lang w:val="fr-BE"/>
        </w:rPr>
        <w:t xml:space="preserve">du Projet Gouvernance, Paix et Stabilité (GPS) s’articulent autour de </w:t>
      </w:r>
      <w:r w:rsidR="00DF7B57" w:rsidRPr="00247283">
        <w:rPr>
          <w:rFonts w:ascii="Verdana" w:hAnsi="Verdana"/>
          <w:sz w:val="20"/>
          <w:szCs w:val="20"/>
          <w:lang w:val="fr-BE"/>
        </w:rPr>
        <w:t>la consolidation et la capitalisation des acquis à travers les actions de renforcement de capacités et d’appui/conseil, les échanges entre pairs (réseau électoral et parlementaire), l’appropriation et le transfert de compétence au niveau de la COI et plus particulièrement à l’unité de gouvernance et la réflexion sur la stratégie de pérennisation</w:t>
      </w:r>
      <w:r w:rsidRPr="00247283">
        <w:rPr>
          <w:rFonts w:ascii="Verdana" w:hAnsi="Verdana"/>
          <w:sz w:val="20"/>
          <w:szCs w:val="20"/>
          <w:lang w:val="fr-BE"/>
        </w:rPr>
        <w:t>.</w:t>
      </w:r>
    </w:p>
    <w:p w14:paraId="2BC23889" w14:textId="43F18E29" w:rsidR="00DF7B57" w:rsidRPr="0008468B" w:rsidRDefault="00DF7B57" w:rsidP="000235F5">
      <w:pPr>
        <w:pStyle w:val="Titrepartie"/>
        <w:numPr>
          <w:ilvl w:val="0"/>
          <w:numId w:val="40"/>
        </w:numPr>
        <w:spacing w:line="276" w:lineRule="auto"/>
        <w:contextualSpacing w:val="0"/>
      </w:pPr>
      <w:r w:rsidRPr="0008468B">
        <w:t>État d’avancement</w:t>
      </w:r>
      <w:r w:rsidR="009144E0">
        <w:t xml:space="preserve"> (activités principales de 2024)</w:t>
      </w:r>
    </w:p>
    <w:p w14:paraId="5831044B" w14:textId="77777777" w:rsidR="00DF7B57" w:rsidRDefault="00DF7B57" w:rsidP="000235F5">
      <w:pPr>
        <w:pStyle w:val="Titrepartie"/>
        <w:numPr>
          <w:ilvl w:val="0"/>
          <w:numId w:val="0"/>
        </w:numPr>
        <w:spacing w:line="276" w:lineRule="auto"/>
        <w:ind w:left="720"/>
        <w:contextualSpacing w:val="0"/>
        <w:rPr>
          <w:rFonts w:cstheme="minorBidi"/>
          <w:b w:val="0"/>
          <w:bCs w:val="0"/>
          <w:color w:val="auto"/>
          <w:sz w:val="20"/>
          <w:lang w:val="fr-BE"/>
        </w:rPr>
      </w:pPr>
    </w:p>
    <w:p w14:paraId="03392587" w14:textId="46B6265A" w:rsidR="00DF7B57" w:rsidRDefault="00DF7B57" w:rsidP="000235F5">
      <w:pPr>
        <w:pStyle w:val="Titrepartie"/>
        <w:numPr>
          <w:ilvl w:val="0"/>
          <w:numId w:val="33"/>
        </w:numPr>
        <w:spacing w:line="276" w:lineRule="auto"/>
        <w:contextualSpacing w:val="0"/>
        <w:rPr>
          <w:rFonts w:cstheme="minorBidi"/>
          <w:b w:val="0"/>
          <w:bCs w:val="0"/>
          <w:color w:val="auto"/>
          <w:sz w:val="20"/>
          <w:lang w:val="fr-BE"/>
        </w:rPr>
      </w:pPr>
      <w:r w:rsidRPr="00715DFB">
        <w:rPr>
          <w:rFonts w:cstheme="minorBidi"/>
          <w:color w:val="auto"/>
          <w:sz w:val="20"/>
          <w:lang w:val="fr-BE"/>
        </w:rPr>
        <w:t>Opérationnalisation de l’Unité</w:t>
      </w:r>
      <w:r w:rsidRPr="00C5429A">
        <w:rPr>
          <w:rFonts w:cstheme="minorBidi"/>
          <w:bCs w:val="0"/>
          <w:color w:val="auto"/>
          <w:sz w:val="20"/>
          <w:lang w:val="fr-BE"/>
        </w:rPr>
        <w:t xml:space="preserve"> de Gouvernance</w:t>
      </w:r>
      <w:r w:rsidRPr="00DF7B57">
        <w:rPr>
          <w:rFonts w:cstheme="minorBidi"/>
          <w:b w:val="0"/>
          <w:bCs w:val="0"/>
          <w:color w:val="auto"/>
          <w:sz w:val="20"/>
          <w:lang w:val="fr-BE"/>
        </w:rPr>
        <w:t> (approuvée par le Conseil des Ministres du 17 mai 2023)</w:t>
      </w:r>
      <w:r w:rsidR="00D51528">
        <w:rPr>
          <w:rFonts w:cstheme="minorBidi"/>
          <w:b w:val="0"/>
          <w:bCs w:val="0"/>
          <w:color w:val="auto"/>
          <w:sz w:val="20"/>
          <w:lang w:val="fr-BE"/>
        </w:rPr>
        <w:t xml:space="preserve">, laquelle </w:t>
      </w:r>
      <w:r w:rsidRPr="00DF7B57">
        <w:rPr>
          <w:rFonts w:cstheme="minorBidi"/>
          <w:b w:val="0"/>
          <w:bCs w:val="0"/>
          <w:color w:val="auto"/>
          <w:sz w:val="20"/>
          <w:lang w:val="fr-BE"/>
        </w:rPr>
        <w:t>s’inscri</w:t>
      </w:r>
      <w:r w:rsidR="00855E0C">
        <w:rPr>
          <w:rFonts w:cstheme="minorBidi"/>
          <w:b w:val="0"/>
          <w:bCs w:val="0"/>
          <w:color w:val="auto"/>
          <w:sz w:val="20"/>
          <w:lang w:val="fr-BE"/>
        </w:rPr>
        <w:t>t</w:t>
      </w:r>
      <w:r w:rsidRPr="00DF7B57">
        <w:rPr>
          <w:rFonts w:cstheme="minorBidi"/>
          <w:b w:val="0"/>
          <w:bCs w:val="0"/>
          <w:color w:val="auto"/>
          <w:sz w:val="20"/>
          <w:lang w:val="fr-BE"/>
        </w:rPr>
        <w:t xml:space="preserve"> dans le processus d’évolution institutionnelle et la modernisation de la COI. </w:t>
      </w:r>
      <w:r w:rsidR="0013177C">
        <w:rPr>
          <w:rFonts w:cstheme="minorBidi"/>
          <w:b w:val="0"/>
          <w:bCs w:val="0"/>
          <w:color w:val="auto"/>
          <w:sz w:val="20"/>
          <w:lang w:val="fr-BE"/>
        </w:rPr>
        <w:t xml:space="preserve">Cette </w:t>
      </w:r>
      <w:r w:rsidR="00FA5CCA">
        <w:rPr>
          <w:rFonts w:cstheme="minorBidi"/>
          <w:b w:val="0"/>
          <w:bCs w:val="0"/>
          <w:color w:val="auto"/>
          <w:sz w:val="20"/>
          <w:lang w:val="fr-BE"/>
        </w:rPr>
        <w:t xml:space="preserve">démarche </w:t>
      </w:r>
      <w:r w:rsidR="00766BCA">
        <w:rPr>
          <w:rFonts w:cstheme="minorBidi"/>
          <w:b w:val="0"/>
          <w:bCs w:val="0"/>
          <w:color w:val="auto"/>
          <w:sz w:val="20"/>
          <w:lang w:val="fr-BE"/>
        </w:rPr>
        <w:t xml:space="preserve">s’est concrétisée avec </w:t>
      </w:r>
      <w:r w:rsidRPr="00DF7B57">
        <w:rPr>
          <w:rFonts w:cstheme="minorBidi"/>
          <w:b w:val="0"/>
          <w:bCs w:val="0"/>
          <w:color w:val="auto"/>
          <w:sz w:val="20"/>
          <w:lang w:val="fr-BE"/>
        </w:rPr>
        <w:t>la prise de fonction du coordonna</w:t>
      </w:r>
      <w:r>
        <w:rPr>
          <w:rFonts w:cstheme="minorBidi"/>
          <w:b w:val="0"/>
          <w:bCs w:val="0"/>
          <w:color w:val="auto"/>
          <w:sz w:val="20"/>
          <w:lang w:val="fr-BE"/>
        </w:rPr>
        <w:t xml:space="preserve">teur technique en juillet 2024. </w:t>
      </w:r>
    </w:p>
    <w:p w14:paraId="2ED08984" w14:textId="22CE45FD" w:rsidR="00DF7B57" w:rsidRDefault="00DF7B57" w:rsidP="000235F5">
      <w:pPr>
        <w:pStyle w:val="Titrepartie"/>
        <w:numPr>
          <w:ilvl w:val="0"/>
          <w:numId w:val="33"/>
        </w:numPr>
        <w:spacing w:line="276" w:lineRule="auto"/>
        <w:contextualSpacing w:val="0"/>
        <w:rPr>
          <w:rFonts w:cstheme="minorBidi"/>
          <w:b w:val="0"/>
          <w:bCs w:val="0"/>
          <w:color w:val="auto"/>
          <w:sz w:val="20"/>
          <w:lang w:val="fr-BE"/>
        </w:rPr>
      </w:pPr>
      <w:r w:rsidRPr="00715DFB">
        <w:rPr>
          <w:rFonts w:cstheme="minorBidi"/>
          <w:color w:val="auto"/>
          <w:sz w:val="20"/>
          <w:lang w:val="fr-BE"/>
        </w:rPr>
        <w:t>Mise en œuvre effective du Cadre de coopération entre la COI et l</w:t>
      </w:r>
      <w:r w:rsidR="00715DFB">
        <w:rPr>
          <w:rFonts w:cstheme="minorBidi"/>
          <w:color w:val="auto"/>
          <w:sz w:val="20"/>
          <w:lang w:val="fr-BE"/>
        </w:rPr>
        <w:t>’O</w:t>
      </w:r>
      <w:r w:rsidRPr="00715DFB">
        <w:rPr>
          <w:rFonts w:cstheme="minorBidi"/>
          <w:color w:val="auto"/>
          <w:sz w:val="20"/>
          <w:lang w:val="fr-BE"/>
        </w:rPr>
        <w:t>NU</w:t>
      </w:r>
      <w:r w:rsidRPr="00DF7B57">
        <w:rPr>
          <w:rFonts w:cstheme="minorBidi"/>
          <w:b w:val="0"/>
          <w:bCs w:val="0"/>
          <w:color w:val="auto"/>
          <w:sz w:val="20"/>
          <w:lang w:val="fr-BE"/>
        </w:rPr>
        <w:t>, signé le 15 juin 2018, (</w:t>
      </w:r>
      <w:r w:rsidR="00D51528">
        <w:rPr>
          <w:rFonts w:cstheme="minorBidi"/>
          <w:b w:val="0"/>
          <w:bCs w:val="0"/>
          <w:color w:val="auto"/>
          <w:sz w:val="20"/>
          <w:lang w:val="fr-BE"/>
        </w:rPr>
        <w:t>entre la COI et le D</w:t>
      </w:r>
      <w:r w:rsidRPr="00DF7B57">
        <w:rPr>
          <w:rFonts w:cstheme="minorBidi"/>
          <w:b w:val="0"/>
          <w:bCs w:val="0"/>
          <w:color w:val="auto"/>
          <w:sz w:val="20"/>
          <w:lang w:val="fr-BE"/>
        </w:rPr>
        <w:t xml:space="preserve">épartement des affaires politiques), à travers la réalisation de la </w:t>
      </w:r>
      <w:r w:rsidRPr="00D51528">
        <w:rPr>
          <w:rFonts w:cstheme="minorBidi"/>
          <w:b w:val="0"/>
          <w:bCs w:val="0"/>
          <w:color w:val="auto"/>
          <w:sz w:val="20"/>
          <w:lang w:val="fr-BE"/>
        </w:rPr>
        <w:t>conférence régionale sur le rôle de la jeunesse</w:t>
      </w:r>
      <w:r w:rsidRPr="00DF7B57">
        <w:rPr>
          <w:rFonts w:cstheme="minorBidi"/>
          <w:b w:val="0"/>
          <w:bCs w:val="0"/>
          <w:color w:val="auto"/>
          <w:sz w:val="20"/>
          <w:lang w:val="fr-BE"/>
        </w:rPr>
        <w:t xml:space="preserve"> dans les initiatives de consolidation de la paix et de démocratie dans la région de l’océan Indien (Madagascar, octobre 2024) avec les perspectives de création d’un </w:t>
      </w:r>
      <w:r w:rsidRPr="00D51528">
        <w:rPr>
          <w:rFonts w:cstheme="minorBidi"/>
          <w:b w:val="0"/>
          <w:bCs w:val="0"/>
          <w:color w:val="auto"/>
          <w:sz w:val="20"/>
          <w:lang w:val="fr-BE"/>
        </w:rPr>
        <w:t>Parlement régional de jeunes</w:t>
      </w:r>
      <w:r w:rsidRPr="00DF7B57">
        <w:rPr>
          <w:rFonts w:cstheme="minorBidi"/>
          <w:b w:val="0"/>
          <w:bCs w:val="0"/>
          <w:color w:val="auto"/>
          <w:sz w:val="20"/>
          <w:lang w:val="fr-BE"/>
        </w:rPr>
        <w:t xml:space="preserve"> en 2025.</w:t>
      </w:r>
      <w:r w:rsidR="008F5023">
        <w:rPr>
          <w:rFonts w:cstheme="minorBidi"/>
          <w:b w:val="0"/>
          <w:bCs w:val="0"/>
          <w:color w:val="auto"/>
          <w:sz w:val="20"/>
          <w:lang w:val="fr-BE"/>
        </w:rPr>
        <w:t xml:space="preserve"> </w:t>
      </w:r>
      <w:r w:rsidR="008F5023" w:rsidRPr="00C5429A">
        <w:rPr>
          <w:rFonts w:cstheme="minorBidi"/>
          <w:b w:val="0"/>
          <w:bCs w:val="0"/>
          <w:color w:val="auto"/>
          <w:sz w:val="20"/>
          <w:lang w:val="fr-BE"/>
        </w:rPr>
        <w:t xml:space="preserve">Cette conférence s’inscrit </w:t>
      </w:r>
      <w:r w:rsidR="00C5429A" w:rsidRPr="00D51528">
        <w:rPr>
          <w:rFonts w:cstheme="minorBidi"/>
          <w:b w:val="0"/>
          <w:bCs w:val="0"/>
          <w:color w:val="auto"/>
          <w:sz w:val="20"/>
          <w:lang w:val="fr-BE"/>
        </w:rPr>
        <w:t>également dans les priorités de la présidence seychelloise de la COI sous le thème « la jeunesse, moteur de la modernisation »</w:t>
      </w:r>
      <w:r w:rsidR="00D51528">
        <w:rPr>
          <w:rFonts w:cstheme="minorBidi"/>
          <w:b w:val="0"/>
          <w:bCs w:val="0"/>
          <w:color w:val="auto"/>
          <w:sz w:val="20"/>
          <w:lang w:val="fr-BE"/>
        </w:rPr>
        <w:t>, laquelle</w:t>
      </w:r>
      <w:r w:rsidR="00C5429A" w:rsidRPr="00D51528">
        <w:rPr>
          <w:rFonts w:cstheme="minorBidi"/>
          <w:b w:val="0"/>
          <w:bCs w:val="0"/>
          <w:color w:val="auto"/>
          <w:sz w:val="20"/>
          <w:lang w:val="fr-BE"/>
        </w:rPr>
        <w:t xml:space="preserve"> reflète l’engagement accru de la COI envers la jeunesse,</w:t>
      </w:r>
      <w:r w:rsidR="00D51528">
        <w:rPr>
          <w:rFonts w:cstheme="minorBidi"/>
          <w:b w:val="0"/>
          <w:bCs w:val="0"/>
          <w:color w:val="auto"/>
          <w:sz w:val="20"/>
          <w:lang w:val="fr-BE"/>
        </w:rPr>
        <w:t xml:space="preserve"> </w:t>
      </w:r>
      <w:r w:rsidR="00C5429A" w:rsidRPr="00D51528">
        <w:rPr>
          <w:rFonts w:cstheme="minorBidi"/>
          <w:b w:val="0"/>
          <w:bCs w:val="0"/>
          <w:color w:val="auto"/>
          <w:sz w:val="20"/>
          <w:lang w:val="fr-BE"/>
        </w:rPr>
        <w:t>un axe transversal de son Plan de développement stratégique 2023-2033.</w:t>
      </w:r>
    </w:p>
    <w:p w14:paraId="3A2EB02B" w14:textId="23EBB73B" w:rsidR="00711269" w:rsidRDefault="009144E0" w:rsidP="000235F5">
      <w:pPr>
        <w:pStyle w:val="Titrepartie"/>
        <w:numPr>
          <w:ilvl w:val="0"/>
          <w:numId w:val="33"/>
        </w:numPr>
        <w:spacing w:line="276" w:lineRule="auto"/>
        <w:contextualSpacing w:val="0"/>
        <w:rPr>
          <w:rFonts w:cstheme="minorBidi"/>
          <w:b w:val="0"/>
          <w:bCs w:val="0"/>
          <w:color w:val="auto"/>
          <w:sz w:val="20"/>
          <w:lang w:val="fr-BE"/>
        </w:rPr>
      </w:pPr>
      <w:r w:rsidRPr="00715DFB">
        <w:rPr>
          <w:rFonts w:cstheme="minorBidi"/>
          <w:color w:val="auto"/>
          <w:sz w:val="20"/>
          <w:lang w:val="fr-BE"/>
        </w:rPr>
        <w:t xml:space="preserve">Les Termes de références </w:t>
      </w:r>
      <w:r w:rsidR="00715DFB" w:rsidRPr="00715DFB">
        <w:rPr>
          <w:rFonts w:cstheme="minorBidi"/>
          <w:color w:val="auto"/>
          <w:sz w:val="20"/>
          <w:lang w:val="fr-BE"/>
        </w:rPr>
        <w:t>en vue de déploiement d</w:t>
      </w:r>
      <w:r w:rsidRPr="00715DFB">
        <w:rPr>
          <w:rFonts w:cstheme="minorBidi"/>
          <w:color w:val="auto"/>
          <w:sz w:val="20"/>
          <w:lang w:val="fr-BE"/>
        </w:rPr>
        <w:t xml:space="preserve">es missions d’écoute et de dialogue </w:t>
      </w:r>
      <w:r>
        <w:rPr>
          <w:rFonts w:cstheme="minorBidi"/>
          <w:b w:val="0"/>
          <w:bCs w:val="0"/>
          <w:color w:val="auto"/>
          <w:sz w:val="20"/>
          <w:lang w:val="fr-BE"/>
        </w:rPr>
        <w:t xml:space="preserve">ont été soumis à la validation des </w:t>
      </w:r>
      <w:r w:rsidR="00D51528">
        <w:rPr>
          <w:rFonts w:cstheme="minorBidi"/>
          <w:b w:val="0"/>
          <w:bCs w:val="0"/>
          <w:color w:val="auto"/>
          <w:sz w:val="20"/>
          <w:lang w:val="fr-BE"/>
        </w:rPr>
        <w:t>États</w:t>
      </w:r>
      <w:r>
        <w:rPr>
          <w:rFonts w:cstheme="minorBidi"/>
          <w:b w:val="0"/>
          <w:bCs w:val="0"/>
          <w:color w:val="auto"/>
          <w:sz w:val="20"/>
          <w:lang w:val="fr-BE"/>
        </w:rPr>
        <w:t xml:space="preserve"> membres </w:t>
      </w:r>
      <w:r w:rsidR="00D51528">
        <w:rPr>
          <w:rFonts w:cstheme="minorBidi"/>
          <w:b w:val="0"/>
          <w:bCs w:val="0"/>
          <w:color w:val="auto"/>
          <w:sz w:val="20"/>
          <w:lang w:val="fr-BE"/>
        </w:rPr>
        <w:t>à l’issue de l’atelier de validation avec les OP</w:t>
      </w:r>
      <w:r w:rsidR="006B0BE0">
        <w:rPr>
          <w:rFonts w:cstheme="minorBidi"/>
          <w:b w:val="0"/>
          <w:bCs w:val="0"/>
          <w:color w:val="auto"/>
          <w:sz w:val="20"/>
          <w:lang w:val="fr-BE"/>
        </w:rPr>
        <w:t>L</w:t>
      </w:r>
      <w:r w:rsidR="00D51528">
        <w:rPr>
          <w:rFonts w:cstheme="minorBidi"/>
          <w:b w:val="0"/>
          <w:bCs w:val="0"/>
          <w:color w:val="auto"/>
          <w:sz w:val="20"/>
          <w:lang w:val="fr-BE"/>
        </w:rPr>
        <w:t xml:space="preserve"> tenu le </w:t>
      </w:r>
      <w:r w:rsidR="00715DFB">
        <w:rPr>
          <w:rFonts w:cstheme="minorBidi"/>
          <w:b w:val="0"/>
          <w:bCs w:val="0"/>
          <w:color w:val="auto"/>
          <w:sz w:val="20"/>
          <w:lang w:val="fr-BE"/>
        </w:rPr>
        <w:t xml:space="preserve">27 aout 2024 au Secrétariat général. Le </w:t>
      </w:r>
      <w:r>
        <w:rPr>
          <w:rFonts w:cstheme="minorBidi"/>
          <w:b w:val="0"/>
          <w:bCs w:val="0"/>
          <w:color w:val="auto"/>
          <w:sz w:val="20"/>
          <w:lang w:val="fr-BE"/>
        </w:rPr>
        <w:t xml:space="preserve">retour </w:t>
      </w:r>
      <w:r w:rsidR="00715DFB">
        <w:rPr>
          <w:rFonts w:cstheme="minorBidi"/>
          <w:b w:val="0"/>
          <w:bCs w:val="0"/>
          <w:color w:val="auto"/>
          <w:sz w:val="20"/>
          <w:lang w:val="fr-BE"/>
        </w:rPr>
        <w:t xml:space="preserve">des États membres est </w:t>
      </w:r>
      <w:r>
        <w:rPr>
          <w:rFonts w:cstheme="minorBidi"/>
          <w:b w:val="0"/>
          <w:bCs w:val="0"/>
          <w:color w:val="auto"/>
          <w:sz w:val="20"/>
          <w:lang w:val="fr-BE"/>
        </w:rPr>
        <w:t>attendu pour le 15 novembre 2024</w:t>
      </w:r>
      <w:r w:rsidR="00715DFB">
        <w:rPr>
          <w:rFonts w:cstheme="minorBidi"/>
          <w:b w:val="0"/>
          <w:bCs w:val="0"/>
          <w:color w:val="auto"/>
          <w:sz w:val="20"/>
          <w:lang w:val="fr-BE"/>
        </w:rPr>
        <w:t xml:space="preserve"> en vue de l’approbation des ces termes de référence par le comité des OPL.</w:t>
      </w:r>
    </w:p>
    <w:p w14:paraId="44C6E9EC" w14:textId="63FAABD6" w:rsidR="00711269" w:rsidRPr="00711269" w:rsidRDefault="00711269" w:rsidP="000235F5">
      <w:pPr>
        <w:pStyle w:val="Titrepartie"/>
        <w:numPr>
          <w:ilvl w:val="0"/>
          <w:numId w:val="33"/>
        </w:numPr>
        <w:spacing w:line="276" w:lineRule="auto"/>
        <w:contextualSpacing w:val="0"/>
        <w:rPr>
          <w:rFonts w:cstheme="minorBidi"/>
          <w:b w:val="0"/>
          <w:bCs w:val="0"/>
          <w:color w:val="auto"/>
          <w:sz w:val="20"/>
          <w:lang w:val="fr-BE"/>
        </w:rPr>
      </w:pPr>
      <w:r w:rsidRPr="00711269">
        <w:rPr>
          <w:rFonts w:cstheme="minorBidi"/>
          <w:color w:val="auto"/>
          <w:sz w:val="20"/>
          <w:lang w:val="fr-BE"/>
        </w:rPr>
        <w:t>Mise en place d’une école d’administration électorale régionale </w:t>
      </w:r>
      <w:r w:rsidRPr="00711269">
        <w:rPr>
          <w:rFonts w:cstheme="minorBidi"/>
          <w:b w:val="0"/>
          <w:bCs w:val="0"/>
          <w:color w:val="auto"/>
          <w:sz w:val="20"/>
          <w:lang w:val="fr-BE"/>
        </w:rPr>
        <w:t>: elle s’inscrit dans le cadre de la mise en œuvre de la décision de la Conférence des Présidents du Réseau électoral de l’océan Indien (REOI). La mise de cette École sera réalisée en collaboration, entre autres, avec l’École nationale d’administration de Madagascar et l’</w:t>
      </w:r>
      <w:r w:rsidR="00D54BFE">
        <w:rPr>
          <w:rFonts w:cstheme="minorBidi"/>
          <w:b w:val="0"/>
          <w:bCs w:val="0"/>
          <w:color w:val="auto"/>
          <w:sz w:val="20"/>
          <w:lang w:val="fr-BE"/>
        </w:rPr>
        <w:t>U</w:t>
      </w:r>
      <w:r w:rsidRPr="00711269">
        <w:rPr>
          <w:rFonts w:cstheme="minorBidi"/>
          <w:b w:val="0"/>
          <w:bCs w:val="0"/>
          <w:color w:val="auto"/>
          <w:sz w:val="20"/>
          <w:lang w:val="fr-BE"/>
        </w:rPr>
        <w:t xml:space="preserve">niversité des Seychelles en 2025. A noter que la création d’une école d’administration électorale école ou Campus Régionaux des Métiers et des Qualifications d’excellence (CRMQE) d’administration électorale </w:t>
      </w:r>
      <w:r w:rsidR="00471E03">
        <w:rPr>
          <w:rFonts w:cstheme="minorBidi"/>
          <w:b w:val="0"/>
          <w:bCs w:val="0"/>
          <w:color w:val="auto"/>
          <w:sz w:val="20"/>
          <w:lang w:val="fr-BE"/>
        </w:rPr>
        <w:t xml:space="preserve">pourrait </w:t>
      </w:r>
      <w:r w:rsidRPr="00711269">
        <w:rPr>
          <w:rFonts w:cstheme="minorBidi"/>
          <w:b w:val="0"/>
          <w:bCs w:val="0"/>
          <w:color w:val="auto"/>
          <w:sz w:val="20"/>
          <w:lang w:val="fr-BE"/>
        </w:rPr>
        <w:t>s’inscri</w:t>
      </w:r>
      <w:r w:rsidR="00471E03">
        <w:rPr>
          <w:rFonts w:cstheme="minorBidi"/>
          <w:b w:val="0"/>
          <w:bCs w:val="0"/>
          <w:color w:val="auto"/>
          <w:sz w:val="20"/>
          <w:lang w:val="fr-BE"/>
        </w:rPr>
        <w:t>re</w:t>
      </w:r>
      <w:r w:rsidRPr="00711269">
        <w:rPr>
          <w:rFonts w:cstheme="minorBidi"/>
          <w:b w:val="0"/>
          <w:bCs w:val="0"/>
          <w:color w:val="auto"/>
          <w:sz w:val="20"/>
          <w:lang w:val="fr-BE"/>
        </w:rPr>
        <w:t xml:space="preserve"> également dans le cadre du programme régional de coopération et de mobilité en formation technique, technologique et professionnelle dans l’océan Indien de la COI. L’objectif de ce programme est d’accompagner le développement quantitatif et qualitatif des systèmes de formation dans et avec chacun des États membres de la COI. A titre de rappel, le CRMQE « permet d'identifier et de regrouper, sur un </w:t>
      </w:r>
      <w:r w:rsidRPr="00711269">
        <w:rPr>
          <w:rFonts w:cstheme="minorBidi"/>
          <w:b w:val="0"/>
          <w:bCs w:val="0"/>
          <w:color w:val="auto"/>
          <w:sz w:val="20"/>
          <w:lang w:val="fr-BE"/>
        </w:rPr>
        <w:lastRenderedPageBreak/>
        <w:t>territoire donné, un réseau d'acteurs qui interviennent en partenariat pour développer une large gamme de formations, relevant de l'enseignement secondaire et de l'enseignement supérieur, ainsi que de la formation initiale ou continue ».</w:t>
      </w:r>
    </w:p>
    <w:p w14:paraId="16564FDA" w14:textId="01D43DF3" w:rsidR="00EE1B5F" w:rsidRDefault="00711269" w:rsidP="000235F5">
      <w:pPr>
        <w:pStyle w:val="Titrepartie"/>
        <w:numPr>
          <w:ilvl w:val="0"/>
          <w:numId w:val="33"/>
        </w:numPr>
        <w:spacing w:line="276" w:lineRule="auto"/>
        <w:contextualSpacing w:val="0"/>
        <w:rPr>
          <w:rFonts w:cstheme="minorBidi"/>
          <w:b w:val="0"/>
          <w:bCs w:val="0"/>
          <w:color w:val="auto"/>
          <w:sz w:val="20"/>
          <w:lang w:val="fr-BE"/>
        </w:rPr>
      </w:pPr>
      <w:r w:rsidRPr="00EE1B5F">
        <w:rPr>
          <w:rFonts w:cstheme="minorBidi"/>
          <w:color w:val="auto"/>
          <w:sz w:val="20"/>
          <w:lang w:val="fr-BE"/>
        </w:rPr>
        <w:t>Élaboration</w:t>
      </w:r>
      <w:r w:rsidR="009144E0" w:rsidRPr="00EE1B5F">
        <w:rPr>
          <w:rFonts w:cstheme="minorBidi"/>
          <w:color w:val="auto"/>
          <w:sz w:val="20"/>
          <w:lang w:val="fr-BE"/>
        </w:rPr>
        <w:t xml:space="preserve"> d’une stratégie de pérennisation de l’AP-COI et proposition d’un Mémorandum d’entente entre la COI et l’AP-COI</w:t>
      </w:r>
      <w:r w:rsidR="00D54BFE" w:rsidRPr="00EE1B5F">
        <w:rPr>
          <w:rFonts w:cstheme="minorBidi"/>
          <w:b w:val="0"/>
          <w:bCs w:val="0"/>
          <w:color w:val="auto"/>
          <w:sz w:val="20"/>
          <w:lang w:val="fr-BE"/>
        </w:rPr>
        <w:t xml:space="preserve">. L’ébauche de Mémorandum est </w:t>
      </w:r>
      <w:r w:rsidR="009144E0" w:rsidRPr="00EE1B5F">
        <w:rPr>
          <w:rFonts w:cstheme="minorBidi"/>
          <w:b w:val="0"/>
          <w:bCs w:val="0"/>
          <w:color w:val="auto"/>
          <w:sz w:val="20"/>
          <w:lang w:val="fr-BE"/>
        </w:rPr>
        <w:t>en cours de validation au niveau de l’AP-COI</w:t>
      </w:r>
      <w:r w:rsidR="00D54BFE" w:rsidRPr="00EE1B5F">
        <w:rPr>
          <w:rFonts w:cstheme="minorBidi"/>
          <w:b w:val="0"/>
          <w:bCs w:val="0"/>
          <w:color w:val="auto"/>
          <w:sz w:val="20"/>
          <w:lang w:val="fr-BE"/>
        </w:rPr>
        <w:t xml:space="preserve"> avant soumission à la COI.</w:t>
      </w:r>
    </w:p>
    <w:p w14:paraId="02988569" w14:textId="24E1071C" w:rsidR="00DF7B57" w:rsidRPr="00EE1B5F" w:rsidRDefault="00DF7B57" w:rsidP="000235F5">
      <w:pPr>
        <w:pStyle w:val="Titrepartie"/>
        <w:numPr>
          <w:ilvl w:val="0"/>
          <w:numId w:val="33"/>
        </w:numPr>
        <w:spacing w:line="276" w:lineRule="auto"/>
        <w:contextualSpacing w:val="0"/>
        <w:rPr>
          <w:rFonts w:cstheme="minorBidi"/>
          <w:b w:val="0"/>
          <w:bCs w:val="0"/>
          <w:color w:val="auto"/>
          <w:sz w:val="20"/>
          <w:lang w:val="fr-BE"/>
        </w:rPr>
      </w:pPr>
      <w:r w:rsidRPr="00EE1B5F">
        <w:rPr>
          <w:rFonts w:cstheme="minorBidi"/>
          <w:color w:val="auto"/>
          <w:sz w:val="20"/>
          <w:lang w:val="fr-BE"/>
        </w:rPr>
        <w:t>Finalisation de l’étude comparative des différents systèmes et fonctionnements parlementaires des membres de l’AP-COI</w:t>
      </w:r>
      <w:r w:rsidR="00D54BFE" w:rsidRPr="00EE1B5F">
        <w:rPr>
          <w:rFonts w:cstheme="minorBidi"/>
          <w:b w:val="0"/>
          <w:bCs w:val="0"/>
          <w:color w:val="auto"/>
          <w:sz w:val="20"/>
          <w:lang w:val="fr-BE"/>
        </w:rPr>
        <w:t xml:space="preserve">, laquelle </w:t>
      </w:r>
      <w:r w:rsidRPr="00EE1B5F">
        <w:rPr>
          <w:rFonts w:cstheme="minorBidi"/>
          <w:b w:val="0"/>
          <w:bCs w:val="0"/>
          <w:color w:val="auto"/>
          <w:sz w:val="20"/>
          <w:lang w:val="fr-BE"/>
        </w:rPr>
        <w:t>servira de base pour les échanges de bonnes pratiques entre pairs.</w:t>
      </w:r>
    </w:p>
    <w:p w14:paraId="019208E5" w14:textId="74657293" w:rsidR="00A27D25" w:rsidRDefault="00DF7B57" w:rsidP="000235F5">
      <w:pPr>
        <w:pStyle w:val="Titrepartie"/>
        <w:numPr>
          <w:ilvl w:val="0"/>
          <w:numId w:val="33"/>
        </w:numPr>
        <w:spacing w:line="276" w:lineRule="auto"/>
        <w:contextualSpacing w:val="0"/>
        <w:rPr>
          <w:rFonts w:cstheme="minorBidi"/>
          <w:b w:val="0"/>
          <w:bCs w:val="0"/>
          <w:color w:val="auto"/>
          <w:sz w:val="20"/>
          <w:lang w:val="fr-BE"/>
        </w:rPr>
      </w:pPr>
      <w:r w:rsidRPr="00EE1B5F">
        <w:rPr>
          <w:rFonts w:cstheme="minorBidi"/>
          <w:color w:val="auto"/>
          <w:sz w:val="20"/>
          <w:lang w:val="fr-BE"/>
        </w:rPr>
        <w:t xml:space="preserve">Organisation du 4ème Comité de Pilotage </w:t>
      </w:r>
      <w:r w:rsidRPr="00A27D25">
        <w:rPr>
          <w:rFonts w:cstheme="minorBidi"/>
          <w:b w:val="0"/>
          <w:bCs w:val="0"/>
          <w:color w:val="auto"/>
          <w:sz w:val="20"/>
          <w:lang w:val="fr-BE"/>
        </w:rPr>
        <w:t>pour la validation du plan annuel 2024 et le plan de travail budgétisé de 2025, prévu pour le 12 et 13 décembre à La Réunion</w:t>
      </w:r>
      <w:r w:rsidR="00A27D25">
        <w:rPr>
          <w:rFonts w:cstheme="minorBidi"/>
          <w:b w:val="0"/>
          <w:bCs w:val="0"/>
          <w:color w:val="auto"/>
          <w:sz w:val="20"/>
          <w:lang w:val="fr-BE"/>
        </w:rPr>
        <w:t>.</w:t>
      </w:r>
    </w:p>
    <w:p w14:paraId="02EECCF6" w14:textId="2F35E381" w:rsidR="00DF7B57" w:rsidRDefault="00C5429A" w:rsidP="000235F5">
      <w:pPr>
        <w:pStyle w:val="Titrepartie"/>
        <w:numPr>
          <w:ilvl w:val="0"/>
          <w:numId w:val="33"/>
        </w:numPr>
        <w:spacing w:line="276" w:lineRule="auto"/>
        <w:contextualSpacing w:val="0"/>
        <w:rPr>
          <w:rFonts w:cstheme="minorBidi"/>
          <w:b w:val="0"/>
          <w:bCs w:val="0"/>
          <w:color w:val="auto"/>
          <w:sz w:val="20"/>
          <w:lang w:val="fr-BE"/>
        </w:rPr>
      </w:pPr>
      <w:r w:rsidRPr="009443BB">
        <w:rPr>
          <w:rFonts w:cstheme="minorBidi"/>
          <w:color w:val="auto"/>
          <w:sz w:val="20"/>
          <w:lang w:val="fr-BE"/>
        </w:rPr>
        <w:t>Processus de sélection des projets ayant répondu à l’appel à projet en cours</w:t>
      </w:r>
      <w:r>
        <w:rPr>
          <w:rFonts w:cstheme="minorBidi"/>
          <w:b w:val="0"/>
          <w:bCs w:val="0"/>
          <w:color w:val="auto"/>
          <w:sz w:val="20"/>
          <w:lang w:val="fr-BE"/>
        </w:rPr>
        <w:t xml:space="preserve"> (projets à mettre en œuvre en 2025)</w:t>
      </w:r>
      <w:r w:rsidRPr="00DF7B57">
        <w:rPr>
          <w:rFonts w:cstheme="minorBidi"/>
          <w:b w:val="0"/>
          <w:bCs w:val="0"/>
          <w:color w:val="auto"/>
          <w:sz w:val="20"/>
          <w:lang w:val="fr-BE"/>
        </w:rPr>
        <w:t>.</w:t>
      </w:r>
    </w:p>
    <w:p w14:paraId="1F1301E6" w14:textId="77777777" w:rsidR="00D54BFE" w:rsidRPr="00D54BFE" w:rsidRDefault="00D54BFE" w:rsidP="000235F5">
      <w:pPr>
        <w:pStyle w:val="Titrepartie"/>
        <w:numPr>
          <w:ilvl w:val="0"/>
          <w:numId w:val="0"/>
        </w:numPr>
        <w:spacing w:line="276" w:lineRule="auto"/>
        <w:contextualSpacing w:val="0"/>
        <w:rPr>
          <w:rFonts w:cstheme="minorBidi"/>
          <w:b w:val="0"/>
          <w:bCs w:val="0"/>
          <w:color w:val="auto"/>
          <w:sz w:val="20"/>
          <w:lang w:val="fr-BE"/>
        </w:rPr>
      </w:pPr>
    </w:p>
    <w:p w14:paraId="1E39A640" w14:textId="62AC0834" w:rsidR="00DF7B57" w:rsidRDefault="00A27D25" w:rsidP="000235F5">
      <w:pPr>
        <w:pStyle w:val="Titrepartie"/>
        <w:numPr>
          <w:ilvl w:val="0"/>
          <w:numId w:val="40"/>
        </w:numPr>
        <w:spacing w:line="276" w:lineRule="auto"/>
        <w:contextualSpacing w:val="0"/>
        <w:rPr>
          <w:sz w:val="20"/>
          <w:lang w:val="fr-BE"/>
        </w:rPr>
      </w:pPr>
      <w:r w:rsidRPr="00A27D25">
        <w:t>EXTENSION DU PROJET</w:t>
      </w:r>
    </w:p>
    <w:p w14:paraId="52E74CDD" w14:textId="79A57425" w:rsidR="00A27D25" w:rsidRDefault="000E21F4" w:rsidP="000235F5">
      <w:pPr>
        <w:pStyle w:val="Titrepartie"/>
        <w:numPr>
          <w:ilvl w:val="0"/>
          <w:numId w:val="33"/>
        </w:numPr>
        <w:spacing w:line="276" w:lineRule="auto"/>
        <w:contextualSpacing w:val="0"/>
        <w:rPr>
          <w:rFonts w:cstheme="minorBidi"/>
          <w:b w:val="0"/>
          <w:bCs w:val="0"/>
          <w:color w:val="auto"/>
          <w:sz w:val="20"/>
          <w:lang w:val="fr-BE"/>
        </w:rPr>
      </w:pPr>
      <w:r w:rsidRPr="00172377">
        <w:rPr>
          <w:rFonts w:cstheme="minorBidi"/>
          <w:bCs w:val="0"/>
          <w:color w:val="auto"/>
          <w:sz w:val="20"/>
          <w:lang w:val="fr-BE"/>
        </w:rPr>
        <w:t xml:space="preserve">Extension </w:t>
      </w:r>
      <w:r w:rsidR="00172377" w:rsidRPr="00172377">
        <w:rPr>
          <w:rFonts w:cstheme="minorBidi"/>
          <w:bCs w:val="0"/>
          <w:color w:val="auto"/>
          <w:sz w:val="20"/>
          <w:lang w:val="fr-BE"/>
        </w:rPr>
        <w:t xml:space="preserve">sans </w:t>
      </w:r>
      <w:r w:rsidRPr="00172377">
        <w:rPr>
          <w:rFonts w:cstheme="minorBidi"/>
          <w:bCs w:val="0"/>
          <w:color w:val="auto"/>
          <w:sz w:val="20"/>
          <w:lang w:val="fr-BE"/>
        </w:rPr>
        <w:t>coûts additionnels d’une durée de 12 mois jusqu’à décembre 2026</w:t>
      </w:r>
      <w:r w:rsidR="00172377">
        <w:rPr>
          <w:rFonts w:cstheme="minorBidi"/>
          <w:b w:val="0"/>
          <w:color w:val="auto"/>
          <w:sz w:val="20"/>
          <w:lang w:val="fr-BE"/>
        </w:rPr>
        <w:t xml:space="preserve"> : </w:t>
      </w:r>
      <w:r w:rsidR="00172377" w:rsidRPr="00172377">
        <w:rPr>
          <w:rFonts w:cstheme="minorBidi"/>
          <w:b w:val="0"/>
          <w:color w:val="auto"/>
          <w:sz w:val="20"/>
          <w:lang w:val="fr-BE"/>
        </w:rPr>
        <w:t>p</w:t>
      </w:r>
      <w:r w:rsidR="00A27D25" w:rsidRPr="00172377">
        <w:rPr>
          <w:rFonts w:cstheme="minorBidi"/>
          <w:b w:val="0"/>
          <w:color w:val="auto"/>
          <w:sz w:val="20"/>
          <w:lang w:val="fr-BE"/>
        </w:rPr>
        <w:t>réparation d</w:t>
      </w:r>
      <w:r w:rsidR="00BB2665" w:rsidRPr="00172377">
        <w:rPr>
          <w:rFonts w:cstheme="minorBidi"/>
          <w:b w:val="0"/>
          <w:color w:val="auto"/>
          <w:sz w:val="20"/>
          <w:lang w:val="fr-BE"/>
        </w:rPr>
        <w:t xml:space="preserve">’un </w:t>
      </w:r>
      <w:r w:rsidR="00A27D25" w:rsidRPr="00172377">
        <w:rPr>
          <w:rFonts w:cstheme="minorBidi"/>
          <w:b w:val="0"/>
          <w:color w:val="auto"/>
          <w:sz w:val="20"/>
          <w:lang w:val="fr-BE"/>
        </w:rPr>
        <w:t xml:space="preserve">avenant </w:t>
      </w:r>
      <w:r w:rsidR="00BB2665" w:rsidRPr="00172377">
        <w:rPr>
          <w:rFonts w:cstheme="minorBidi"/>
          <w:b w:val="0"/>
          <w:color w:val="auto"/>
          <w:sz w:val="20"/>
          <w:lang w:val="fr-BE"/>
        </w:rPr>
        <w:t>à</w:t>
      </w:r>
      <w:r w:rsidR="00A27D25" w:rsidRPr="00172377">
        <w:rPr>
          <w:rFonts w:cstheme="minorBidi"/>
          <w:b w:val="0"/>
          <w:color w:val="auto"/>
          <w:sz w:val="20"/>
          <w:lang w:val="fr-BE"/>
        </w:rPr>
        <w:t xml:space="preserve"> la Convention de financement</w:t>
      </w:r>
      <w:r w:rsidR="00A27D25" w:rsidRPr="00DF7B57">
        <w:rPr>
          <w:rFonts w:cstheme="minorBidi"/>
          <w:bCs w:val="0"/>
          <w:color w:val="auto"/>
          <w:sz w:val="20"/>
          <w:lang w:val="fr-BE"/>
        </w:rPr>
        <w:t xml:space="preserve"> </w:t>
      </w:r>
      <w:r w:rsidR="00172377">
        <w:rPr>
          <w:rFonts w:cstheme="minorBidi"/>
          <w:b w:val="0"/>
          <w:color w:val="auto"/>
          <w:sz w:val="20"/>
          <w:lang w:val="fr-BE"/>
        </w:rPr>
        <w:t xml:space="preserve">et </w:t>
      </w:r>
      <w:r w:rsidR="00A27D25" w:rsidRPr="00DF7B57">
        <w:rPr>
          <w:rFonts w:cstheme="minorBidi"/>
          <w:b w:val="0"/>
          <w:bCs w:val="0"/>
          <w:color w:val="auto"/>
          <w:sz w:val="20"/>
          <w:lang w:val="fr-BE"/>
        </w:rPr>
        <w:t>au contrat pour l’assistance technique</w:t>
      </w:r>
      <w:r w:rsidR="00A27D25">
        <w:rPr>
          <w:rFonts w:cstheme="minorBidi"/>
          <w:b w:val="0"/>
          <w:bCs w:val="0"/>
          <w:color w:val="auto"/>
          <w:sz w:val="20"/>
          <w:lang w:val="fr-BE"/>
        </w:rPr>
        <w:t xml:space="preserve"> internationale (ATI)</w:t>
      </w:r>
      <w:r w:rsidR="00A27D25" w:rsidRPr="00DF7B57">
        <w:rPr>
          <w:rFonts w:cstheme="minorBidi"/>
          <w:b w:val="0"/>
          <w:bCs w:val="0"/>
          <w:color w:val="auto"/>
          <w:sz w:val="20"/>
          <w:lang w:val="fr-BE"/>
        </w:rPr>
        <w:t xml:space="preserve"> afin de permettre l’ancrage du projet et la </w:t>
      </w:r>
      <w:r w:rsidR="00172377">
        <w:rPr>
          <w:rFonts w:cstheme="minorBidi"/>
          <w:b w:val="0"/>
          <w:bCs w:val="0"/>
          <w:color w:val="auto"/>
          <w:sz w:val="20"/>
          <w:lang w:val="fr-BE"/>
        </w:rPr>
        <w:t xml:space="preserve">mobilisation </w:t>
      </w:r>
      <w:r w:rsidR="00A27D25" w:rsidRPr="00DF7B57">
        <w:rPr>
          <w:rFonts w:cstheme="minorBidi"/>
          <w:b w:val="0"/>
          <w:bCs w:val="0"/>
          <w:color w:val="auto"/>
          <w:sz w:val="20"/>
          <w:lang w:val="fr-BE"/>
        </w:rPr>
        <w:t>des ressources supplémentaires pour la pérennisation</w:t>
      </w:r>
      <w:r w:rsidR="00172377">
        <w:rPr>
          <w:rFonts w:cstheme="minorBidi"/>
          <w:b w:val="0"/>
          <w:bCs w:val="0"/>
          <w:color w:val="auto"/>
          <w:sz w:val="20"/>
          <w:lang w:val="fr-BE"/>
        </w:rPr>
        <w:t xml:space="preserve"> des acquis du projet</w:t>
      </w:r>
      <w:r w:rsidR="00A27D25" w:rsidRPr="00DF7B57">
        <w:rPr>
          <w:rFonts w:cstheme="minorBidi"/>
          <w:b w:val="0"/>
          <w:bCs w:val="0"/>
          <w:color w:val="auto"/>
          <w:sz w:val="20"/>
          <w:lang w:val="fr-BE"/>
        </w:rPr>
        <w:t xml:space="preserve">. </w:t>
      </w:r>
    </w:p>
    <w:p w14:paraId="5F030200" w14:textId="0CB64C0F" w:rsidR="00A27D25" w:rsidRPr="00A27D25" w:rsidRDefault="00172377" w:rsidP="000235F5">
      <w:pPr>
        <w:pStyle w:val="Titrepartie"/>
        <w:numPr>
          <w:ilvl w:val="0"/>
          <w:numId w:val="33"/>
        </w:numPr>
        <w:spacing w:line="276" w:lineRule="auto"/>
        <w:contextualSpacing w:val="0"/>
        <w:rPr>
          <w:rFonts w:cstheme="minorBidi"/>
          <w:b w:val="0"/>
          <w:bCs w:val="0"/>
          <w:color w:val="auto"/>
          <w:sz w:val="20"/>
          <w:lang w:val="fr-BE"/>
        </w:rPr>
      </w:pPr>
      <w:r w:rsidRPr="00172377">
        <w:rPr>
          <w:rFonts w:cstheme="minorBidi"/>
          <w:color w:val="auto"/>
          <w:sz w:val="20"/>
          <w:lang w:val="fr-BE"/>
        </w:rPr>
        <w:t>Les activités prioritaires de la période d’extension</w:t>
      </w:r>
      <w:r>
        <w:rPr>
          <w:rFonts w:cstheme="minorBidi"/>
          <w:b w:val="0"/>
          <w:bCs w:val="0"/>
          <w:color w:val="auto"/>
          <w:sz w:val="20"/>
          <w:lang w:val="fr-BE"/>
        </w:rPr>
        <w:t xml:space="preserve"> : il s’agit </w:t>
      </w:r>
      <w:r w:rsidR="00A27D25" w:rsidRPr="00A27D25">
        <w:rPr>
          <w:rFonts w:cstheme="minorBidi"/>
          <w:b w:val="0"/>
          <w:bCs w:val="0"/>
          <w:color w:val="auto"/>
          <w:sz w:val="20"/>
          <w:lang w:val="fr-BE"/>
        </w:rPr>
        <w:t xml:space="preserve">des activités </w:t>
      </w:r>
      <w:r w:rsidR="000235F5">
        <w:rPr>
          <w:rFonts w:cstheme="minorBidi"/>
          <w:b w:val="0"/>
          <w:bCs w:val="0"/>
          <w:color w:val="auto"/>
          <w:sz w:val="20"/>
          <w:lang w:val="fr-BE"/>
        </w:rPr>
        <w:t>« </w:t>
      </w:r>
      <w:r w:rsidR="00A27D25" w:rsidRPr="00A27D25">
        <w:rPr>
          <w:rFonts w:cstheme="minorBidi"/>
          <w:b w:val="0"/>
          <w:bCs w:val="0"/>
          <w:color w:val="auto"/>
          <w:sz w:val="20"/>
          <w:lang w:val="fr-BE"/>
        </w:rPr>
        <w:t>phares » qui méritent d’être consolidées afin d’assurer la pérennisation</w:t>
      </w:r>
      <w:r>
        <w:rPr>
          <w:rFonts w:cstheme="minorBidi"/>
          <w:b w:val="0"/>
          <w:bCs w:val="0"/>
          <w:color w:val="auto"/>
          <w:sz w:val="20"/>
          <w:lang w:val="fr-BE"/>
        </w:rPr>
        <w:t xml:space="preserve"> des acquis du projet</w:t>
      </w:r>
      <w:r w:rsidR="00A27D25" w:rsidRPr="00A27D25">
        <w:rPr>
          <w:rFonts w:cstheme="minorBidi"/>
          <w:b w:val="0"/>
          <w:bCs w:val="0"/>
          <w:color w:val="auto"/>
          <w:sz w:val="20"/>
          <w:lang w:val="fr-BE"/>
        </w:rPr>
        <w:t xml:space="preserve">. </w:t>
      </w:r>
      <w:r>
        <w:rPr>
          <w:rFonts w:cstheme="minorBidi"/>
          <w:b w:val="0"/>
          <w:bCs w:val="0"/>
          <w:color w:val="auto"/>
          <w:sz w:val="20"/>
          <w:lang w:val="fr-BE"/>
        </w:rPr>
        <w:t xml:space="preserve">Elles </w:t>
      </w:r>
      <w:r w:rsidR="00A27D25" w:rsidRPr="00A27D25">
        <w:rPr>
          <w:rFonts w:cstheme="minorBidi"/>
          <w:b w:val="0"/>
          <w:bCs w:val="0"/>
          <w:color w:val="auto"/>
          <w:sz w:val="20"/>
          <w:lang w:val="fr-BE"/>
        </w:rPr>
        <w:t>s’inscrivent dans la continuité des dynamiques créées,</w:t>
      </w:r>
      <w:r w:rsidR="00471E03">
        <w:rPr>
          <w:rFonts w:cstheme="minorBidi"/>
          <w:b w:val="0"/>
          <w:bCs w:val="0"/>
          <w:color w:val="auto"/>
          <w:sz w:val="20"/>
          <w:lang w:val="fr-BE"/>
        </w:rPr>
        <w:t xml:space="preserve"> lesquelles</w:t>
      </w:r>
      <w:r w:rsidR="00A27D25" w:rsidRPr="00A27D25">
        <w:rPr>
          <w:rFonts w:cstheme="minorBidi"/>
          <w:b w:val="0"/>
          <w:bCs w:val="0"/>
          <w:color w:val="auto"/>
          <w:sz w:val="20"/>
          <w:lang w:val="fr-BE"/>
        </w:rPr>
        <w:t xml:space="preserve"> sont bien ancrées auprès des institutions partenaires. </w:t>
      </w:r>
      <w:r>
        <w:rPr>
          <w:rFonts w:cstheme="minorBidi"/>
          <w:b w:val="0"/>
          <w:bCs w:val="0"/>
          <w:color w:val="auto"/>
          <w:sz w:val="20"/>
          <w:lang w:val="fr-BE"/>
        </w:rPr>
        <w:t>L</w:t>
      </w:r>
      <w:r w:rsidR="00A27D25" w:rsidRPr="00A27D25">
        <w:rPr>
          <w:rFonts w:cstheme="minorBidi"/>
          <w:b w:val="0"/>
          <w:bCs w:val="0"/>
          <w:color w:val="auto"/>
          <w:sz w:val="20"/>
          <w:lang w:val="fr-BE"/>
        </w:rPr>
        <w:t xml:space="preserve">a dernière année du projet consacrera </w:t>
      </w:r>
      <w:r>
        <w:rPr>
          <w:rFonts w:cstheme="minorBidi"/>
          <w:b w:val="0"/>
          <w:bCs w:val="0"/>
          <w:color w:val="auto"/>
          <w:sz w:val="20"/>
          <w:lang w:val="fr-BE"/>
        </w:rPr>
        <w:t xml:space="preserve">également </w:t>
      </w:r>
      <w:r w:rsidR="00A27D25" w:rsidRPr="00A27D25">
        <w:rPr>
          <w:rFonts w:cstheme="minorBidi"/>
          <w:b w:val="0"/>
          <w:bCs w:val="0"/>
          <w:color w:val="auto"/>
          <w:sz w:val="20"/>
          <w:lang w:val="fr-BE"/>
        </w:rPr>
        <w:t>beaucoup d’importance au bilan et à la stratégie de pérennisation.</w:t>
      </w:r>
    </w:p>
    <w:p w14:paraId="26D8F14C" w14:textId="77777777" w:rsidR="00A27D25" w:rsidRPr="00A27D25" w:rsidRDefault="00A27D25" w:rsidP="000235F5">
      <w:pPr>
        <w:pStyle w:val="Titrepartie"/>
        <w:numPr>
          <w:ilvl w:val="0"/>
          <w:numId w:val="0"/>
        </w:numPr>
        <w:spacing w:line="276" w:lineRule="auto"/>
        <w:ind w:left="720"/>
        <w:contextualSpacing w:val="0"/>
        <w:rPr>
          <w:rFonts w:cstheme="minorBidi"/>
          <w:b w:val="0"/>
          <w:bCs w:val="0"/>
          <w:color w:val="auto"/>
          <w:sz w:val="20"/>
          <w:lang w:val="fr-BE"/>
        </w:rPr>
      </w:pPr>
      <w:r w:rsidRPr="00A27D25">
        <w:rPr>
          <w:rFonts w:cstheme="minorBidi"/>
          <w:b w:val="0"/>
          <w:bCs w:val="0"/>
          <w:color w:val="auto"/>
          <w:sz w:val="20"/>
          <w:lang w:val="fr-BE"/>
        </w:rPr>
        <w:t>Il s’agit des axes d’intervention suivants :</w:t>
      </w:r>
    </w:p>
    <w:p w14:paraId="3F896C6D" w14:textId="77777777" w:rsidR="009144E0" w:rsidRDefault="00A27D25" w:rsidP="000235F5">
      <w:pPr>
        <w:pStyle w:val="Titrepartie"/>
        <w:numPr>
          <w:ilvl w:val="0"/>
          <w:numId w:val="30"/>
        </w:numPr>
        <w:spacing w:line="276" w:lineRule="auto"/>
        <w:ind w:left="1276"/>
        <w:contextualSpacing w:val="0"/>
        <w:rPr>
          <w:rFonts w:cstheme="minorBidi"/>
          <w:b w:val="0"/>
          <w:bCs w:val="0"/>
          <w:color w:val="auto"/>
          <w:sz w:val="20"/>
          <w:lang w:val="fr-BE"/>
        </w:rPr>
      </w:pPr>
      <w:r w:rsidRPr="00080750">
        <w:rPr>
          <w:rFonts w:cstheme="minorBidi"/>
          <w:color w:val="auto"/>
          <w:sz w:val="20"/>
          <w:lang w:val="fr-BE"/>
        </w:rPr>
        <w:t>L’accompagnement de l’Unité de gouvernance</w:t>
      </w:r>
      <w:r w:rsidRPr="00A27D25">
        <w:rPr>
          <w:rFonts w:cstheme="minorBidi"/>
          <w:b w:val="0"/>
          <w:bCs w:val="0"/>
          <w:color w:val="auto"/>
          <w:sz w:val="20"/>
          <w:lang w:val="fr-BE"/>
        </w:rPr>
        <w:t xml:space="preserve"> dans son intégration à la dynamique institutionnelle de la COI ainsi que sa pérennisation.</w:t>
      </w:r>
    </w:p>
    <w:p w14:paraId="4368008C" w14:textId="77777777" w:rsidR="009144E0" w:rsidRDefault="00A27D25" w:rsidP="000235F5">
      <w:pPr>
        <w:pStyle w:val="Titrepartie"/>
        <w:numPr>
          <w:ilvl w:val="0"/>
          <w:numId w:val="30"/>
        </w:numPr>
        <w:spacing w:line="276" w:lineRule="auto"/>
        <w:ind w:left="1276"/>
        <w:contextualSpacing w:val="0"/>
        <w:rPr>
          <w:rFonts w:cstheme="minorBidi"/>
          <w:b w:val="0"/>
          <w:bCs w:val="0"/>
          <w:color w:val="auto"/>
          <w:sz w:val="20"/>
          <w:lang w:val="fr-BE"/>
        </w:rPr>
      </w:pPr>
      <w:r w:rsidRPr="00080750">
        <w:rPr>
          <w:rFonts w:cstheme="minorBidi"/>
          <w:color w:val="auto"/>
          <w:sz w:val="20"/>
          <w:lang w:val="fr-BE"/>
        </w:rPr>
        <w:t>L’appui des réseaux redynamisés par le projet GPS</w:t>
      </w:r>
      <w:r w:rsidRPr="009144E0">
        <w:rPr>
          <w:rFonts w:cstheme="minorBidi"/>
          <w:b w:val="0"/>
          <w:bCs w:val="0"/>
          <w:color w:val="auto"/>
          <w:sz w:val="20"/>
          <w:lang w:val="fr-BE"/>
        </w:rPr>
        <w:t xml:space="preserve"> dont l’AP-COI/PFPOI et le </w:t>
      </w:r>
      <w:r w:rsidR="009144E0">
        <w:rPr>
          <w:rFonts w:cstheme="minorBidi"/>
          <w:b w:val="0"/>
          <w:bCs w:val="0"/>
          <w:color w:val="auto"/>
          <w:sz w:val="20"/>
          <w:lang w:val="fr-BE"/>
        </w:rPr>
        <w:t>REOI</w:t>
      </w:r>
    </w:p>
    <w:p w14:paraId="7BD33BCA" w14:textId="1818A313" w:rsidR="009144E0" w:rsidRDefault="00A27D25" w:rsidP="000235F5">
      <w:pPr>
        <w:pStyle w:val="Titrepartie"/>
        <w:numPr>
          <w:ilvl w:val="0"/>
          <w:numId w:val="31"/>
        </w:numPr>
        <w:spacing w:line="276" w:lineRule="auto"/>
        <w:ind w:left="1276"/>
        <w:contextualSpacing w:val="0"/>
        <w:rPr>
          <w:rFonts w:cstheme="minorBidi"/>
          <w:b w:val="0"/>
          <w:bCs w:val="0"/>
          <w:color w:val="auto"/>
          <w:sz w:val="20"/>
          <w:lang w:val="fr-BE"/>
        </w:rPr>
      </w:pPr>
      <w:r w:rsidRPr="00080750">
        <w:rPr>
          <w:rFonts w:cstheme="minorBidi"/>
          <w:color w:val="auto"/>
          <w:sz w:val="20"/>
          <w:lang w:val="fr-BE"/>
        </w:rPr>
        <w:t xml:space="preserve">La mise en place </w:t>
      </w:r>
      <w:r w:rsidR="00080750" w:rsidRPr="00080750">
        <w:rPr>
          <w:rFonts w:cstheme="minorBidi"/>
          <w:color w:val="auto"/>
          <w:sz w:val="20"/>
          <w:lang w:val="fr-BE"/>
        </w:rPr>
        <w:t xml:space="preserve">effective et l’opérationnalisation </w:t>
      </w:r>
      <w:r w:rsidRPr="00080750">
        <w:rPr>
          <w:rFonts w:cstheme="minorBidi"/>
          <w:color w:val="auto"/>
          <w:sz w:val="20"/>
          <w:lang w:val="fr-BE"/>
        </w:rPr>
        <w:t>d’une école d’administration électorale</w:t>
      </w:r>
      <w:r w:rsidRPr="009144E0">
        <w:rPr>
          <w:rFonts w:cstheme="minorBidi"/>
          <w:b w:val="0"/>
          <w:bCs w:val="0"/>
          <w:color w:val="auto"/>
          <w:sz w:val="20"/>
          <w:lang w:val="fr-BE"/>
        </w:rPr>
        <w:t xml:space="preserve"> ;</w:t>
      </w:r>
    </w:p>
    <w:p w14:paraId="0E503EA1" w14:textId="6517BE4A" w:rsidR="00A27D25" w:rsidRPr="009144E0" w:rsidRDefault="00A27D25" w:rsidP="000235F5">
      <w:pPr>
        <w:pStyle w:val="Titrepartie"/>
        <w:numPr>
          <w:ilvl w:val="0"/>
          <w:numId w:val="31"/>
        </w:numPr>
        <w:spacing w:line="276" w:lineRule="auto"/>
        <w:ind w:left="1276"/>
        <w:contextualSpacing w:val="0"/>
        <w:rPr>
          <w:rFonts w:cstheme="minorBidi"/>
          <w:b w:val="0"/>
          <w:bCs w:val="0"/>
          <w:color w:val="auto"/>
          <w:sz w:val="20"/>
          <w:lang w:val="fr-BE"/>
        </w:rPr>
      </w:pPr>
      <w:r w:rsidRPr="00080750">
        <w:rPr>
          <w:rFonts w:cstheme="minorBidi"/>
          <w:color w:val="auto"/>
          <w:sz w:val="20"/>
          <w:lang w:val="fr-BE"/>
        </w:rPr>
        <w:t xml:space="preserve">La </w:t>
      </w:r>
      <w:r w:rsidR="00080750" w:rsidRPr="00080750">
        <w:rPr>
          <w:rFonts w:cstheme="minorBidi"/>
          <w:color w:val="auto"/>
          <w:sz w:val="20"/>
          <w:lang w:val="fr-BE"/>
        </w:rPr>
        <w:t xml:space="preserve">poursuite de la </w:t>
      </w:r>
      <w:r w:rsidRPr="00080750">
        <w:rPr>
          <w:rFonts w:cstheme="minorBidi"/>
          <w:color w:val="auto"/>
          <w:sz w:val="20"/>
          <w:lang w:val="fr-BE"/>
        </w:rPr>
        <w:t>collaboration entre la COI et l’AP-COI</w:t>
      </w:r>
      <w:r w:rsidRPr="009144E0">
        <w:rPr>
          <w:rFonts w:cstheme="minorBidi"/>
          <w:b w:val="0"/>
          <w:bCs w:val="0"/>
          <w:color w:val="auto"/>
          <w:sz w:val="20"/>
          <w:lang w:val="fr-BE"/>
        </w:rPr>
        <w:t xml:space="preserve"> pour les actions communes en faveur des intérêts communs de la région et consolidatio</w:t>
      </w:r>
      <w:r w:rsidR="009144E0">
        <w:rPr>
          <w:rFonts w:cstheme="minorBidi"/>
          <w:b w:val="0"/>
          <w:bCs w:val="0"/>
          <w:color w:val="auto"/>
          <w:sz w:val="20"/>
          <w:lang w:val="fr-BE"/>
        </w:rPr>
        <w:t>n de la légitimité de l’AP-COI ;</w:t>
      </w:r>
    </w:p>
    <w:p w14:paraId="377F6BA6" w14:textId="48D4A315" w:rsidR="00A27D25" w:rsidRPr="00A27D25" w:rsidRDefault="00A27D25" w:rsidP="000235F5">
      <w:pPr>
        <w:pStyle w:val="Titrepartie"/>
        <w:numPr>
          <w:ilvl w:val="0"/>
          <w:numId w:val="32"/>
        </w:numPr>
        <w:spacing w:line="276" w:lineRule="auto"/>
        <w:ind w:left="1276"/>
        <w:contextualSpacing w:val="0"/>
        <w:rPr>
          <w:rFonts w:cstheme="minorBidi"/>
          <w:b w:val="0"/>
          <w:bCs w:val="0"/>
          <w:color w:val="auto"/>
          <w:sz w:val="20"/>
          <w:lang w:val="fr-BE"/>
        </w:rPr>
      </w:pPr>
      <w:r w:rsidRPr="005E2E9E">
        <w:rPr>
          <w:rFonts w:cstheme="minorBidi"/>
          <w:color w:val="auto"/>
          <w:sz w:val="20"/>
          <w:lang w:val="fr-BE"/>
        </w:rPr>
        <w:t xml:space="preserve">La </w:t>
      </w:r>
      <w:r w:rsidR="005E2E9E" w:rsidRPr="005E2E9E">
        <w:rPr>
          <w:rFonts w:cstheme="minorBidi"/>
          <w:color w:val="auto"/>
          <w:sz w:val="20"/>
          <w:lang w:val="fr-BE"/>
        </w:rPr>
        <w:t xml:space="preserve">poursuite de la </w:t>
      </w:r>
      <w:r w:rsidRPr="005E2E9E">
        <w:rPr>
          <w:rFonts w:cstheme="minorBidi"/>
          <w:color w:val="auto"/>
          <w:sz w:val="20"/>
          <w:lang w:val="fr-BE"/>
        </w:rPr>
        <w:t>collaboration avec d’autres organisations interparlemen</w:t>
      </w:r>
      <w:r w:rsidR="009144E0" w:rsidRPr="005E2E9E">
        <w:rPr>
          <w:rFonts w:cstheme="minorBidi"/>
          <w:color w:val="auto"/>
          <w:sz w:val="20"/>
          <w:lang w:val="fr-BE"/>
        </w:rPr>
        <w:t>taires</w:t>
      </w:r>
      <w:r w:rsidR="009144E0">
        <w:rPr>
          <w:rFonts w:cstheme="minorBidi"/>
          <w:b w:val="0"/>
          <w:bCs w:val="0"/>
          <w:color w:val="auto"/>
          <w:sz w:val="20"/>
          <w:lang w:val="fr-BE"/>
        </w:rPr>
        <w:t xml:space="preserve"> et d’autres partenaires </w:t>
      </w:r>
    </w:p>
    <w:p w14:paraId="2E518BE2" w14:textId="77777777" w:rsidR="00A27D25" w:rsidRPr="00A27D25" w:rsidRDefault="00A27D25" w:rsidP="000235F5">
      <w:pPr>
        <w:pStyle w:val="Titrepartie"/>
        <w:numPr>
          <w:ilvl w:val="0"/>
          <w:numId w:val="32"/>
        </w:numPr>
        <w:spacing w:line="276" w:lineRule="auto"/>
        <w:ind w:left="1276"/>
        <w:contextualSpacing w:val="0"/>
        <w:rPr>
          <w:rFonts w:cstheme="minorBidi"/>
          <w:b w:val="0"/>
          <w:bCs w:val="0"/>
          <w:color w:val="auto"/>
          <w:sz w:val="20"/>
          <w:lang w:val="fr-BE"/>
        </w:rPr>
      </w:pPr>
      <w:r w:rsidRPr="005E2E9E">
        <w:rPr>
          <w:rFonts w:cstheme="minorBidi"/>
          <w:color w:val="auto"/>
          <w:sz w:val="20"/>
          <w:lang w:val="fr-BE"/>
        </w:rPr>
        <w:lastRenderedPageBreak/>
        <w:t>L’ancrage de la thématique jeunesse et femmes</w:t>
      </w:r>
      <w:r w:rsidRPr="00A27D25">
        <w:rPr>
          <w:rFonts w:cstheme="minorBidi"/>
          <w:b w:val="0"/>
          <w:bCs w:val="0"/>
          <w:color w:val="auto"/>
          <w:sz w:val="20"/>
          <w:lang w:val="fr-BE"/>
        </w:rPr>
        <w:t xml:space="preserve"> comme axes transversaux.</w:t>
      </w:r>
    </w:p>
    <w:p w14:paraId="08FFE457" w14:textId="77777777" w:rsidR="00471E03" w:rsidRPr="00A27D25" w:rsidRDefault="00471E03" w:rsidP="000235F5">
      <w:pPr>
        <w:pStyle w:val="Paragraphedeliste"/>
        <w:suppressAutoHyphens/>
        <w:autoSpaceDN w:val="0"/>
        <w:spacing w:line="276" w:lineRule="auto"/>
        <w:ind w:left="1080"/>
        <w:contextualSpacing w:val="0"/>
        <w:jc w:val="both"/>
        <w:textAlignment w:val="baseline"/>
        <w:rPr>
          <w:rFonts w:ascii="Verdana" w:hAnsi="Verdana"/>
          <w:sz w:val="20"/>
          <w:szCs w:val="20"/>
          <w:lang w:val="fr-BE"/>
        </w:rPr>
      </w:pPr>
    </w:p>
    <w:bookmarkEnd w:id="0"/>
    <w:p w14:paraId="56FED2D5" w14:textId="603422FB" w:rsidR="006B0BE0" w:rsidRPr="0008468B" w:rsidRDefault="006B0BE0" w:rsidP="000235F5">
      <w:pPr>
        <w:pStyle w:val="Titrepartie"/>
        <w:numPr>
          <w:ilvl w:val="0"/>
          <w:numId w:val="40"/>
        </w:numPr>
        <w:spacing w:line="276" w:lineRule="auto"/>
        <w:contextualSpacing w:val="0"/>
      </w:pPr>
      <w:r w:rsidRPr="0008468B">
        <w:t>Proposition</w:t>
      </w:r>
      <w:r w:rsidR="002C08F2">
        <w:t>s</w:t>
      </w:r>
      <w:r w:rsidRPr="0008468B">
        <w:t xml:space="preserve"> de décision</w:t>
      </w:r>
    </w:p>
    <w:p w14:paraId="08EB2733" w14:textId="5D307C2C" w:rsidR="006B0BE0" w:rsidRPr="004F5C4B" w:rsidRDefault="006B0BE0" w:rsidP="000235F5">
      <w:pPr>
        <w:pStyle w:val="Paragraphe"/>
        <w:spacing w:line="276" w:lineRule="auto"/>
      </w:pPr>
      <w:r w:rsidRPr="004F5C4B">
        <w:t>Le Comité des OPL</w:t>
      </w:r>
      <w:r>
        <w:t> :</w:t>
      </w:r>
    </w:p>
    <w:p w14:paraId="528EF9CE" w14:textId="60184444" w:rsidR="006B0BE0" w:rsidRPr="003E5EE7" w:rsidRDefault="006B0BE0" w:rsidP="000235F5">
      <w:pPr>
        <w:pStyle w:val="Paragraphe"/>
        <w:numPr>
          <w:ilvl w:val="0"/>
          <w:numId w:val="39"/>
        </w:numPr>
        <w:spacing w:line="276" w:lineRule="auto"/>
        <w:rPr>
          <w:lang w:val="fr-BE"/>
        </w:rPr>
      </w:pPr>
      <w:r>
        <w:t xml:space="preserve">Approuve la version consolidée des termes de référence </w:t>
      </w:r>
      <w:r>
        <w:rPr>
          <w:rFonts w:cs="Arial"/>
          <w:lang w:val="fr-BE"/>
        </w:rPr>
        <w:t>des missions d’</w:t>
      </w:r>
      <w:r w:rsidR="008E7F53">
        <w:rPr>
          <w:rFonts w:cs="Arial"/>
          <w:lang w:val="fr-BE"/>
        </w:rPr>
        <w:t xml:space="preserve">information </w:t>
      </w:r>
      <w:r>
        <w:rPr>
          <w:rFonts w:cs="Arial"/>
          <w:lang w:val="fr-BE"/>
        </w:rPr>
        <w:t xml:space="preserve">et de </w:t>
      </w:r>
      <w:r w:rsidR="008E7F53">
        <w:rPr>
          <w:rFonts w:cs="Arial"/>
          <w:lang w:val="fr-BE"/>
        </w:rPr>
        <w:t>solidarité</w:t>
      </w:r>
      <w:r w:rsidR="000B10B4">
        <w:rPr>
          <w:rFonts w:cs="Arial"/>
          <w:lang w:val="fr-BE"/>
        </w:rPr>
        <w:t xml:space="preserve"> (</w:t>
      </w:r>
      <w:r w:rsidR="000B10B4" w:rsidRPr="000B10B4">
        <w:rPr>
          <w:rFonts w:cs="Arial"/>
        </w:rPr>
        <w:t>précédemment appelées missions d'écoute et de dialogue</w:t>
      </w:r>
      <w:r w:rsidR="000B10B4">
        <w:rPr>
          <w:rFonts w:cs="Arial"/>
        </w:rPr>
        <w:t>)</w:t>
      </w:r>
      <w:r w:rsidR="003E5EE7">
        <w:rPr>
          <w:rFonts w:cs="Arial"/>
          <w:lang w:val="fr-BE"/>
        </w:rPr>
        <w:t xml:space="preserve">, </w:t>
      </w:r>
      <w:r>
        <w:rPr>
          <w:rFonts w:cs="Arial"/>
          <w:lang w:val="fr-BE"/>
        </w:rPr>
        <w:t>issu</w:t>
      </w:r>
      <w:r w:rsidR="003E5EE7">
        <w:rPr>
          <w:rFonts w:cs="Arial"/>
          <w:lang w:val="fr-BE"/>
        </w:rPr>
        <w:t>e</w:t>
      </w:r>
      <w:r w:rsidR="008E7F53">
        <w:rPr>
          <w:rFonts w:cs="Arial"/>
          <w:lang w:val="fr-BE"/>
        </w:rPr>
        <w:t xml:space="preserve"> </w:t>
      </w:r>
      <w:r>
        <w:rPr>
          <w:rFonts w:cs="Arial"/>
          <w:lang w:val="fr-BE"/>
        </w:rPr>
        <w:t xml:space="preserve">de l’atelier de validation </w:t>
      </w:r>
      <w:r w:rsidRPr="006B0BE0">
        <w:rPr>
          <w:rFonts w:cstheme="minorBidi"/>
          <w:lang w:val="fr-BE"/>
        </w:rPr>
        <w:t>avec les OPL le 27 aout 2024</w:t>
      </w:r>
      <w:r>
        <w:rPr>
          <w:rFonts w:cstheme="minorBidi"/>
          <w:lang w:val="fr-BE"/>
        </w:rPr>
        <w:t>.</w:t>
      </w:r>
    </w:p>
    <w:p w14:paraId="51159AA2" w14:textId="4B1959FC" w:rsidR="003E5EE7" w:rsidRDefault="006B0BE0" w:rsidP="000235F5">
      <w:pPr>
        <w:pStyle w:val="Paragraphe"/>
        <w:numPr>
          <w:ilvl w:val="0"/>
          <w:numId w:val="39"/>
        </w:numPr>
        <w:spacing w:line="276" w:lineRule="auto"/>
        <w:rPr>
          <w:lang w:val="fr-BE"/>
        </w:rPr>
      </w:pPr>
      <w:r>
        <w:rPr>
          <w:lang w:val="fr-BE"/>
        </w:rPr>
        <w:t xml:space="preserve">Se félicite de la </w:t>
      </w:r>
      <w:r w:rsidR="003E5EE7">
        <w:rPr>
          <w:lang w:val="fr-BE"/>
        </w:rPr>
        <w:t xml:space="preserve">décision prise par la </w:t>
      </w:r>
      <w:r w:rsidR="003E5EE7" w:rsidRPr="003E5EE7">
        <w:rPr>
          <w:rFonts w:cstheme="minorBidi"/>
          <w:lang w:val="fr-BE"/>
        </w:rPr>
        <w:t>Conférence des Présidents du Réseau électoral de l’océan Indien (REOI)</w:t>
      </w:r>
      <w:r w:rsidR="003E5EE7">
        <w:rPr>
          <w:rFonts w:cstheme="minorBidi"/>
          <w:lang w:val="fr-BE"/>
        </w:rPr>
        <w:t xml:space="preserve"> en vue de la création </w:t>
      </w:r>
      <w:r w:rsidR="003E5EE7">
        <w:rPr>
          <w:lang w:val="fr-BE"/>
        </w:rPr>
        <w:t>d’un</w:t>
      </w:r>
      <w:r w:rsidR="003E5EE7" w:rsidRPr="003E5EE7">
        <w:rPr>
          <w:lang w:val="fr-BE"/>
        </w:rPr>
        <w:t xml:space="preserve">e école </w:t>
      </w:r>
      <w:r w:rsidR="003E5EE7">
        <w:rPr>
          <w:lang w:val="fr-BE"/>
        </w:rPr>
        <w:t xml:space="preserve">régionale </w:t>
      </w:r>
      <w:r w:rsidR="003E5EE7" w:rsidRPr="003E5EE7">
        <w:rPr>
          <w:lang w:val="fr-BE"/>
        </w:rPr>
        <w:t>d’administration électorale.</w:t>
      </w:r>
    </w:p>
    <w:p w14:paraId="5822FB75" w14:textId="4E9A417B" w:rsidR="003E5EE7" w:rsidRPr="00C24539" w:rsidRDefault="003924B6" w:rsidP="000235F5">
      <w:pPr>
        <w:pStyle w:val="Paragraphe"/>
        <w:numPr>
          <w:ilvl w:val="0"/>
          <w:numId w:val="39"/>
        </w:numPr>
        <w:spacing w:line="276" w:lineRule="auto"/>
        <w:rPr>
          <w:lang w:val="fr-BE"/>
        </w:rPr>
      </w:pPr>
      <w:r>
        <w:rPr>
          <w:lang w:val="fr-BE"/>
        </w:rPr>
        <w:t xml:space="preserve">Demande au Secrétariat de poursuivre les consultations nécessaires prévues dans le cadre du processus </w:t>
      </w:r>
      <w:r w:rsidRPr="003924B6">
        <w:rPr>
          <w:lang w:val="fr-BE"/>
        </w:rPr>
        <w:t xml:space="preserve">de mise en place </w:t>
      </w:r>
      <w:r>
        <w:rPr>
          <w:lang w:val="fr-BE"/>
        </w:rPr>
        <w:t>effective d</w:t>
      </w:r>
      <w:r w:rsidR="000235F5">
        <w:rPr>
          <w:lang w:val="fr-BE"/>
        </w:rPr>
        <w:t>’un</w:t>
      </w:r>
      <w:r>
        <w:rPr>
          <w:lang w:val="fr-BE"/>
        </w:rPr>
        <w:t xml:space="preserve"> </w:t>
      </w:r>
      <w:r w:rsidRPr="003924B6">
        <w:rPr>
          <w:rFonts w:cstheme="minorBidi"/>
          <w:lang w:val="fr-BE"/>
        </w:rPr>
        <w:t>Campus Régiona</w:t>
      </w:r>
      <w:r w:rsidR="000235F5">
        <w:rPr>
          <w:rFonts w:cstheme="minorBidi"/>
          <w:lang w:val="fr-BE"/>
        </w:rPr>
        <w:t>l</w:t>
      </w:r>
      <w:r w:rsidRPr="003924B6">
        <w:rPr>
          <w:rFonts w:cstheme="minorBidi"/>
          <w:lang w:val="fr-BE"/>
        </w:rPr>
        <w:t xml:space="preserve"> des Métiers et des Qualifications d’excellence (CRMQE) d’administration électorale</w:t>
      </w:r>
      <w:r>
        <w:rPr>
          <w:rFonts w:cstheme="minorBidi"/>
          <w:lang w:val="fr-BE"/>
        </w:rPr>
        <w:t>.</w:t>
      </w:r>
    </w:p>
    <w:p w14:paraId="6CD6439D" w14:textId="16CA144A" w:rsidR="00C24539" w:rsidRDefault="00C24539" w:rsidP="000235F5">
      <w:pPr>
        <w:pStyle w:val="Paragraphe"/>
        <w:numPr>
          <w:ilvl w:val="0"/>
          <w:numId w:val="39"/>
        </w:numPr>
        <w:spacing w:line="276" w:lineRule="auto"/>
        <w:rPr>
          <w:lang w:val="fr-BE"/>
        </w:rPr>
      </w:pPr>
      <w:r w:rsidRPr="003E5EE7">
        <w:rPr>
          <w:lang w:val="fr-BE"/>
        </w:rPr>
        <w:t>P</w:t>
      </w:r>
      <w:r>
        <w:rPr>
          <w:lang w:val="fr-BE"/>
        </w:rPr>
        <w:t xml:space="preserve">rend note de l’initiative prise par l’Association des Parlements des États membres de la COI (AP-COI) </w:t>
      </w:r>
      <w:r w:rsidR="000235F5">
        <w:rPr>
          <w:lang w:val="fr-BE"/>
        </w:rPr>
        <w:t>de proposer l’établissement</w:t>
      </w:r>
      <w:r>
        <w:rPr>
          <w:lang w:val="fr-BE"/>
        </w:rPr>
        <w:t xml:space="preserve"> d’un </w:t>
      </w:r>
      <w:r w:rsidRPr="00C24539">
        <w:rPr>
          <w:lang w:val="fr-BE"/>
        </w:rPr>
        <w:t>Mémorandum d’entente entre la COI et l’AP-COI</w:t>
      </w:r>
      <w:r>
        <w:rPr>
          <w:lang w:val="fr-BE"/>
        </w:rPr>
        <w:t>.</w:t>
      </w:r>
    </w:p>
    <w:p w14:paraId="3F4DD15A" w14:textId="47AA70FE" w:rsidR="00C24539" w:rsidRPr="00C24539" w:rsidRDefault="00C24539" w:rsidP="000235F5">
      <w:pPr>
        <w:pStyle w:val="Paragraphe"/>
        <w:numPr>
          <w:ilvl w:val="0"/>
          <w:numId w:val="39"/>
        </w:numPr>
        <w:spacing w:line="276" w:lineRule="auto"/>
        <w:rPr>
          <w:lang w:val="fr-BE"/>
        </w:rPr>
      </w:pPr>
      <w:r>
        <w:rPr>
          <w:lang w:val="fr-BE"/>
        </w:rPr>
        <w:t xml:space="preserve">Se félicite des démarches </w:t>
      </w:r>
      <w:r w:rsidR="000235F5">
        <w:rPr>
          <w:lang w:val="fr-BE"/>
        </w:rPr>
        <w:t xml:space="preserve">et consultations </w:t>
      </w:r>
      <w:r>
        <w:rPr>
          <w:lang w:val="fr-BE"/>
        </w:rPr>
        <w:t xml:space="preserve">entreprises à travers le projet GPS en vue de la </w:t>
      </w:r>
      <w:r w:rsidRPr="00C24539">
        <w:rPr>
          <w:lang w:val="fr-BE"/>
        </w:rPr>
        <w:t xml:space="preserve">mise en place </w:t>
      </w:r>
      <w:r>
        <w:rPr>
          <w:lang w:val="fr-BE"/>
        </w:rPr>
        <w:t xml:space="preserve">effective </w:t>
      </w:r>
      <w:r w:rsidRPr="00C24539">
        <w:rPr>
          <w:lang w:val="fr-BE"/>
        </w:rPr>
        <w:t>d</w:t>
      </w:r>
      <w:r>
        <w:rPr>
          <w:lang w:val="fr-BE"/>
        </w:rPr>
        <w:t xml:space="preserve">’un </w:t>
      </w:r>
      <w:r w:rsidRPr="00C24539">
        <w:rPr>
          <w:lang w:val="fr-BE"/>
        </w:rPr>
        <w:t>parlement régional de jeunes de l’Indianocéanie.</w:t>
      </w:r>
    </w:p>
    <w:p w14:paraId="7F9C141F" w14:textId="77777777" w:rsidR="006B0BE0" w:rsidRPr="000D2925" w:rsidRDefault="006B0BE0" w:rsidP="000235F5">
      <w:pPr>
        <w:autoSpaceDN w:val="0"/>
        <w:spacing w:line="276" w:lineRule="auto"/>
        <w:jc w:val="both"/>
        <w:textAlignment w:val="baseline"/>
        <w:rPr>
          <w:rFonts w:ascii="Verdana" w:hAnsi="Verdana"/>
          <w:sz w:val="20"/>
          <w:szCs w:val="20"/>
          <w:highlight w:val="yellow"/>
          <w:lang w:val="fr-BE"/>
        </w:rPr>
      </w:pPr>
    </w:p>
    <w:p w14:paraId="581D2FC9" w14:textId="77777777" w:rsidR="006B0BE0" w:rsidRPr="00153555" w:rsidRDefault="006B0BE0" w:rsidP="000235F5">
      <w:pPr>
        <w:pStyle w:val="Exergue"/>
        <w:spacing w:after="160" w:line="276" w:lineRule="auto"/>
      </w:pPr>
    </w:p>
    <w:p w14:paraId="72BF1D17" w14:textId="003E152D" w:rsidR="006B0BE0" w:rsidRPr="0008468B" w:rsidRDefault="006B0BE0" w:rsidP="000235F5">
      <w:pPr>
        <w:pStyle w:val="Titrepartie"/>
        <w:numPr>
          <w:ilvl w:val="0"/>
          <w:numId w:val="40"/>
        </w:numPr>
        <w:spacing w:line="276" w:lineRule="auto"/>
        <w:contextualSpacing w:val="0"/>
      </w:pPr>
      <w:r w:rsidRPr="0008468B">
        <w:t>Annexe</w:t>
      </w:r>
      <w:r w:rsidR="003A5F9F">
        <w:t>s</w:t>
      </w:r>
      <w:r w:rsidRPr="0008468B">
        <w:t> :</w:t>
      </w:r>
    </w:p>
    <w:p w14:paraId="659D5953" w14:textId="69FCE349" w:rsidR="005225B3" w:rsidRDefault="006B0BE0" w:rsidP="000235F5">
      <w:pPr>
        <w:pStyle w:val="Paragraphe"/>
        <w:numPr>
          <w:ilvl w:val="0"/>
          <w:numId w:val="9"/>
        </w:numPr>
        <w:spacing w:line="276" w:lineRule="auto"/>
      </w:pPr>
      <w:r>
        <w:t xml:space="preserve">Annexe 1 : </w:t>
      </w:r>
      <w:r w:rsidR="005225B3">
        <w:t xml:space="preserve">Version consolidée des termes de référence </w:t>
      </w:r>
      <w:r w:rsidR="005225B3" w:rsidRPr="00230032">
        <w:rPr>
          <w:rFonts w:cs="Arial"/>
          <w:lang w:val="fr-BE"/>
        </w:rPr>
        <w:t>des missions d’information et de solidarité</w:t>
      </w:r>
    </w:p>
    <w:p w14:paraId="31FD6B76" w14:textId="77777777" w:rsidR="006B0BE0" w:rsidRDefault="006B0BE0" w:rsidP="006B0BE0">
      <w:pPr>
        <w:rPr>
          <w:rFonts w:ascii="Verdana" w:hAnsi="Verdana"/>
          <w:b/>
          <w:bCs/>
          <w:i/>
          <w:iCs/>
          <w:sz w:val="20"/>
          <w:szCs w:val="20"/>
        </w:rPr>
      </w:pPr>
    </w:p>
    <w:p w14:paraId="7084C2D5" w14:textId="52DD522C" w:rsidR="00A87320" w:rsidRPr="003E306E" w:rsidRDefault="00A87320" w:rsidP="000E4851">
      <w:pPr>
        <w:pStyle w:val="Paragraphe"/>
        <w:ind w:left="720"/>
      </w:pPr>
    </w:p>
    <w:sectPr w:rsidR="00A87320" w:rsidRPr="003E306E"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F5ED3" w14:textId="77777777" w:rsidR="00206DFC" w:rsidRDefault="00206DFC">
      <w:pPr>
        <w:spacing w:after="0" w:line="240" w:lineRule="auto"/>
      </w:pPr>
      <w:r>
        <w:separator/>
      </w:r>
    </w:p>
  </w:endnote>
  <w:endnote w:type="continuationSeparator" w:id="0">
    <w:p w14:paraId="577061FB" w14:textId="77777777" w:rsidR="00206DFC" w:rsidRDefault="0020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25659F71" w:rsidR="009144E0" w:rsidRDefault="009144E0" w:rsidP="000F4728">
        <w:pPr>
          <w:pStyle w:val="Pieddepage"/>
          <w:pBdr>
            <w:top w:val="single" w:sz="4" w:space="1" w:color="ED7D31" w:themeColor="accent2"/>
          </w:pBdr>
          <w:jc w:val="right"/>
        </w:pPr>
        <w:r>
          <w:fldChar w:fldCharType="begin"/>
        </w:r>
        <w:r>
          <w:instrText>PAGE   \* MERGEFORMAT</w:instrText>
        </w:r>
        <w:r>
          <w:fldChar w:fldCharType="separate"/>
        </w:r>
        <w:r w:rsidR="0021198F">
          <w:rPr>
            <w:noProof/>
          </w:rPr>
          <w:t>1</w:t>
        </w:r>
        <w:r>
          <w:fldChar w:fldCharType="end"/>
        </w:r>
      </w:p>
    </w:sdtContent>
  </w:sdt>
  <w:p w14:paraId="5BF7192F" w14:textId="77777777" w:rsidR="009144E0" w:rsidRDefault="00914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47B7F" w14:textId="77777777" w:rsidR="00206DFC" w:rsidRDefault="00206DFC">
      <w:pPr>
        <w:spacing w:after="0" w:line="240" w:lineRule="auto"/>
      </w:pPr>
      <w:r>
        <w:separator/>
      </w:r>
    </w:p>
  </w:footnote>
  <w:footnote w:type="continuationSeparator" w:id="0">
    <w:p w14:paraId="4D436DF6" w14:textId="77777777" w:rsidR="00206DFC" w:rsidRDefault="00206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4B4D944A" w:rsidR="009144E0" w:rsidRDefault="009144E0" w:rsidP="00063A26">
    <w:pPr>
      <w:pStyle w:val="En-tte"/>
      <w:tabs>
        <w:tab w:val="clear" w:pos="4536"/>
        <w:tab w:val="clear" w:pos="9072"/>
        <w:tab w:val="center" w:pos="0"/>
      </w:tabs>
      <w:rPr>
        <w:b/>
        <w:bCs/>
      </w:rPr>
    </w:pPr>
    <w:r>
      <w:rPr>
        <w:i/>
        <w:iCs/>
        <w:noProof/>
        <w:lang w:val="en-US"/>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rsidRPr="0018252D">
      <w:rPr>
        <w:rFonts w:ascii="Verdana" w:hAnsi="Verdana"/>
        <w:b/>
        <w:bCs/>
        <w:sz w:val="20"/>
        <w:szCs w:val="20"/>
      </w:rPr>
      <w:t xml:space="preserve">Point. </w:t>
    </w:r>
    <w:r>
      <w:rPr>
        <w:rFonts w:ascii="Verdana" w:hAnsi="Verdana"/>
        <w:b/>
        <w:bCs/>
        <w:sz w:val="20"/>
        <w:szCs w:val="20"/>
      </w:rPr>
      <w:t>2.</w:t>
    </w:r>
    <w:r w:rsidR="000235F5">
      <w:rPr>
        <w:rFonts w:ascii="Verdana" w:hAnsi="Verdana"/>
        <w:b/>
        <w:bCs/>
        <w:sz w:val="20"/>
        <w:szCs w:val="20"/>
        <w:lang w:val="en-GB"/>
      </w:rPr>
      <w:t>10</w:t>
    </w:r>
    <w:r>
      <w:rPr>
        <w:rFonts w:ascii="Verdana" w:hAnsi="Verdana"/>
        <w:b/>
        <w:bCs/>
        <w:sz w:val="20"/>
        <w:szCs w:val="20"/>
      </w:rPr>
      <w:t>.</w:t>
    </w:r>
  </w:p>
  <w:p w14:paraId="7FE17793" w14:textId="77777777" w:rsidR="009144E0" w:rsidRDefault="009144E0"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1559"/>
    <w:multiLevelType w:val="hybridMultilevel"/>
    <w:tmpl w:val="51C66FF8"/>
    <w:lvl w:ilvl="0" w:tplc="02D05728">
      <w:start w:val="1"/>
      <w:numFmt w:val="bullet"/>
      <w:lvlText w:val="•"/>
      <w:lvlJc w:val="left"/>
      <w:pPr>
        <w:tabs>
          <w:tab w:val="num" w:pos="720"/>
        </w:tabs>
        <w:ind w:left="720" w:hanging="360"/>
      </w:pPr>
      <w:rPr>
        <w:rFonts w:ascii="Arial" w:hAnsi="Arial" w:hint="default"/>
      </w:rPr>
    </w:lvl>
    <w:lvl w:ilvl="1" w:tplc="1EBED88A" w:tentative="1">
      <w:start w:val="1"/>
      <w:numFmt w:val="bullet"/>
      <w:lvlText w:val="•"/>
      <w:lvlJc w:val="left"/>
      <w:pPr>
        <w:tabs>
          <w:tab w:val="num" w:pos="1440"/>
        </w:tabs>
        <w:ind w:left="1440" w:hanging="360"/>
      </w:pPr>
      <w:rPr>
        <w:rFonts w:ascii="Arial" w:hAnsi="Arial" w:hint="default"/>
      </w:rPr>
    </w:lvl>
    <w:lvl w:ilvl="2" w:tplc="E93410AC" w:tentative="1">
      <w:start w:val="1"/>
      <w:numFmt w:val="bullet"/>
      <w:lvlText w:val="•"/>
      <w:lvlJc w:val="left"/>
      <w:pPr>
        <w:tabs>
          <w:tab w:val="num" w:pos="2160"/>
        </w:tabs>
        <w:ind w:left="2160" w:hanging="360"/>
      </w:pPr>
      <w:rPr>
        <w:rFonts w:ascii="Arial" w:hAnsi="Arial" w:hint="default"/>
      </w:rPr>
    </w:lvl>
    <w:lvl w:ilvl="3" w:tplc="E2ECF276" w:tentative="1">
      <w:start w:val="1"/>
      <w:numFmt w:val="bullet"/>
      <w:lvlText w:val="•"/>
      <w:lvlJc w:val="left"/>
      <w:pPr>
        <w:tabs>
          <w:tab w:val="num" w:pos="2880"/>
        </w:tabs>
        <w:ind w:left="2880" w:hanging="360"/>
      </w:pPr>
      <w:rPr>
        <w:rFonts w:ascii="Arial" w:hAnsi="Arial" w:hint="default"/>
      </w:rPr>
    </w:lvl>
    <w:lvl w:ilvl="4" w:tplc="2AE877F8" w:tentative="1">
      <w:start w:val="1"/>
      <w:numFmt w:val="bullet"/>
      <w:lvlText w:val="•"/>
      <w:lvlJc w:val="left"/>
      <w:pPr>
        <w:tabs>
          <w:tab w:val="num" w:pos="3600"/>
        </w:tabs>
        <w:ind w:left="3600" w:hanging="360"/>
      </w:pPr>
      <w:rPr>
        <w:rFonts w:ascii="Arial" w:hAnsi="Arial" w:hint="default"/>
      </w:rPr>
    </w:lvl>
    <w:lvl w:ilvl="5" w:tplc="FBD6D876" w:tentative="1">
      <w:start w:val="1"/>
      <w:numFmt w:val="bullet"/>
      <w:lvlText w:val="•"/>
      <w:lvlJc w:val="left"/>
      <w:pPr>
        <w:tabs>
          <w:tab w:val="num" w:pos="4320"/>
        </w:tabs>
        <w:ind w:left="4320" w:hanging="360"/>
      </w:pPr>
      <w:rPr>
        <w:rFonts w:ascii="Arial" w:hAnsi="Arial" w:hint="default"/>
      </w:rPr>
    </w:lvl>
    <w:lvl w:ilvl="6" w:tplc="CE7C1412" w:tentative="1">
      <w:start w:val="1"/>
      <w:numFmt w:val="bullet"/>
      <w:lvlText w:val="•"/>
      <w:lvlJc w:val="left"/>
      <w:pPr>
        <w:tabs>
          <w:tab w:val="num" w:pos="5040"/>
        </w:tabs>
        <w:ind w:left="5040" w:hanging="360"/>
      </w:pPr>
      <w:rPr>
        <w:rFonts w:ascii="Arial" w:hAnsi="Arial" w:hint="default"/>
      </w:rPr>
    </w:lvl>
    <w:lvl w:ilvl="7" w:tplc="580E9386" w:tentative="1">
      <w:start w:val="1"/>
      <w:numFmt w:val="bullet"/>
      <w:lvlText w:val="•"/>
      <w:lvlJc w:val="left"/>
      <w:pPr>
        <w:tabs>
          <w:tab w:val="num" w:pos="5760"/>
        </w:tabs>
        <w:ind w:left="5760" w:hanging="360"/>
      </w:pPr>
      <w:rPr>
        <w:rFonts w:ascii="Arial" w:hAnsi="Arial" w:hint="default"/>
      </w:rPr>
    </w:lvl>
    <w:lvl w:ilvl="8" w:tplc="F7F075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2D52C8"/>
    <w:multiLevelType w:val="hybridMultilevel"/>
    <w:tmpl w:val="0D7244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D2A6D"/>
    <w:multiLevelType w:val="hybridMultilevel"/>
    <w:tmpl w:val="5A889E42"/>
    <w:lvl w:ilvl="0" w:tplc="0BB6964C">
      <w:start w:val="16"/>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3777FB7"/>
    <w:multiLevelType w:val="hybridMultilevel"/>
    <w:tmpl w:val="A4B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3179"/>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2A69D7"/>
    <w:multiLevelType w:val="hybridMultilevel"/>
    <w:tmpl w:val="61127D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C05292"/>
    <w:multiLevelType w:val="hybridMultilevel"/>
    <w:tmpl w:val="124410CA"/>
    <w:lvl w:ilvl="0" w:tplc="13FE3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1217CB"/>
    <w:multiLevelType w:val="hybridMultilevel"/>
    <w:tmpl w:val="D2DE2E90"/>
    <w:lvl w:ilvl="0" w:tplc="040C0015">
      <w:start w:val="1"/>
      <w:numFmt w:val="upperLetter"/>
      <w:lvlText w:val="%1."/>
      <w:lvlJc w:val="left"/>
      <w:pPr>
        <w:ind w:left="1440" w:hanging="360"/>
      </w:pPr>
    </w:lvl>
    <w:lvl w:ilvl="1" w:tplc="040C0013">
      <w:start w:val="1"/>
      <w:numFmt w:val="upperRoman"/>
      <w:lvlText w:val="%2."/>
      <w:lvlJc w:val="right"/>
      <w:pPr>
        <w:ind w:left="2160" w:hanging="360"/>
      </w:pPr>
    </w:lvl>
    <w:lvl w:ilvl="2" w:tplc="B800596C">
      <w:start w:val="1"/>
      <w:numFmt w:val="lowerLetter"/>
      <w:lvlText w:val="%3)"/>
      <w:lvlJc w:val="left"/>
      <w:pPr>
        <w:ind w:left="3060" w:hanging="360"/>
      </w:pPr>
      <w:rPr>
        <w:rFonts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BC713A"/>
    <w:multiLevelType w:val="hybridMultilevel"/>
    <w:tmpl w:val="3190E312"/>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457017"/>
    <w:multiLevelType w:val="hybridMultilevel"/>
    <w:tmpl w:val="C988E3C4"/>
    <w:lvl w:ilvl="0" w:tplc="B800596C">
      <w:start w:val="1"/>
      <w:numFmt w:val="lowerLetter"/>
      <w:lvlText w:val="%1)"/>
      <w:lvlJc w:val="left"/>
      <w:pPr>
        <w:ind w:left="30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623BCD"/>
    <w:multiLevelType w:val="hybridMultilevel"/>
    <w:tmpl w:val="77962222"/>
    <w:lvl w:ilvl="0" w:tplc="18AAB5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5A09C3"/>
    <w:multiLevelType w:val="hybridMultilevel"/>
    <w:tmpl w:val="3C82A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623F13"/>
    <w:multiLevelType w:val="hybridMultilevel"/>
    <w:tmpl w:val="08EE09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F66F84"/>
    <w:multiLevelType w:val="hybridMultilevel"/>
    <w:tmpl w:val="CA5265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F73AA"/>
    <w:multiLevelType w:val="hybridMultilevel"/>
    <w:tmpl w:val="C646E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A3383"/>
    <w:multiLevelType w:val="hybridMultilevel"/>
    <w:tmpl w:val="08EE09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537BF2"/>
    <w:multiLevelType w:val="hybridMultilevel"/>
    <w:tmpl w:val="40D492DA"/>
    <w:lvl w:ilvl="0" w:tplc="4634967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47197"/>
    <w:multiLevelType w:val="hybridMultilevel"/>
    <w:tmpl w:val="89563E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A27B61"/>
    <w:multiLevelType w:val="hybridMultilevel"/>
    <w:tmpl w:val="FF16AFA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1E0CCD"/>
    <w:multiLevelType w:val="hybridMultilevel"/>
    <w:tmpl w:val="336067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0E7064"/>
    <w:multiLevelType w:val="hybridMultilevel"/>
    <w:tmpl w:val="B8FAFFAA"/>
    <w:lvl w:ilvl="0" w:tplc="7F9C21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82401E"/>
    <w:multiLevelType w:val="hybridMultilevel"/>
    <w:tmpl w:val="7CBC9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2B7EDE"/>
    <w:multiLevelType w:val="hybridMultilevel"/>
    <w:tmpl w:val="08EE09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87F6FBE"/>
    <w:multiLevelType w:val="multilevel"/>
    <w:tmpl w:val="2140E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DB2D21"/>
    <w:multiLevelType w:val="hybridMultilevel"/>
    <w:tmpl w:val="E328225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437631"/>
    <w:multiLevelType w:val="hybridMultilevel"/>
    <w:tmpl w:val="E62CCF4A"/>
    <w:lvl w:ilvl="0" w:tplc="23140D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36838000">
    <w:abstractNumId w:val="11"/>
  </w:num>
  <w:num w:numId="2" w16cid:durableId="1014183490">
    <w:abstractNumId w:val="27"/>
  </w:num>
  <w:num w:numId="3" w16cid:durableId="1235967553">
    <w:abstractNumId w:val="5"/>
  </w:num>
  <w:num w:numId="4" w16cid:durableId="2065760269">
    <w:abstractNumId w:val="2"/>
  </w:num>
  <w:num w:numId="5" w16cid:durableId="1589387752">
    <w:abstractNumId w:val="25"/>
  </w:num>
  <w:num w:numId="6" w16cid:durableId="310402548">
    <w:abstractNumId w:val="9"/>
  </w:num>
  <w:num w:numId="7" w16cid:durableId="1388648108">
    <w:abstractNumId w:val="13"/>
  </w:num>
  <w:num w:numId="8" w16cid:durableId="617295302">
    <w:abstractNumId w:val="5"/>
    <w:lvlOverride w:ilvl="0">
      <w:startOverride w:val="1"/>
    </w:lvlOverride>
  </w:num>
  <w:num w:numId="9" w16cid:durableId="1768387813">
    <w:abstractNumId w:val="4"/>
  </w:num>
  <w:num w:numId="10" w16cid:durableId="1837457914">
    <w:abstractNumId w:val="6"/>
  </w:num>
  <w:num w:numId="11" w16cid:durableId="1617591494">
    <w:abstractNumId w:val="18"/>
  </w:num>
  <w:num w:numId="12" w16cid:durableId="293104428">
    <w:abstractNumId w:val="16"/>
  </w:num>
  <w:num w:numId="13" w16cid:durableId="621500280">
    <w:abstractNumId w:val="30"/>
  </w:num>
  <w:num w:numId="14" w16cid:durableId="1466658571">
    <w:abstractNumId w:val="31"/>
  </w:num>
  <w:num w:numId="15" w16cid:durableId="963149238">
    <w:abstractNumId w:val="23"/>
  </w:num>
  <w:num w:numId="16" w16cid:durableId="1504009840">
    <w:abstractNumId w:val="21"/>
  </w:num>
  <w:num w:numId="17" w16cid:durableId="1490438549">
    <w:abstractNumId w:val="33"/>
  </w:num>
  <w:num w:numId="18" w16cid:durableId="1959335105">
    <w:abstractNumId w:val="12"/>
  </w:num>
  <w:num w:numId="19" w16cid:durableId="1425224104">
    <w:abstractNumId w:val="17"/>
  </w:num>
  <w:num w:numId="20" w16cid:durableId="3634191">
    <w:abstractNumId w:val="15"/>
  </w:num>
  <w:num w:numId="21" w16cid:durableId="104078515">
    <w:abstractNumId w:val="24"/>
  </w:num>
  <w:num w:numId="22" w16cid:durableId="53630280">
    <w:abstractNumId w:val="0"/>
  </w:num>
  <w:num w:numId="23" w16cid:durableId="1486774423">
    <w:abstractNumId w:val="28"/>
  </w:num>
  <w:num w:numId="24" w16cid:durableId="915558328">
    <w:abstractNumId w:val="19"/>
  </w:num>
  <w:num w:numId="25" w16cid:durableId="936401252">
    <w:abstractNumId w:val="26"/>
  </w:num>
  <w:num w:numId="26" w16cid:durableId="851339021">
    <w:abstractNumId w:val="20"/>
  </w:num>
  <w:num w:numId="27" w16cid:durableId="242225171">
    <w:abstractNumId w:val="22"/>
  </w:num>
  <w:num w:numId="28" w16cid:durableId="331446078">
    <w:abstractNumId w:val="10"/>
  </w:num>
  <w:num w:numId="29" w16cid:durableId="406268321">
    <w:abstractNumId w:val="5"/>
  </w:num>
  <w:num w:numId="30" w16cid:durableId="1388533169">
    <w:abstractNumId w:val="1"/>
  </w:num>
  <w:num w:numId="31" w16cid:durableId="285241116">
    <w:abstractNumId w:val="8"/>
  </w:num>
  <w:num w:numId="32" w16cid:durableId="578753715">
    <w:abstractNumId w:val="14"/>
  </w:num>
  <w:num w:numId="33" w16cid:durableId="440729716">
    <w:abstractNumId w:val="3"/>
  </w:num>
  <w:num w:numId="34" w16cid:durableId="415857253">
    <w:abstractNumId w:val="5"/>
  </w:num>
  <w:num w:numId="35" w16cid:durableId="906264498">
    <w:abstractNumId w:val="5"/>
  </w:num>
  <w:num w:numId="36" w16cid:durableId="1041517606">
    <w:abstractNumId w:val="5"/>
  </w:num>
  <w:num w:numId="37" w16cid:durableId="1274829178">
    <w:abstractNumId w:val="5"/>
  </w:num>
  <w:num w:numId="38" w16cid:durableId="1210457600">
    <w:abstractNumId w:val="5"/>
  </w:num>
  <w:num w:numId="39" w16cid:durableId="455413932">
    <w:abstractNumId w:val="7"/>
  </w:num>
  <w:num w:numId="40" w16cid:durableId="764765103">
    <w:abstractNumId w:val="32"/>
  </w:num>
  <w:num w:numId="41" w16cid:durableId="18154886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83"/>
    <w:rsid w:val="00014DAA"/>
    <w:rsid w:val="0001616E"/>
    <w:rsid w:val="000235F5"/>
    <w:rsid w:val="000373B2"/>
    <w:rsid w:val="00041573"/>
    <w:rsid w:val="00042CF5"/>
    <w:rsid w:val="00051385"/>
    <w:rsid w:val="00053876"/>
    <w:rsid w:val="00060159"/>
    <w:rsid w:val="00060CA0"/>
    <w:rsid w:val="00063A26"/>
    <w:rsid w:val="00075CB7"/>
    <w:rsid w:val="00080750"/>
    <w:rsid w:val="0008468B"/>
    <w:rsid w:val="00094029"/>
    <w:rsid w:val="000A26F3"/>
    <w:rsid w:val="000A29D2"/>
    <w:rsid w:val="000A468A"/>
    <w:rsid w:val="000B0FBD"/>
    <w:rsid w:val="000B10B4"/>
    <w:rsid w:val="000B324E"/>
    <w:rsid w:val="000C1916"/>
    <w:rsid w:val="000C28A4"/>
    <w:rsid w:val="000E21F4"/>
    <w:rsid w:val="000E4851"/>
    <w:rsid w:val="000F4728"/>
    <w:rsid w:val="0010307E"/>
    <w:rsid w:val="00107D9D"/>
    <w:rsid w:val="001160FF"/>
    <w:rsid w:val="0013177C"/>
    <w:rsid w:val="00131FA0"/>
    <w:rsid w:val="00132957"/>
    <w:rsid w:val="001512C6"/>
    <w:rsid w:val="001669C3"/>
    <w:rsid w:val="00171679"/>
    <w:rsid w:val="00172377"/>
    <w:rsid w:val="00173450"/>
    <w:rsid w:val="0018252D"/>
    <w:rsid w:val="0018418C"/>
    <w:rsid w:val="001A56F1"/>
    <w:rsid w:val="001B4738"/>
    <w:rsid w:val="001B4B4B"/>
    <w:rsid w:val="001E3074"/>
    <w:rsid w:val="00200506"/>
    <w:rsid w:val="00206DFC"/>
    <w:rsid w:val="0021198F"/>
    <w:rsid w:val="00230032"/>
    <w:rsid w:val="00247283"/>
    <w:rsid w:val="00247580"/>
    <w:rsid w:val="002554F6"/>
    <w:rsid w:val="002A0933"/>
    <w:rsid w:val="002A096E"/>
    <w:rsid w:val="002B6A84"/>
    <w:rsid w:val="002C08F2"/>
    <w:rsid w:val="002C56ED"/>
    <w:rsid w:val="002D6E31"/>
    <w:rsid w:val="002E1018"/>
    <w:rsid w:val="002F4298"/>
    <w:rsid w:val="002F5500"/>
    <w:rsid w:val="003062E8"/>
    <w:rsid w:val="00313BD2"/>
    <w:rsid w:val="0031579C"/>
    <w:rsid w:val="00321ECC"/>
    <w:rsid w:val="00324758"/>
    <w:rsid w:val="00326289"/>
    <w:rsid w:val="0034097E"/>
    <w:rsid w:val="00346575"/>
    <w:rsid w:val="00350CD0"/>
    <w:rsid w:val="00351CFC"/>
    <w:rsid w:val="00356D6C"/>
    <w:rsid w:val="003604B9"/>
    <w:rsid w:val="00371FAB"/>
    <w:rsid w:val="003772FB"/>
    <w:rsid w:val="00377343"/>
    <w:rsid w:val="0038706A"/>
    <w:rsid w:val="00390CFE"/>
    <w:rsid w:val="00391152"/>
    <w:rsid w:val="003924B6"/>
    <w:rsid w:val="00392D97"/>
    <w:rsid w:val="003974D3"/>
    <w:rsid w:val="003A528D"/>
    <w:rsid w:val="003A5F9F"/>
    <w:rsid w:val="003C2538"/>
    <w:rsid w:val="003C5B8F"/>
    <w:rsid w:val="003D485F"/>
    <w:rsid w:val="003D5328"/>
    <w:rsid w:val="003E306E"/>
    <w:rsid w:val="003E5EE7"/>
    <w:rsid w:val="00403535"/>
    <w:rsid w:val="0040781D"/>
    <w:rsid w:val="004117B4"/>
    <w:rsid w:val="0041278C"/>
    <w:rsid w:val="004132C8"/>
    <w:rsid w:val="00414B7B"/>
    <w:rsid w:val="00417683"/>
    <w:rsid w:val="00426673"/>
    <w:rsid w:val="00431FC5"/>
    <w:rsid w:val="004607F7"/>
    <w:rsid w:val="00471E03"/>
    <w:rsid w:val="0049566A"/>
    <w:rsid w:val="004B2598"/>
    <w:rsid w:val="004C5D54"/>
    <w:rsid w:val="004F5C4B"/>
    <w:rsid w:val="005225B3"/>
    <w:rsid w:val="00523206"/>
    <w:rsid w:val="0053773D"/>
    <w:rsid w:val="0055518E"/>
    <w:rsid w:val="00560CFC"/>
    <w:rsid w:val="0058621D"/>
    <w:rsid w:val="00596CDC"/>
    <w:rsid w:val="00597942"/>
    <w:rsid w:val="005A7253"/>
    <w:rsid w:val="005E2BDC"/>
    <w:rsid w:val="005E2E9E"/>
    <w:rsid w:val="00605105"/>
    <w:rsid w:val="00620B90"/>
    <w:rsid w:val="00635438"/>
    <w:rsid w:val="006356AF"/>
    <w:rsid w:val="006548BF"/>
    <w:rsid w:val="00660504"/>
    <w:rsid w:val="00676A90"/>
    <w:rsid w:val="006B0BE0"/>
    <w:rsid w:val="006E2D9E"/>
    <w:rsid w:val="00711269"/>
    <w:rsid w:val="00715DFB"/>
    <w:rsid w:val="00724DB0"/>
    <w:rsid w:val="007407C1"/>
    <w:rsid w:val="00746F2D"/>
    <w:rsid w:val="007472B3"/>
    <w:rsid w:val="00751686"/>
    <w:rsid w:val="00760951"/>
    <w:rsid w:val="00766BCA"/>
    <w:rsid w:val="00782D2B"/>
    <w:rsid w:val="007B245C"/>
    <w:rsid w:val="007B610E"/>
    <w:rsid w:val="007C762D"/>
    <w:rsid w:val="007C78FC"/>
    <w:rsid w:val="007D3345"/>
    <w:rsid w:val="007D4935"/>
    <w:rsid w:val="007E13A7"/>
    <w:rsid w:val="00816DAC"/>
    <w:rsid w:val="0082055C"/>
    <w:rsid w:val="00823A6F"/>
    <w:rsid w:val="008272CA"/>
    <w:rsid w:val="008319CA"/>
    <w:rsid w:val="0083290E"/>
    <w:rsid w:val="00843FF2"/>
    <w:rsid w:val="008453AB"/>
    <w:rsid w:val="00853454"/>
    <w:rsid w:val="00854EEA"/>
    <w:rsid w:val="008551DA"/>
    <w:rsid w:val="00855E0C"/>
    <w:rsid w:val="008613BB"/>
    <w:rsid w:val="00887D5D"/>
    <w:rsid w:val="008B3F6E"/>
    <w:rsid w:val="008C69BB"/>
    <w:rsid w:val="008D193F"/>
    <w:rsid w:val="008E7F53"/>
    <w:rsid w:val="008F173C"/>
    <w:rsid w:val="008F5023"/>
    <w:rsid w:val="00900DBC"/>
    <w:rsid w:val="009144E0"/>
    <w:rsid w:val="00927103"/>
    <w:rsid w:val="00933502"/>
    <w:rsid w:val="00934B28"/>
    <w:rsid w:val="00943C13"/>
    <w:rsid w:val="009443BB"/>
    <w:rsid w:val="009502AA"/>
    <w:rsid w:val="00955BB3"/>
    <w:rsid w:val="009962D3"/>
    <w:rsid w:val="009A1EDF"/>
    <w:rsid w:val="009A38AD"/>
    <w:rsid w:val="009B13BE"/>
    <w:rsid w:val="009C3D4D"/>
    <w:rsid w:val="009E2780"/>
    <w:rsid w:val="009F2634"/>
    <w:rsid w:val="00A148A1"/>
    <w:rsid w:val="00A26AD5"/>
    <w:rsid w:val="00A27D25"/>
    <w:rsid w:val="00A341AA"/>
    <w:rsid w:val="00A36C09"/>
    <w:rsid w:val="00A37C51"/>
    <w:rsid w:val="00A37C9F"/>
    <w:rsid w:val="00A41EF7"/>
    <w:rsid w:val="00A42490"/>
    <w:rsid w:val="00A5286E"/>
    <w:rsid w:val="00A67FBB"/>
    <w:rsid w:val="00A70123"/>
    <w:rsid w:val="00A76B07"/>
    <w:rsid w:val="00A81B98"/>
    <w:rsid w:val="00A87320"/>
    <w:rsid w:val="00A90305"/>
    <w:rsid w:val="00A96D0D"/>
    <w:rsid w:val="00AA63A3"/>
    <w:rsid w:val="00AB5EB7"/>
    <w:rsid w:val="00AD2D69"/>
    <w:rsid w:val="00AD4D97"/>
    <w:rsid w:val="00AE2453"/>
    <w:rsid w:val="00AE7917"/>
    <w:rsid w:val="00B05DFC"/>
    <w:rsid w:val="00B133B6"/>
    <w:rsid w:val="00B13569"/>
    <w:rsid w:val="00B16796"/>
    <w:rsid w:val="00B2656A"/>
    <w:rsid w:val="00B36EEA"/>
    <w:rsid w:val="00B4589E"/>
    <w:rsid w:val="00BA4B55"/>
    <w:rsid w:val="00BB2665"/>
    <w:rsid w:val="00BB5580"/>
    <w:rsid w:val="00BB756E"/>
    <w:rsid w:val="00BC4CAE"/>
    <w:rsid w:val="00BE259C"/>
    <w:rsid w:val="00BE2839"/>
    <w:rsid w:val="00BF4895"/>
    <w:rsid w:val="00C12C93"/>
    <w:rsid w:val="00C24539"/>
    <w:rsid w:val="00C30409"/>
    <w:rsid w:val="00C31E42"/>
    <w:rsid w:val="00C325F5"/>
    <w:rsid w:val="00C36A70"/>
    <w:rsid w:val="00C457E8"/>
    <w:rsid w:val="00C5429A"/>
    <w:rsid w:val="00C609B9"/>
    <w:rsid w:val="00C67ACA"/>
    <w:rsid w:val="00C74F33"/>
    <w:rsid w:val="00CB72E4"/>
    <w:rsid w:val="00CE2386"/>
    <w:rsid w:val="00CF1FFF"/>
    <w:rsid w:val="00D30971"/>
    <w:rsid w:val="00D30FCE"/>
    <w:rsid w:val="00D323F1"/>
    <w:rsid w:val="00D326BF"/>
    <w:rsid w:val="00D40FC4"/>
    <w:rsid w:val="00D47F36"/>
    <w:rsid w:val="00D51528"/>
    <w:rsid w:val="00D54BFE"/>
    <w:rsid w:val="00D86D40"/>
    <w:rsid w:val="00D871C9"/>
    <w:rsid w:val="00D9010E"/>
    <w:rsid w:val="00DB185D"/>
    <w:rsid w:val="00DC1CA2"/>
    <w:rsid w:val="00DC3816"/>
    <w:rsid w:val="00DD280F"/>
    <w:rsid w:val="00DD5DE4"/>
    <w:rsid w:val="00DF370E"/>
    <w:rsid w:val="00DF7B57"/>
    <w:rsid w:val="00E13043"/>
    <w:rsid w:val="00E21260"/>
    <w:rsid w:val="00E32408"/>
    <w:rsid w:val="00E429DA"/>
    <w:rsid w:val="00E518B4"/>
    <w:rsid w:val="00E664BF"/>
    <w:rsid w:val="00E66AF5"/>
    <w:rsid w:val="00E72AFF"/>
    <w:rsid w:val="00E807CD"/>
    <w:rsid w:val="00E845D4"/>
    <w:rsid w:val="00EA0E0A"/>
    <w:rsid w:val="00EA555D"/>
    <w:rsid w:val="00EB6605"/>
    <w:rsid w:val="00EC22CC"/>
    <w:rsid w:val="00EC3BDD"/>
    <w:rsid w:val="00ED6B69"/>
    <w:rsid w:val="00ED7885"/>
    <w:rsid w:val="00EE1B5F"/>
    <w:rsid w:val="00EE34F4"/>
    <w:rsid w:val="00EE6063"/>
    <w:rsid w:val="00EF22A4"/>
    <w:rsid w:val="00F35F93"/>
    <w:rsid w:val="00F54EA0"/>
    <w:rsid w:val="00F75018"/>
    <w:rsid w:val="00F830C0"/>
    <w:rsid w:val="00F96EE9"/>
    <w:rsid w:val="00FA5CCA"/>
    <w:rsid w:val="00FD18D5"/>
    <w:rsid w:val="00FE285D"/>
    <w:rsid w:val="00FF16B2"/>
    <w:rsid w:val="00FF554E"/>
    <w:rsid w:val="00FF5820"/>
    <w:rsid w:val="00FF619B"/>
    <w:rsid w:val="00FF72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C3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4D"/>
    <w:rPr>
      <w:rFonts w:ascii="Segoe UI" w:hAnsi="Segoe UI" w:cs="Segoe UI"/>
      <w:sz w:val="18"/>
      <w:szCs w:val="18"/>
    </w:rPr>
  </w:style>
  <w:style w:type="paragraph" w:styleId="NormalWeb">
    <w:name w:val="Normal (Web)"/>
    <w:basedOn w:val="Normal"/>
    <w:uiPriority w:val="99"/>
    <w:unhideWhenUsed/>
    <w:rsid w:val="00EA0E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D3345"/>
    <w:pPr>
      <w:spacing w:after="0" w:line="240" w:lineRule="auto"/>
    </w:pPr>
    <w:rPr>
      <w:sz w:val="24"/>
      <w:szCs w:val="24"/>
      <w:lang w:val="fr-BE"/>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
    <w:basedOn w:val="Normal"/>
    <w:link w:val="NotedebasdepageCar"/>
    <w:uiPriority w:val="99"/>
    <w:unhideWhenUsed/>
    <w:qFormat/>
    <w:rsid w:val="007D3345"/>
    <w:pPr>
      <w:spacing w:after="0" w:line="240" w:lineRule="auto"/>
    </w:pPr>
    <w:rPr>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7D3345"/>
    <w:rPr>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link w:val="Char2"/>
    <w:uiPriority w:val="99"/>
    <w:unhideWhenUsed/>
    <w:qFormat/>
    <w:rsid w:val="007D3345"/>
    <w:rPr>
      <w:vertAlign w:val="superscript"/>
    </w:rPr>
  </w:style>
  <w:style w:type="paragraph" w:customStyle="1" w:styleId="Char2">
    <w:name w:val="Char2"/>
    <w:basedOn w:val="Normal"/>
    <w:link w:val="Appelnotedebasdep"/>
    <w:uiPriority w:val="99"/>
    <w:rsid w:val="007D3345"/>
    <w:pP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33346368">
      <w:bodyDiv w:val="1"/>
      <w:marLeft w:val="0"/>
      <w:marRight w:val="0"/>
      <w:marTop w:val="0"/>
      <w:marBottom w:val="0"/>
      <w:divBdr>
        <w:top w:val="none" w:sz="0" w:space="0" w:color="auto"/>
        <w:left w:val="none" w:sz="0" w:space="0" w:color="auto"/>
        <w:bottom w:val="none" w:sz="0" w:space="0" w:color="auto"/>
        <w:right w:val="none" w:sz="0" w:space="0" w:color="auto"/>
      </w:divBdr>
    </w:div>
    <w:div w:id="566691059">
      <w:bodyDiv w:val="1"/>
      <w:marLeft w:val="0"/>
      <w:marRight w:val="0"/>
      <w:marTop w:val="0"/>
      <w:marBottom w:val="0"/>
      <w:divBdr>
        <w:top w:val="none" w:sz="0" w:space="0" w:color="auto"/>
        <w:left w:val="none" w:sz="0" w:space="0" w:color="auto"/>
        <w:bottom w:val="none" w:sz="0" w:space="0" w:color="auto"/>
        <w:right w:val="none" w:sz="0" w:space="0" w:color="auto"/>
      </w:divBdr>
      <w:divsChild>
        <w:div w:id="1974209417">
          <w:marLeft w:val="547"/>
          <w:marRight w:val="0"/>
          <w:marTop w:val="106"/>
          <w:marBottom w:val="0"/>
          <w:divBdr>
            <w:top w:val="none" w:sz="0" w:space="0" w:color="auto"/>
            <w:left w:val="none" w:sz="0" w:space="0" w:color="auto"/>
            <w:bottom w:val="none" w:sz="0" w:space="0" w:color="auto"/>
            <w:right w:val="none" w:sz="0" w:space="0" w:color="auto"/>
          </w:divBdr>
        </w:div>
      </w:divsChild>
    </w:div>
    <w:div w:id="1784496072">
      <w:bodyDiv w:val="1"/>
      <w:marLeft w:val="0"/>
      <w:marRight w:val="0"/>
      <w:marTop w:val="0"/>
      <w:marBottom w:val="0"/>
      <w:divBdr>
        <w:top w:val="none" w:sz="0" w:space="0" w:color="auto"/>
        <w:left w:val="none" w:sz="0" w:space="0" w:color="auto"/>
        <w:bottom w:val="none" w:sz="0" w:space="0" w:color="auto"/>
        <w:right w:val="none" w:sz="0" w:space="0" w:color="auto"/>
      </w:divBdr>
      <w:divsChild>
        <w:div w:id="1596130507">
          <w:marLeft w:val="0"/>
          <w:marRight w:val="0"/>
          <w:marTop w:val="0"/>
          <w:marBottom w:val="0"/>
          <w:divBdr>
            <w:top w:val="none" w:sz="0" w:space="0" w:color="auto"/>
            <w:left w:val="none" w:sz="0" w:space="0" w:color="auto"/>
            <w:bottom w:val="none" w:sz="0" w:space="0" w:color="auto"/>
            <w:right w:val="none" w:sz="0" w:space="0" w:color="auto"/>
          </w:divBdr>
          <w:divsChild>
            <w:div w:id="121122678">
              <w:marLeft w:val="0"/>
              <w:marRight w:val="0"/>
              <w:marTop w:val="0"/>
              <w:marBottom w:val="0"/>
              <w:divBdr>
                <w:top w:val="none" w:sz="0" w:space="0" w:color="auto"/>
                <w:left w:val="none" w:sz="0" w:space="0" w:color="auto"/>
                <w:bottom w:val="none" w:sz="0" w:space="0" w:color="auto"/>
                <w:right w:val="none" w:sz="0" w:space="0" w:color="auto"/>
              </w:divBdr>
              <w:divsChild>
                <w:div w:id="17327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1028</Words>
  <Characters>5656</Characters>
  <Application>Microsoft Office Word</Application>
  <DocSecurity>4</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2024-11-15T06:16:00Z</dcterms:created>
  <dcterms:modified xsi:type="dcterms:W3CDTF">2024-11-15T06:16:00Z</dcterms:modified>
</cp:coreProperties>
</file>