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256EC" w14:textId="0B4F981C" w:rsidR="009C7B1B" w:rsidRPr="000C6101" w:rsidRDefault="00AB038D" w:rsidP="00C055EF">
      <w:pPr>
        <w:jc w:val="center"/>
        <w:rPr>
          <w:rFonts w:ascii="Verdana" w:eastAsia="Calibri" w:hAnsi="Verdana" w:cs="Arial"/>
          <w:b/>
          <w:bCs/>
          <w:sz w:val="24"/>
          <w:szCs w:val="24"/>
        </w:rPr>
      </w:pPr>
      <w:r>
        <w:rPr>
          <w:rFonts w:ascii="Verdana" w:eastAsia="Calibri" w:hAnsi="Verdana" w:cs="Arial"/>
          <w:b/>
          <w:bCs/>
          <w:sz w:val="24"/>
          <w:szCs w:val="24"/>
        </w:rPr>
        <w:t xml:space="preserve">1.1.b. | </w:t>
      </w:r>
      <w:r w:rsidR="00C055EF" w:rsidRPr="000C6101">
        <w:rPr>
          <w:rFonts w:ascii="Verdana" w:eastAsia="Calibri" w:hAnsi="Verdana" w:cs="Arial"/>
          <w:b/>
          <w:bCs/>
          <w:sz w:val="24"/>
          <w:szCs w:val="24"/>
        </w:rPr>
        <w:t xml:space="preserve">Suivi des décisions du </w:t>
      </w:r>
      <w:r w:rsidR="009C7B1B" w:rsidRPr="000C6101">
        <w:rPr>
          <w:rFonts w:ascii="Verdana" w:eastAsia="Calibri" w:hAnsi="Verdana" w:cs="Arial"/>
          <w:b/>
          <w:bCs/>
          <w:sz w:val="24"/>
          <w:szCs w:val="24"/>
        </w:rPr>
        <w:t>Comité des Officiers Permanents de Liaison (COPL)</w:t>
      </w:r>
      <w:r w:rsidR="00C055EF" w:rsidRPr="000C6101">
        <w:rPr>
          <w:rFonts w:ascii="Verdana" w:eastAsia="Calibri" w:hAnsi="Verdana" w:cs="Arial"/>
          <w:b/>
          <w:bCs/>
          <w:sz w:val="24"/>
          <w:szCs w:val="24"/>
        </w:rPr>
        <w:t xml:space="preserve"> de la COI</w:t>
      </w:r>
    </w:p>
    <w:p w14:paraId="4FE65A32" w14:textId="5CA8E2D1" w:rsidR="00C055EF" w:rsidRPr="000C6101" w:rsidRDefault="00C055EF" w:rsidP="00C055EF">
      <w:pPr>
        <w:jc w:val="center"/>
        <w:rPr>
          <w:rFonts w:ascii="Verdana" w:eastAsia="Calibri" w:hAnsi="Verdana" w:cs="Arial"/>
          <w:b/>
          <w:bCs/>
          <w:sz w:val="24"/>
          <w:szCs w:val="24"/>
        </w:rPr>
      </w:pPr>
      <w:proofErr w:type="gramStart"/>
      <w:r w:rsidRPr="000C6101">
        <w:rPr>
          <w:rFonts w:ascii="Verdana" w:eastAsia="Calibri" w:hAnsi="Verdana" w:cs="Arial"/>
          <w:b/>
          <w:bCs/>
          <w:sz w:val="24"/>
          <w:szCs w:val="24"/>
        </w:rPr>
        <w:t>d</w:t>
      </w:r>
      <w:r w:rsidR="00B07DC8" w:rsidRPr="000C6101">
        <w:rPr>
          <w:rFonts w:ascii="Verdana" w:eastAsia="Calibri" w:hAnsi="Verdana" w:cs="Arial"/>
          <w:b/>
          <w:bCs/>
          <w:sz w:val="24"/>
          <w:szCs w:val="24"/>
        </w:rPr>
        <w:t>es</w:t>
      </w:r>
      <w:proofErr w:type="gramEnd"/>
      <w:r w:rsidRPr="000C6101">
        <w:rPr>
          <w:rFonts w:ascii="Verdana" w:eastAsia="Calibri" w:hAnsi="Verdana" w:cs="Arial"/>
          <w:b/>
          <w:bCs/>
          <w:sz w:val="24"/>
          <w:szCs w:val="24"/>
        </w:rPr>
        <w:t xml:space="preserve"> </w:t>
      </w:r>
      <w:r w:rsidR="00D8261B" w:rsidRPr="000C6101">
        <w:rPr>
          <w:rFonts w:ascii="Verdana" w:eastAsia="Calibri" w:hAnsi="Verdana" w:cs="Arial"/>
          <w:b/>
          <w:bCs/>
          <w:sz w:val="24"/>
          <w:szCs w:val="24"/>
        </w:rPr>
        <w:t>22-23 avril et 07</w:t>
      </w:r>
      <w:r w:rsidRPr="000C6101">
        <w:rPr>
          <w:rFonts w:ascii="Verdana" w:eastAsia="Calibri" w:hAnsi="Verdana" w:cs="Arial"/>
          <w:b/>
          <w:bCs/>
          <w:sz w:val="24"/>
          <w:szCs w:val="24"/>
        </w:rPr>
        <w:t xml:space="preserve"> mai 2024</w:t>
      </w:r>
    </w:p>
    <w:p w14:paraId="531F1385" w14:textId="77777777" w:rsidR="00C055EF" w:rsidRPr="000C6101" w:rsidRDefault="00C055EF" w:rsidP="00C055EF">
      <w:pPr>
        <w:jc w:val="right"/>
        <w:rPr>
          <w:rFonts w:ascii="Calibri" w:eastAsia="Calibri" w:hAnsi="Calibri" w:cs="Arial"/>
        </w:rPr>
      </w:pPr>
    </w:p>
    <w:p w14:paraId="6A3CA99C" w14:textId="77777777" w:rsidR="00C055EF" w:rsidRPr="000C6101" w:rsidRDefault="00C055EF" w:rsidP="00C055EF">
      <w:pPr>
        <w:rPr>
          <w:rFonts w:ascii="Calibri" w:eastAsia="Calibri" w:hAnsi="Calibri" w:cs="Arial"/>
        </w:rPr>
      </w:pPr>
    </w:p>
    <w:p w14:paraId="3443ACC6" w14:textId="77777777" w:rsidR="00C055EF" w:rsidRPr="000C6101" w:rsidRDefault="00C055EF" w:rsidP="00C055EF">
      <w:pPr>
        <w:rPr>
          <w:rFonts w:ascii="Calibri" w:eastAsia="Calibri" w:hAnsi="Calibri" w:cs="Arial"/>
        </w:rPr>
      </w:pPr>
    </w:p>
    <w:p w14:paraId="2347FF60" w14:textId="77777777" w:rsidR="00C055EF" w:rsidRPr="000C6101" w:rsidRDefault="00C055EF" w:rsidP="00C055EF">
      <w:pPr>
        <w:rPr>
          <w:rFonts w:ascii="Calibri" w:eastAsia="Calibri" w:hAnsi="Calibri" w:cs="Arial"/>
        </w:rPr>
      </w:pPr>
    </w:p>
    <w:p w14:paraId="1C1CB861" w14:textId="77777777" w:rsidR="00C055EF" w:rsidRPr="000C6101" w:rsidRDefault="00C055EF" w:rsidP="00C055EF">
      <w:pPr>
        <w:rPr>
          <w:rFonts w:ascii="Calibri" w:eastAsia="Calibri" w:hAnsi="Calibri" w:cs="Arial"/>
        </w:rPr>
      </w:pPr>
    </w:p>
    <w:sdt>
      <w:sdtPr>
        <w:rPr>
          <w:rFonts w:ascii="Calibri" w:eastAsia="Yu Mincho" w:hAnsi="Calibri" w:cs="Arial"/>
        </w:rPr>
        <w:id w:val="-484475495"/>
        <w:docPartObj>
          <w:docPartGallery w:val="Table of Contents"/>
          <w:docPartUnique/>
        </w:docPartObj>
      </w:sdtPr>
      <w:sdtEndPr>
        <w:rPr>
          <w:b/>
          <w:bCs/>
        </w:rPr>
      </w:sdtEndPr>
      <w:sdtContent>
        <w:p w14:paraId="14DA250D" w14:textId="77777777" w:rsidR="00C055EF" w:rsidRPr="000C6101" w:rsidRDefault="00C055EF" w:rsidP="00C055EF">
          <w:pPr>
            <w:keepNext/>
            <w:keepLines/>
            <w:spacing w:before="240" w:after="0"/>
            <w:rPr>
              <w:rFonts w:ascii="Calibri Light" w:eastAsia="Yu Gothic Light" w:hAnsi="Calibri Light" w:cs="Times New Roman"/>
              <w:kern w:val="0"/>
              <w:sz w:val="32"/>
              <w:szCs w:val="32"/>
              <w:lang w:eastAsia="fr-FR"/>
              <w14:ligatures w14:val="none"/>
            </w:rPr>
          </w:pPr>
          <w:r w:rsidRPr="000C6101">
            <w:rPr>
              <w:rFonts w:ascii="Calibri Light" w:eastAsia="Yu Gothic Light" w:hAnsi="Calibri Light" w:cs="Times New Roman"/>
              <w:kern w:val="0"/>
              <w:sz w:val="32"/>
              <w:szCs w:val="32"/>
              <w:lang w:eastAsia="fr-FR"/>
              <w14:ligatures w14:val="none"/>
            </w:rPr>
            <w:t>Table des matières</w:t>
          </w:r>
        </w:p>
        <w:p w14:paraId="7B2C1943" w14:textId="465BAC79" w:rsidR="00D8261B" w:rsidRPr="000C6101" w:rsidRDefault="00C055EF">
          <w:pPr>
            <w:pStyle w:val="TM2"/>
            <w:tabs>
              <w:tab w:val="right" w:leader="dot" w:pos="13948"/>
            </w:tabs>
          </w:pPr>
          <w:r w:rsidRPr="000C6101">
            <w:rPr>
              <w:rFonts w:ascii="Calibri" w:eastAsia="Calibri" w:hAnsi="Calibri" w:cs="Arial"/>
            </w:rPr>
            <w:fldChar w:fldCharType="begin"/>
          </w:r>
          <w:r w:rsidRPr="000C6101">
            <w:rPr>
              <w:rFonts w:ascii="Calibri" w:eastAsia="Calibri" w:hAnsi="Calibri" w:cs="Arial"/>
            </w:rPr>
            <w:instrText xml:space="preserve"> TOC \o "1-3" \h \z \u </w:instrText>
          </w:r>
          <w:r w:rsidRPr="000C6101">
            <w:rPr>
              <w:rFonts w:ascii="Calibri" w:eastAsia="Calibri" w:hAnsi="Calibri" w:cs="Arial"/>
            </w:rPr>
            <w:fldChar w:fldCharType="separate"/>
          </w:r>
          <w:hyperlink w:anchor="_Toc173249464" w:history="1">
            <w:r w:rsidR="00D8261B" w:rsidRPr="000C6101">
              <w:rPr>
                <w:rStyle w:val="Lienhypertexte"/>
                <w:rFonts w:ascii="Verdana" w:eastAsia="Yu Gothic Light" w:hAnsi="Verdana" w:cs="Times New Roman"/>
                <w:b/>
                <w:bCs/>
                <w:color w:val="auto"/>
              </w:rPr>
              <w:t>Affaires institutionnelles</w:t>
            </w:r>
            <w:r w:rsidR="00D8261B" w:rsidRPr="000C6101">
              <w:rPr>
                <w:webHidden/>
              </w:rPr>
              <w:tab/>
            </w:r>
            <w:r w:rsidR="00D8261B" w:rsidRPr="000C6101">
              <w:rPr>
                <w:webHidden/>
              </w:rPr>
              <w:fldChar w:fldCharType="begin"/>
            </w:r>
            <w:r w:rsidR="00D8261B" w:rsidRPr="000C6101">
              <w:rPr>
                <w:webHidden/>
              </w:rPr>
              <w:instrText xml:space="preserve"> PAGEREF _Toc173249464 \h </w:instrText>
            </w:r>
            <w:r w:rsidR="00D8261B" w:rsidRPr="000C6101">
              <w:rPr>
                <w:webHidden/>
              </w:rPr>
            </w:r>
            <w:r w:rsidR="00D8261B" w:rsidRPr="000C6101">
              <w:rPr>
                <w:webHidden/>
              </w:rPr>
              <w:fldChar w:fldCharType="separate"/>
            </w:r>
            <w:r w:rsidR="00D8261B" w:rsidRPr="000C6101">
              <w:rPr>
                <w:webHidden/>
              </w:rPr>
              <w:t>2</w:t>
            </w:r>
            <w:r w:rsidR="00D8261B" w:rsidRPr="000C6101">
              <w:rPr>
                <w:webHidden/>
              </w:rPr>
              <w:fldChar w:fldCharType="end"/>
            </w:r>
          </w:hyperlink>
        </w:p>
        <w:p w14:paraId="65D21AF8" w14:textId="49DE4D03" w:rsidR="00D8261B" w:rsidRPr="000C6101" w:rsidRDefault="00D8261B">
          <w:pPr>
            <w:pStyle w:val="TM2"/>
            <w:tabs>
              <w:tab w:val="right" w:leader="dot" w:pos="13948"/>
            </w:tabs>
          </w:pPr>
          <w:hyperlink w:anchor="_Toc173249465" w:history="1">
            <w:r w:rsidRPr="000C6101">
              <w:rPr>
                <w:rStyle w:val="Lienhypertexte"/>
                <w:rFonts w:ascii="Verdana" w:eastAsia="Yu Gothic Light" w:hAnsi="Verdana" w:cs="Times New Roman"/>
                <w:b/>
                <w:bCs/>
                <w:color w:val="auto"/>
              </w:rPr>
              <w:t>Domaines d’intervention</w:t>
            </w:r>
            <w:r w:rsidRPr="000C6101">
              <w:rPr>
                <w:webHidden/>
              </w:rPr>
              <w:tab/>
            </w:r>
            <w:r w:rsidRPr="000C6101">
              <w:rPr>
                <w:webHidden/>
              </w:rPr>
              <w:fldChar w:fldCharType="begin"/>
            </w:r>
            <w:r w:rsidRPr="000C6101">
              <w:rPr>
                <w:webHidden/>
              </w:rPr>
              <w:instrText xml:space="preserve"> PAGEREF _Toc173249465 \h </w:instrText>
            </w:r>
            <w:r w:rsidRPr="000C6101">
              <w:rPr>
                <w:webHidden/>
              </w:rPr>
            </w:r>
            <w:r w:rsidRPr="000C6101">
              <w:rPr>
                <w:webHidden/>
              </w:rPr>
              <w:fldChar w:fldCharType="separate"/>
            </w:r>
            <w:r w:rsidRPr="000C6101">
              <w:rPr>
                <w:webHidden/>
              </w:rPr>
              <w:t>3</w:t>
            </w:r>
            <w:r w:rsidRPr="000C6101">
              <w:rPr>
                <w:webHidden/>
              </w:rPr>
              <w:fldChar w:fldCharType="end"/>
            </w:r>
          </w:hyperlink>
        </w:p>
        <w:p w14:paraId="48619135" w14:textId="308F3E9D" w:rsidR="00D8261B" w:rsidRPr="000C6101" w:rsidRDefault="00D8261B">
          <w:pPr>
            <w:pStyle w:val="TM2"/>
            <w:tabs>
              <w:tab w:val="right" w:leader="dot" w:pos="13948"/>
            </w:tabs>
          </w:pPr>
          <w:hyperlink w:anchor="_Toc173249466" w:history="1">
            <w:r w:rsidRPr="000C6101">
              <w:rPr>
                <w:rStyle w:val="Lienhypertexte"/>
                <w:rFonts w:ascii="Verdana" w:eastAsia="Calibri" w:hAnsi="Verdana" w:cs="Arial"/>
                <w:b/>
                <w:bCs/>
                <w:color w:val="auto"/>
              </w:rPr>
              <w:t>Administration et finances</w:t>
            </w:r>
            <w:r w:rsidRPr="000C6101">
              <w:rPr>
                <w:webHidden/>
              </w:rPr>
              <w:tab/>
            </w:r>
            <w:r w:rsidRPr="000C6101">
              <w:rPr>
                <w:webHidden/>
              </w:rPr>
              <w:fldChar w:fldCharType="begin"/>
            </w:r>
            <w:r w:rsidRPr="000C6101">
              <w:rPr>
                <w:webHidden/>
              </w:rPr>
              <w:instrText xml:space="preserve"> PAGEREF _Toc173249466 \h </w:instrText>
            </w:r>
            <w:r w:rsidRPr="000C6101">
              <w:rPr>
                <w:webHidden/>
              </w:rPr>
            </w:r>
            <w:r w:rsidRPr="000C6101">
              <w:rPr>
                <w:webHidden/>
              </w:rPr>
              <w:fldChar w:fldCharType="separate"/>
            </w:r>
            <w:r w:rsidRPr="000C6101">
              <w:rPr>
                <w:webHidden/>
              </w:rPr>
              <w:t>22</w:t>
            </w:r>
            <w:r w:rsidRPr="000C6101">
              <w:rPr>
                <w:webHidden/>
              </w:rPr>
              <w:fldChar w:fldCharType="end"/>
            </w:r>
          </w:hyperlink>
        </w:p>
        <w:p w14:paraId="620C746B" w14:textId="2F9B5A65" w:rsidR="00D8261B" w:rsidRPr="000C6101" w:rsidRDefault="00D8261B">
          <w:pPr>
            <w:pStyle w:val="TM2"/>
            <w:tabs>
              <w:tab w:val="right" w:leader="dot" w:pos="13948"/>
            </w:tabs>
          </w:pPr>
          <w:hyperlink w:anchor="_Toc173249467" w:history="1">
            <w:r w:rsidRPr="000C6101">
              <w:rPr>
                <w:rStyle w:val="Lienhypertexte"/>
                <w:rFonts w:ascii="Verdana" w:eastAsia="Yu Gothic Light" w:hAnsi="Verdana" w:cs="Times New Roman"/>
                <w:b/>
                <w:bCs/>
                <w:color w:val="auto"/>
              </w:rPr>
              <w:t>Divers</w:t>
            </w:r>
            <w:r w:rsidRPr="000C6101">
              <w:rPr>
                <w:webHidden/>
              </w:rPr>
              <w:tab/>
            </w:r>
            <w:r w:rsidRPr="000C6101">
              <w:rPr>
                <w:webHidden/>
              </w:rPr>
              <w:fldChar w:fldCharType="begin"/>
            </w:r>
            <w:r w:rsidRPr="000C6101">
              <w:rPr>
                <w:webHidden/>
              </w:rPr>
              <w:instrText xml:space="preserve"> PAGEREF _Toc173249467 \h </w:instrText>
            </w:r>
            <w:r w:rsidRPr="000C6101">
              <w:rPr>
                <w:webHidden/>
              </w:rPr>
            </w:r>
            <w:r w:rsidRPr="000C6101">
              <w:rPr>
                <w:webHidden/>
              </w:rPr>
              <w:fldChar w:fldCharType="separate"/>
            </w:r>
            <w:r w:rsidRPr="000C6101">
              <w:rPr>
                <w:webHidden/>
              </w:rPr>
              <w:t>24</w:t>
            </w:r>
            <w:r w:rsidRPr="000C6101">
              <w:rPr>
                <w:webHidden/>
              </w:rPr>
              <w:fldChar w:fldCharType="end"/>
            </w:r>
          </w:hyperlink>
        </w:p>
        <w:p w14:paraId="04EE8008" w14:textId="12DB28BB" w:rsidR="00C055EF" w:rsidRPr="000C6101" w:rsidRDefault="00C055EF" w:rsidP="00C055EF">
          <w:pPr>
            <w:rPr>
              <w:rFonts w:ascii="Calibri" w:eastAsia="Calibri" w:hAnsi="Calibri" w:cs="Arial"/>
            </w:rPr>
          </w:pPr>
          <w:r w:rsidRPr="000C6101">
            <w:rPr>
              <w:rFonts w:ascii="Calibri" w:eastAsia="Calibri" w:hAnsi="Calibri" w:cs="Arial"/>
              <w:b/>
              <w:bCs/>
            </w:rPr>
            <w:fldChar w:fldCharType="end"/>
          </w:r>
        </w:p>
      </w:sdtContent>
    </w:sdt>
    <w:p w14:paraId="3EB0BEA4" w14:textId="77777777" w:rsidR="00C055EF" w:rsidRPr="000C6101" w:rsidRDefault="00C055EF" w:rsidP="00C055EF">
      <w:pPr>
        <w:rPr>
          <w:rFonts w:ascii="Calibri" w:eastAsia="Calibri" w:hAnsi="Calibri" w:cs="Arial"/>
        </w:rPr>
      </w:pPr>
    </w:p>
    <w:p w14:paraId="7744EDEC" w14:textId="08522855" w:rsidR="009C7B1B" w:rsidRPr="000C6101" w:rsidRDefault="009C7B1B" w:rsidP="009C7B1B">
      <w:pPr>
        <w:tabs>
          <w:tab w:val="left" w:pos="9495"/>
        </w:tabs>
        <w:rPr>
          <w:rFonts w:ascii="Calibri" w:eastAsia="Calibri" w:hAnsi="Calibri" w:cs="Arial"/>
        </w:rPr>
      </w:pPr>
      <w:r w:rsidRPr="000C6101">
        <w:rPr>
          <w:rFonts w:ascii="Calibri" w:eastAsia="Calibri" w:hAnsi="Calibri" w:cs="Arial"/>
        </w:rPr>
        <w:tab/>
      </w:r>
    </w:p>
    <w:p w14:paraId="4CB25FCA" w14:textId="680E514F" w:rsidR="009C7B1B" w:rsidRPr="000C6101" w:rsidRDefault="009C7B1B" w:rsidP="009C7B1B">
      <w:pPr>
        <w:tabs>
          <w:tab w:val="left" w:pos="9495"/>
        </w:tabs>
        <w:rPr>
          <w:rFonts w:ascii="Calibri" w:eastAsia="Calibri" w:hAnsi="Calibri" w:cs="Arial"/>
        </w:rPr>
        <w:sectPr w:rsidR="009C7B1B" w:rsidRPr="000C6101" w:rsidSect="009C7B1B">
          <w:headerReference w:type="default" r:id="rId7"/>
          <w:footerReference w:type="default" r:id="rId8"/>
          <w:pgSz w:w="16838" w:h="11906" w:orient="landscape" w:code="9"/>
          <w:pgMar w:top="1985" w:right="1418" w:bottom="1134" w:left="1418" w:header="709" w:footer="709" w:gutter="0"/>
          <w:cols w:space="708"/>
          <w:docGrid w:linePitch="360"/>
        </w:sectPr>
      </w:pPr>
      <w:r w:rsidRPr="000C6101">
        <w:rPr>
          <w:rFonts w:ascii="Calibri" w:eastAsia="Calibri" w:hAnsi="Calibri" w:cs="Arial"/>
        </w:rPr>
        <w:tab/>
      </w:r>
    </w:p>
    <w:tbl>
      <w:tblPr>
        <w:tblStyle w:val="Grilledutableau"/>
        <w:tblW w:w="14808" w:type="dxa"/>
        <w:tblInd w:w="-572" w:type="dxa"/>
        <w:tblLook w:val="04A0" w:firstRow="1" w:lastRow="0" w:firstColumn="1" w:lastColumn="0" w:noHBand="0" w:noVBand="1"/>
      </w:tblPr>
      <w:tblGrid>
        <w:gridCol w:w="5358"/>
        <w:gridCol w:w="5562"/>
        <w:gridCol w:w="1984"/>
        <w:gridCol w:w="1904"/>
      </w:tblGrid>
      <w:tr w:rsidR="000C6101" w:rsidRPr="000C6101" w14:paraId="65701FDA" w14:textId="77777777" w:rsidTr="105067E6">
        <w:trPr>
          <w:tblHeader/>
        </w:trPr>
        <w:tc>
          <w:tcPr>
            <w:tcW w:w="5358" w:type="dxa"/>
            <w:shd w:val="clear" w:color="auto" w:fill="BDD6EE"/>
          </w:tcPr>
          <w:p w14:paraId="72119AA7" w14:textId="0C1E4942" w:rsidR="00C055EF" w:rsidRPr="000C6101" w:rsidRDefault="00C055EF" w:rsidP="00C055EF">
            <w:pPr>
              <w:jc w:val="center"/>
              <w:rPr>
                <w:rFonts w:ascii="Verdana" w:eastAsia="Calibri" w:hAnsi="Verdana" w:cs="Arial"/>
                <w:b/>
                <w:bCs/>
                <w:sz w:val="20"/>
                <w:szCs w:val="20"/>
              </w:rPr>
            </w:pPr>
            <w:r w:rsidRPr="000C6101">
              <w:rPr>
                <w:rFonts w:ascii="Verdana" w:eastAsia="Calibri" w:hAnsi="Verdana" w:cs="Arial"/>
                <w:b/>
                <w:bCs/>
                <w:sz w:val="20"/>
                <w:szCs w:val="20"/>
              </w:rPr>
              <w:lastRenderedPageBreak/>
              <w:t xml:space="preserve">Décision du </w:t>
            </w:r>
            <w:r w:rsidR="00CD50CB" w:rsidRPr="000C6101">
              <w:rPr>
                <w:rFonts w:ascii="Verdana" w:eastAsia="Calibri" w:hAnsi="Verdana" w:cs="Arial"/>
                <w:b/>
                <w:bCs/>
                <w:sz w:val="20"/>
                <w:szCs w:val="20"/>
              </w:rPr>
              <w:t>COPL</w:t>
            </w:r>
          </w:p>
        </w:tc>
        <w:tc>
          <w:tcPr>
            <w:tcW w:w="5562" w:type="dxa"/>
            <w:shd w:val="clear" w:color="auto" w:fill="BDD6EE"/>
          </w:tcPr>
          <w:p w14:paraId="2866E371" w14:textId="77777777" w:rsidR="00C055EF" w:rsidRPr="000C6101" w:rsidRDefault="00C055EF" w:rsidP="000C6101">
            <w:pPr>
              <w:jc w:val="center"/>
              <w:rPr>
                <w:rFonts w:ascii="Verdana" w:eastAsia="Calibri" w:hAnsi="Verdana" w:cs="Arial"/>
                <w:b/>
                <w:bCs/>
                <w:sz w:val="20"/>
                <w:szCs w:val="20"/>
              </w:rPr>
            </w:pPr>
            <w:r w:rsidRPr="000C6101">
              <w:rPr>
                <w:rFonts w:ascii="Verdana" w:eastAsia="Calibri" w:hAnsi="Verdana" w:cs="Arial"/>
                <w:b/>
                <w:bCs/>
                <w:sz w:val="20"/>
                <w:szCs w:val="20"/>
              </w:rPr>
              <w:t>Suivi – actions entreprises et/ou à entreprendre</w:t>
            </w:r>
          </w:p>
        </w:tc>
        <w:tc>
          <w:tcPr>
            <w:tcW w:w="1984" w:type="dxa"/>
            <w:shd w:val="clear" w:color="auto" w:fill="BDD6EE"/>
          </w:tcPr>
          <w:p w14:paraId="0E3039C0" w14:textId="77777777" w:rsidR="00C055EF" w:rsidRPr="000C6101" w:rsidRDefault="00C055EF" w:rsidP="009C7B1B">
            <w:pPr>
              <w:jc w:val="center"/>
              <w:rPr>
                <w:rFonts w:ascii="Verdana" w:eastAsia="Calibri" w:hAnsi="Verdana" w:cs="Arial"/>
                <w:b/>
                <w:bCs/>
                <w:sz w:val="20"/>
                <w:szCs w:val="20"/>
              </w:rPr>
            </w:pPr>
            <w:r w:rsidRPr="000C6101">
              <w:rPr>
                <w:rFonts w:ascii="Verdana" w:eastAsia="Calibri" w:hAnsi="Verdana" w:cs="Arial"/>
                <w:b/>
                <w:bCs/>
                <w:sz w:val="20"/>
                <w:szCs w:val="20"/>
              </w:rPr>
              <w:t>Qui ?</w:t>
            </w:r>
          </w:p>
        </w:tc>
        <w:tc>
          <w:tcPr>
            <w:tcW w:w="1904" w:type="dxa"/>
            <w:shd w:val="clear" w:color="auto" w:fill="BDD6EE"/>
          </w:tcPr>
          <w:p w14:paraId="6B242A1A" w14:textId="77777777" w:rsidR="00C055EF" w:rsidRPr="000C6101" w:rsidRDefault="00C055EF" w:rsidP="009C7B1B">
            <w:pPr>
              <w:jc w:val="center"/>
              <w:rPr>
                <w:rFonts w:ascii="Verdana" w:eastAsia="Calibri" w:hAnsi="Verdana" w:cs="Arial"/>
                <w:b/>
                <w:bCs/>
                <w:sz w:val="20"/>
                <w:szCs w:val="20"/>
              </w:rPr>
            </w:pPr>
            <w:r w:rsidRPr="000C6101">
              <w:rPr>
                <w:rFonts w:ascii="Verdana" w:eastAsia="Calibri" w:hAnsi="Verdana" w:cs="Arial"/>
                <w:b/>
                <w:bCs/>
                <w:sz w:val="20"/>
                <w:szCs w:val="20"/>
              </w:rPr>
              <w:t>Échéance</w:t>
            </w:r>
          </w:p>
        </w:tc>
      </w:tr>
      <w:tr w:rsidR="000C6101" w:rsidRPr="000C6101" w14:paraId="4E6B1773" w14:textId="77777777" w:rsidTr="105067E6">
        <w:tc>
          <w:tcPr>
            <w:tcW w:w="14808" w:type="dxa"/>
            <w:gridSpan w:val="4"/>
            <w:shd w:val="clear" w:color="auto" w:fill="ED7D31"/>
          </w:tcPr>
          <w:p w14:paraId="1982EA81" w14:textId="77777777" w:rsidR="00C055EF" w:rsidRPr="000C6101" w:rsidRDefault="00C055EF" w:rsidP="000C6101">
            <w:pPr>
              <w:keepNext/>
              <w:keepLines/>
              <w:spacing w:before="40"/>
              <w:jc w:val="both"/>
              <w:outlineLvl w:val="1"/>
              <w:rPr>
                <w:rFonts w:ascii="Verdana" w:eastAsia="Yu Gothic Light" w:hAnsi="Verdana" w:cs="Times New Roman"/>
                <w:b/>
                <w:bCs/>
                <w:sz w:val="20"/>
                <w:szCs w:val="20"/>
              </w:rPr>
            </w:pPr>
            <w:bookmarkStart w:id="0" w:name="_Toc173249464"/>
            <w:r w:rsidRPr="000C6101">
              <w:rPr>
                <w:rFonts w:ascii="Verdana" w:eastAsia="Yu Gothic Light" w:hAnsi="Verdana" w:cs="Times New Roman"/>
                <w:b/>
                <w:bCs/>
                <w:sz w:val="20"/>
                <w:szCs w:val="20"/>
              </w:rPr>
              <w:t>Affaires institutionnelles</w:t>
            </w:r>
            <w:bookmarkEnd w:id="0"/>
          </w:p>
        </w:tc>
      </w:tr>
      <w:tr w:rsidR="000C6101" w:rsidRPr="000C6101" w14:paraId="3AAEBD2F" w14:textId="77777777" w:rsidTr="105067E6">
        <w:tc>
          <w:tcPr>
            <w:tcW w:w="5358" w:type="dxa"/>
          </w:tcPr>
          <w:p w14:paraId="330470B5" w14:textId="77777777" w:rsidR="00562E38" w:rsidRPr="000C6101" w:rsidRDefault="00562E38" w:rsidP="00562E38">
            <w:pPr>
              <w:spacing w:after="120" w:line="276" w:lineRule="auto"/>
              <w:ind w:firstLine="708"/>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Décision 3. COI Horizon 2030 et accréditations</w:t>
            </w:r>
          </w:p>
          <w:p w14:paraId="4C64A9F8" w14:textId="77777777" w:rsidR="00562E38" w:rsidRPr="000C6101" w:rsidRDefault="00562E38" w:rsidP="00562E38">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Le Comité des OPL :</w:t>
            </w:r>
          </w:p>
          <w:p w14:paraId="4CD95D3E" w14:textId="77777777" w:rsidR="00562E38" w:rsidRPr="000C6101" w:rsidRDefault="00562E38" w:rsidP="00562E38">
            <w:pPr>
              <w:numPr>
                <w:ilvl w:val="0"/>
                <w:numId w:val="13"/>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Recommande au Conseil des ministres d’encourager le Secrétariat général dans la poursuite du processus de réforme et de lui demander d’accélérer ce processus en vue des accréditations aux 9 piliers de l’Union européenne et au Fonds vert pour le climat (FVC).</w:t>
            </w:r>
          </w:p>
          <w:p w14:paraId="49DAFEAC" w14:textId="15FA1780" w:rsidR="00562E38" w:rsidRPr="000C6101" w:rsidRDefault="00562E38" w:rsidP="00562E38">
            <w:pPr>
              <w:numPr>
                <w:ilvl w:val="0"/>
                <w:numId w:val="13"/>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Donne mandat au Secrétariat général pour poursuivre les consultations avec les parties prenantes nationales, en lien avec les OPL, dans l’identification des futurs projets qui seront financés par le FVC, notamment par l’organisation d’un atelier technique régional dont les termes de référence seront partagés préalablement avec les </w:t>
            </w:r>
            <w:r w:rsidR="009C7B1B" w:rsidRPr="000C6101">
              <w:rPr>
                <w:rFonts w:ascii="Verdana" w:eastAsia="Calibri" w:hAnsi="Verdana" w:cs="Calibri"/>
                <w:kern w:val="0"/>
                <w:sz w:val="20"/>
                <w:szCs w:val="20"/>
                <w14:ligatures w14:val="none"/>
              </w:rPr>
              <w:t>États</w:t>
            </w:r>
            <w:r w:rsidRPr="000C6101">
              <w:rPr>
                <w:rFonts w:ascii="Verdana" w:eastAsia="Calibri" w:hAnsi="Verdana" w:cs="Calibri"/>
                <w:kern w:val="0"/>
                <w:sz w:val="20"/>
                <w:szCs w:val="20"/>
                <w14:ligatures w14:val="none"/>
              </w:rPr>
              <w:t xml:space="preserve"> membres. </w:t>
            </w:r>
          </w:p>
          <w:p w14:paraId="7168DC94" w14:textId="77777777" w:rsidR="00562E38" w:rsidRPr="000C6101" w:rsidRDefault="00562E38" w:rsidP="00562E38">
            <w:pPr>
              <w:numPr>
                <w:ilvl w:val="0"/>
                <w:numId w:val="13"/>
              </w:numPr>
              <w:spacing w:after="120"/>
              <w:jc w:val="both"/>
              <w:rPr>
                <w:rFonts w:ascii="Verdana" w:eastAsia="Calibri" w:hAnsi="Verdana" w:cs="Calibri"/>
                <w:kern w:val="0"/>
                <w14:ligatures w14:val="none"/>
              </w:rPr>
            </w:pPr>
            <w:r w:rsidRPr="000C6101">
              <w:rPr>
                <w:rFonts w:ascii="Verdana" w:eastAsia="Calibri" w:hAnsi="Verdana" w:cs="Calibri"/>
                <w:kern w:val="0"/>
                <w:sz w:val="20"/>
                <w:szCs w:val="20"/>
                <w14:ligatures w14:val="none"/>
              </w:rPr>
              <w:t>Donne mandat au Secrétariat général, au terme du processus d’accréditation au FVC, d’engager des consultations avec les Autorités nationales compétentes de chaque Etat membre, via le bureau des OPL, pour la validation de l’Accord-cadre d’accréditation (“</w:t>
            </w:r>
            <w:proofErr w:type="spellStart"/>
            <w:r w:rsidRPr="000C6101">
              <w:rPr>
                <w:rFonts w:ascii="Verdana" w:eastAsia="Calibri" w:hAnsi="Verdana" w:cs="Calibri"/>
                <w:i/>
                <w:iCs/>
                <w:kern w:val="0"/>
                <w:sz w:val="20"/>
                <w:szCs w:val="20"/>
                <w14:ligatures w14:val="none"/>
              </w:rPr>
              <w:t>Accreditation</w:t>
            </w:r>
            <w:proofErr w:type="spellEnd"/>
            <w:r w:rsidRPr="000C6101">
              <w:rPr>
                <w:rFonts w:ascii="Verdana" w:eastAsia="Calibri" w:hAnsi="Verdana" w:cs="Calibri"/>
                <w:i/>
                <w:iCs/>
                <w:kern w:val="0"/>
                <w:sz w:val="20"/>
                <w:szCs w:val="20"/>
                <w14:ligatures w14:val="none"/>
              </w:rPr>
              <w:t xml:space="preserve"> Master Agreement</w:t>
            </w:r>
            <w:r w:rsidRPr="000C6101">
              <w:rPr>
                <w:rFonts w:ascii="Verdana" w:eastAsia="Calibri" w:hAnsi="Verdana" w:cs="Calibri"/>
                <w:kern w:val="0"/>
                <w:sz w:val="20"/>
                <w:szCs w:val="20"/>
                <w14:ligatures w14:val="none"/>
              </w:rPr>
              <w:t>”).</w:t>
            </w:r>
          </w:p>
          <w:p w14:paraId="5EE320A3" w14:textId="77777777" w:rsidR="00562E38" w:rsidRPr="000C6101" w:rsidRDefault="00562E38" w:rsidP="00562E38">
            <w:pPr>
              <w:numPr>
                <w:ilvl w:val="0"/>
                <w:numId w:val="13"/>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Prend note de la validation par le </w:t>
            </w:r>
            <w:r w:rsidRPr="000C6101">
              <w:rPr>
                <w:rFonts w:ascii="Verdana" w:eastAsia="Calibri" w:hAnsi="Verdana" w:cs="Calibri"/>
                <w:kern w:val="0"/>
                <w:sz w:val="20"/>
                <w:szCs w:val="20"/>
                <w14:ligatures w14:val="none"/>
              </w:rPr>
              <w:lastRenderedPageBreak/>
              <w:t>Secrétariat général des procédures fiduciaires ainsi que de l’urgence du renforcement de capacité en ressources humaines pour en assurer la mise en œuvre.</w:t>
            </w:r>
          </w:p>
          <w:p w14:paraId="58D5C3C2" w14:textId="3664484A" w:rsidR="00C055EF" w:rsidRPr="000C6101" w:rsidRDefault="00562E38" w:rsidP="009C7B1B">
            <w:pPr>
              <w:numPr>
                <w:ilvl w:val="0"/>
                <w:numId w:val="13"/>
              </w:numPr>
              <w:spacing w:after="120"/>
              <w:jc w:val="both"/>
              <w:rPr>
                <w:rFonts w:ascii="Verdana" w:eastAsia="Calibri" w:hAnsi="Verdana" w:cs="Arial"/>
                <w:sz w:val="20"/>
                <w:szCs w:val="20"/>
              </w:rPr>
            </w:pPr>
            <w:r w:rsidRPr="000C6101">
              <w:rPr>
                <w:rFonts w:ascii="Verdana" w:eastAsia="Calibri" w:hAnsi="Verdana" w:cs="Calibri"/>
                <w:kern w:val="0"/>
                <w:sz w:val="20"/>
                <w:szCs w:val="20"/>
                <w14:ligatures w14:val="none"/>
              </w:rPr>
              <w:t xml:space="preserve">Demande au Secrétariat général de poursuivre les travaux en vue de l’élaboration de la “Stratégie genre” ainsi que de la “Politique environnementale et sociale” de la COI en vue de leur validation par les instances de la COI. </w:t>
            </w:r>
          </w:p>
        </w:tc>
        <w:tc>
          <w:tcPr>
            <w:tcW w:w="5562" w:type="dxa"/>
          </w:tcPr>
          <w:p w14:paraId="7C551B4D" w14:textId="77777777" w:rsidR="00C055EF" w:rsidRDefault="00C57FE1" w:rsidP="000C6101">
            <w:pPr>
              <w:jc w:val="both"/>
              <w:rPr>
                <w:rFonts w:ascii="Verdana" w:eastAsia="Calibri" w:hAnsi="Verdana" w:cs="Arial"/>
                <w:sz w:val="20"/>
                <w:szCs w:val="20"/>
              </w:rPr>
            </w:pPr>
            <w:r>
              <w:rPr>
                <w:rFonts w:ascii="Verdana" w:eastAsia="Calibri" w:hAnsi="Verdana" w:cs="Arial"/>
                <w:sz w:val="20"/>
                <w:szCs w:val="20"/>
              </w:rPr>
              <w:lastRenderedPageBreak/>
              <w:t>Cf</w:t>
            </w:r>
            <w:r w:rsidR="005A056B">
              <w:rPr>
                <w:rFonts w:ascii="Verdana" w:eastAsia="Calibri" w:hAnsi="Verdana" w:cs="Arial"/>
                <w:sz w:val="20"/>
                <w:szCs w:val="20"/>
              </w:rPr>
              <w:t>. Fiche 2.1 et Tableau de suivi des décisions du Conseil</w:t>
            </w:r>
          </w:p>
          <w:p w14:paraId="687292D2" w14:textId="77777777" w:rsidR="005A056B" w:rsidRPr="005A056B" w:rsidRDefault="005A056B" w:rsidP="005A056B">
            <w:pPr>
              <w:numPr>
                <w:ilvl w:val="0"/>
                <w:numId w:val="29"/>
              </w:numPr>
              <w:contextualSpacing/>
              <w:jc w:val="both"/>
              <w:rPr>
                <w:rFonts w:ascii="Verdana" w:eastAsia="Calibri" w:hAnsi="Verdana" w:cs="Arial"/>
                <w:b/>
                <w:bCs/>
                <w:kern w:val="0"/>
                <w:sz w:val="20"/>
                <w:szCs w:val="20"/>
                <w14:ligatures w14:val="none"/>
              </w:rPr>
            </w:pPr>
            <w:r w:rsidRPr="005A056B">
              <w:rPr>
                <w:rFonts w:ascii="Verdana" w:eastAsia="Calibri" w:hAnsi="Verdana" w:cs="Arial"/>
                <w:b/>
                <w:bCs/>
                <w:kern w:val="0"/>
                <w:sz w:val="20"/>
                <w:szCs w:val="20"/>
                <w14:ligatures w14:val="none"/>
              </w:rPr>
              <w:t>Accréditation UE et FVC</w:t>
            </w:r>
          </w:p>
          <w:p w14:paraId="0E777B27" w14:textId="77777777" w:rsidR="005A056B" w:rsidRPr="005A056B" w:rsidRDefault="005A056B" w:rsidP="005A056B">
            <w:pPr>
              <w:ind w:left="720"/>
              <w:contextualSpacing/>
              <w:jc w:val="both"/>
              <w:rPr>
                <w:rFonts w:ascii="Verdana" w:eastAsia="Calibri" w:hAnsi="Verdana" w:cs="Arial"/>
                <w:kern w:val="0"/>
                <w:sz w:val="20"/>
                <w:szCs w:val="20"/>
                <w14:ligatures w14:val="none"/>
              </w:rPr>
            </w:pPr>
            <w:r w:rsidRPr="005A056B">
              <w:rPr>
                <w:rFonts w:ascii="Verdana" w:eastAsia="Calibri" w:hAnsi="Verdana" w:cs="Arial"/>
                <w:kern w:val="0"/>
                <w:sz w:val="20"/>
                <w:szCs w:val="20"/>
                <w14:ligatures w14:val="none"/>
              </w:rPr>
              <w:t>Cf. Fiche 2.1 COPL 12/24</w:t>
            </w:r>
          </w:p>
          <w:p w14:paraId="18BC3A1F"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b/>
                <w:i/>
                <w:sz w:val="20"/>
                <w:szCs w:val="20"/>
              </w:rPr>
              <w:t>Accréditation 9 piliers UE </w:t>
            </w:r>
            <w:r w:rsidRPr="005A056B">
              <w:rPr>
                <w:rFonts w:ascii="Verdana" w:eastAsia="Calibri" w:hAnsi="Verdana" w:cs="Arial"/>
                <w:sz w:val="20"/>
                <w:szCs w:val="20"/>
              </w:rPr>
              <w:t>:  Déploiement du nouvel Expert principal 2 de l’AT COI Horizon 2030 en vue, d’une part, de poursuivre les travaux visant à finaliser les cadres et procédures piliers et se plier à l’exercice d’évaluation suivant le questionnaire piliers avec les différents services du SG-COI ;</w:t>
            </w:r>
          </w:p>
          <w:p w14:paraId="080E7E86"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 xml:space="preserve">- Déploiement d’une expertise court terme </w:t>
            </w:r>
            <w:proofErr w:type="gramStart"/>
            <w:r w:rsidRPr="005A056B">
              <w:rPr>
                <w:rFonts w:ascii="Verdana" w:eastAsia="Calibri" w:hAnsi="Verdana" w:cs="Arial"/>
                <w:sz w:val="20"/>
                <w:szCs w:val="20"/>
              </w:rPr>
              <w:t>«  protection</w:t>
            </w:r>
            <w:proofErr w:type="gramEnd"/>
            <w:r w:rsidRPr="005A056B">
              <w:rPr>
                <w:rFonts w:ascii="Verdana" w:eastAsia="Calibri" w:hAnsi="Verdana" w:cs="Arial"/>
                <w:sz w:val="20"/>
                <w:szCs w:val="20"/>
              </w:rPr>
              <w:t xml:space="preserve"> des données personnels » pilier 9 UE, expert en cours de remplacement ;</w:t>
            </w:r>
          </w:p>
          <w:p w14:paraId="2F188431"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 xml:space="preserve">- Déploiement en cours </w:t>
            </w:r>
            <w:proofErr w:type="gramStart"/>
            <w:r w:rsidRPr="005A056B">
              <w:rPr>
                <w:rFonts w:ascii="Verdana" w:eastAsia="Calibri" w:hAnsi="Verdana" w:cs="Arial"/>
                <w:sz w:val="20"/>
                <w:szCs w:val="20"/>
              </w:rPr>
              <w:t>d’un  Expert</w:t>
            </w:r>
            <w:proofErr w:type="gramEnd"/>
            <w:r w:rsidRPr="005A056B">
              <w:rPr>
                <w:rFonts w:ascii="Verdana" w:eastAsia="Calibri" w:hAnsi="Verdana" w:cs="Arial"/>
                <w:sz w:val="20"/>
                <w:szCs w:val="20"/>
              </w:rPr>
              <w:t xml:space="preserve"> court terme « Comptabilité » dont la mission consiste à appuyer la mise en place de la plateforme budgétaire du SG-COI , appuyer le SBF dans l’opérationnalisation des procédures et outils ;</w:t>
            </w:r>
          </w:p>
          <w:p w14:paraId="5A941767" w14:textId="40D0F145" w:rsidR="005A056B" w:rsidRPr="005A056B" w:rsidRDefault="005A056B" w:rsidP="105067E6">
            <w:pPr>
              <w:jc w:val="both"/>
              <w:rPr>
                <w:rFonts w:ascii="Verdana" w:eastAsia="Calibri" w:hAnsi="Verdana" w:cs="Arial"/>
                <w:color w:val="FF0000"/>
                <w:sz w:val="20"/>
                <w:szCs w:val="20"/>
              </w:rPr>
            </w:pPr>
            <w:r w:rsidRPr="105067E6">
              <w:rPr>
                <w:rFonts w:ascii="Verdana" w:eastAsia="Calibri" w:hAnsi="Verdana" w:cs="Arial"/>
                <w:sz w:val="20"/>
                <w:szCs w:val="20"/>
              </w:rPr>
              <w:t xml:space="preserve">- Déploiement envisagé d’un Expert « Audit interne » </w:t>
            </w:r>
            <w:r w:rsidR="5F67E2AB" w:rsidRPr="105067E6">
              <w:rPr>
                <w:rFonts w:ascii="Verdana" w:eastAsia="Calibri" w:hAnsi="Verdana" w:cs="Arial"/>
                <w:sz w:val="20"/>
                <w:szCs w:val="20"/>
              </w:rPr>
              <w:t xml:space="preserve">- </w:t>
            </w:r>
            <w:r w:rsidR="5F67E2AB" w:rsidRPr="105067E6">
              <w:rPr>
                <w:rFonts w:ascii="Verdana" w:eastAsia="Calibri" w:hAnsi="Verdana" w:cs="Arial"/>
                <w:color w:val="FF0000"/>
                <w:sz w:val="20"/>
                <w:szCs w:val="20"/>
              </w:rPr>
              <w:t xml:space="preserve">Lancement du marché pour </w:t>
            </w:r>
            <w:r w:rsidRPr="105067E6">
              <w:rPr>
                <w:rFonts w:ascii="Verdana" w:eastAsia="Calibri" w:hAnsi="Verdana" w:cs="Arial"/>
                <w:color w:val="FF0000"/>
                <w:sz w:val="20"/>
                <w:szCs w:val="20"/>
              </w:rPr>
              <w:t>un Expert « RH » pour l’élaboration d’un référentiel des compétences de la COI ;</w:t>
            </w:r>
          </w:p>
          <w:p w14:paraId="7E52AED2"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e) Lancement marché pour recrutement expert genre en vue de l’élaboration de la stratégie genre</w:t>
            </w:r>
          </w:p>
          <w:p w14:paraId="4509976A"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u w:val="single"/>
              </w:rPr>
              <w:t>Travail en cours ou fait</w:t>
            </w:r>
            <w:r w:rsidRPr="005A056B">
              <w:rPr>
                <w:rFonts w:ascii="Verdana" w:eastAsia="Calibri" w:hAnsi="Verdana" w:cs="Arial"/>
                <w:sz w:val="20"/>
                <w:szCs w:val="20"/>
              </w:rPr>
              <w:t xml:space="preserve"> : </w:t>
            </w:r>
          </w:p>
          <w:p w14:paraId="1C02915B"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Exercice questionnaire piliers avec RH, Audit interne, SMC, SBF …</w:t>
            </w:r>
          </w:p>
          <w:p w14:paraId="298F0D5A"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 xml:space="preserve">Mise à niveau/ou des procédures de </w:t>
            </w:r>
            <w:proofErr w:type="spellStart"/>
            <w:r w:rsidRPr="005A056B">
              <w:rPr>
                <w:rFonts w:ascii="Verdana" w:eastAsia="Calibri" w:hAnsi="Verdana" w:cs="Arial"/>
                <w:sz w:val="20"/>
                <w:szCs w:val="20"/>
              </w:rPr>
              <w:t>reporting</w:t>
            </w:r>
            <w:proofErr w:type="spellEnd"/>
            <w:r w:rsidRPr="005A056B">
              <w:rPr>
                <w:rFonts w:ascii="Verdana" w:eastAsia="Calibri" w:hAnsi="Verdana" w:cs="Arial"/>
                <w:sz w:val="20"/>
                <w:szCs w:val="20"/>
              </w:rPr>
              <w:t xml:space="preserve"> interne et externe (pilier 1 et 2) ;</w:t>
            </w:r>
          </w:p>
          <w:p w14:paraId="6FFFFF7F"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 xml:space="preserve">Actualisation du manuel budget finances (chapitre immobilisations) et opérationnalisation du logiciel s’y </w:t>
            </w:r>
            <w:r w:rsidRPr="005A056B">
              <w:rPr>
                <w:rFonts w:ascii="Verdana" w:eastAsia="Calibri" w:hAnsi="Verdana" w:cs="Arial"/>
                <w:sz w:val="20"/>
                <w:szCs w:val="20"/>
              </w:rPr>
              <w:lastRenderedPageBreak/>
              <w:t>rapportant (piliers 1 et 2) ;</w:t>
            </w:r>
          </w:p>
          <w:p w14:paraId="4AF9A81E"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 xml:space="preserve">Finalisation du manuel administratif avec l’arrivée du nouveau responsable de la gestion administrative et logistique ; </w:t>
            </w:r>
          </w:p>
          <w:p w14:paraId="66B35FD6"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 xml:space="preserve">Arrivée nouveau personnel Spécialiste en gestion des risques et conformité et Spécialiste en </w:t>
            </w:r>
            <w:proofErr w:type="gramStart"/>
            <w:r w:rsidRPr="005A056B">
              <w:rPr>
                <w:rFonts w:ascii="Verdana" w:eastAsia="Calibri" w:hAnsi="Verdana" w:cs="Arial"/>
                <w:sz w:val="20"/>
                <w:szCs w:val="20"/>
              </w:rPr>
              <w:t>planification,  suivi</w:t>
            </w:r>
            <w:proofErr w:type="gramEnd"/>
            <w:r w:rsidRPr="005A056B">
              <w:rPr>
                <w:rFonts w:ascii="Verdana" w:eastAsia="Calibri" w:hAnsi="Verdana" w:cs="Arial"/>
                <w:sz w:val="20"/>
                <w:szCs w:val="20"/>
              </w:rPr>
              <w:t xml:space="preserve">, évaluation et </w:t>
            </w:r>
            <w:proofErr w:type="spellStart"/>
            <w:r w:rsidRPr="005A056B">
              <w:rPr>
                <w:rFonts w:ascii="Verdana" w:eastAsia="Calibri" w:hAnsi="Verdana" w:cs="Arial"/>
                <w:sz w:val="20"/>
                <w:szCs w:val="20"/>
              </w:rPr>
              <w:t>reporting</w:t>
            </w:r>
            <w:proofErr w:type="spellEnd"/>
            <w:r w:rsidRPr="005A056B">
              <w:rPr>
                <w:rFonts w:ascii="Verdana" w:eastAsia="Calibri" w:hAnsi="Verdana" w:cs="Arial"/>
                <w:sz w:val="20"/>
                <w:szCs w:val="20"/>
              </w:rPr>
              <w:t xml:space="preserve"> ; </w:t>
            </w:r>
          </w:p>
          <w:p w14:paraId="0A7085E3"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 xml:space="preserve">Finalisation du Cadre de gestion des risques opérationnels </w:t>
            </w:r>
          </w:p>
          <w:p w14:paraId="19CD1395"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Mise en place des procédures et formation s’y rapportant.</w:t>
            </w:r>
          </w:p>
          <w:p w14:paraId="6B7504DB" w14:textId="77777777" w:rsidR="005A056B" w:rsidRPr="005A056B" w:rsidRDefault="005A056B" w:rsidP="005A056B">
            <w:pPr>
              <w:jc w:val="both"/>
              <w:rPr>
                <w:rFonts w:ascii="Verdana" w:eastAsia="Calibri" w:hAnsi="Verdana" w:cs="Arial"/>
                <w:sz w:val="20"/>
                <w:szCs w:val="20"/>
              </w:rPr>
            </w:pPr>
          </w:p>
          <w:p w14:paraId="03483B93"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Elaboration d’un Manuel IT</w:t>
            </w:r>
          </w:p>
          <w:p w14:paraId="05222D2E"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Evaluation du cadre de protection des données personnelles de la COI (Pilier 9)</w:t>
            </w:r>
          </w:p>
          <w:p w14:paraId="0B2BE8BA" w14:textId="77777777" w:rsidR="005A056B" w:rsidRPr="005A056B" w:rsidRDefault="005A056B" w:rsidP="005A056B">
            <w:pPr>
              <w:jc w:val="both"/>
              <w:rPr>
                <w:rFonts w:ascii="Verdana" w:eastAsia="Calibri" w:hAnsi="Verdana" w:cs="Arial"/>
                <w:sz w:val="20"/>
                <w:szCs w:val="20"/>
              </w:rPr>
            </w:pPr>
          </w:p>
          <w:p w14:paraId="2E8BD5B8"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 xml:space="preserve">b) Le dossier de la COI </w:t>
            </w:r>
            <w:r w:rsidRPr="005A056B">
              <w:rPr>
                <w:rFonts w:ascii="Verdana" w:eastAsia="Calibri" w:hAnsi="Verdana" w:cs="Arial"/>
                <w:b/>
                <w:i/>
                <w:sz w:val="20"/>
                <w:szCs w:val="20"/>
              </w:rPr>
              <w:t>pour une accréditation auprès du Fond Vert</w:t>
            </w:r>
            <w:r w:rsidRPr="005A056B">
              <w:rPr>
                <w:rFonts w:ascii="Verdana" w:eastAsia="Calibri" w:hAnsi="Verdana" w:cs="Arial"/>
                <w:sz w:val="20"/>
                <w:szCs w:val="20"/>
              </w:rPr>
              <w:t xml:space="preserve"> </w:t>
            </w:r>
            <w:r w:rsidRPr="005A056B">
              <w:rPr>
                <w:rFonts w:ascii="Verdana" w:eastAsia="Calibri" w:hAnsi="Verdana" w:cs="Arial"/>
                <w:b/>
                <w:sz w:val="20"/>
                <w:szCs w:val="20"/>
              </w:rPr>
              <w:t>pour le climat</w:t>
            </w:r>
            <w:r w:rsidRPr="005A056B">
              <w:rPr>
                <w:rFonts w:ascii="Verdana" w:eastAsia="Calibri" w:hAnsi="Verdana" w:cs="Arial"/>
                <w:sz w:val="20"/>
                <w:szCs w:val="20"/>
              </w:rPr>
              <w:t xml:space="preserve"> a </w:t>
            </w:r>
            <w:proofErr w:type="gramStart"/>
            <w:r w:rsidRPr="005A056B">
              <w:rPr>
                <w:rFonts w:ascii="Verdana" w:eastAsia="Calibri" w:hAnsi="Verdana" w:cs="Arial"/>
                <w:sz w:val="20"/>
                <w:szCs w:val="20"/>
              </w:rPr>
              <w:t>été  approuvé</w:t>
            </w:r>
            <w:proofErr w:type="gramEnd"/>
            <w:r w:rsidRPr="005A056B">
              <w:rPr>
                <w:rFonts w:ascii="Verdana" w:eastAsia="Calibri" w:hAnsi="Verdana" w:cs="Arial"/>
                <w:sz w:val="20"/>
                <w:szCs w:val="20"/>
              </w:rPr>
              <w:t xml:space="preserve"> par le 39ème Conseil d’administration de FVC en juillet 2024</w:t>
            </w:r>
          </w:p>
          <w:p w14:paraId="4592BA3B" w14:textId="77777777" w:rsidR="005A056B" w:rsidRPr="005A056B" w:rsidRDefault="005A056B" w:rsidP="005A056B">
            <w:pPr>
              <w:jc w:val="both"/>
              <w:rPr>
                <w:rFonts w:ascii="Verdana" w:eastAsia="Calibri" w:hAnsi="Verdana" w:cs="Arial"/>
                <w:sz w:val="20"/>
                <w:szCs w:val="20"/>
              </w:rPr>
            </w:pPr>
          </w:p>
          <w:p w14:paraId="28FF39D5" w14:textId="1053AAF5" w:rsidR="005A056B" w:rsidRPr="005A056B" w:rsidRDefault="005A056B" w:rsidP="005A056B">
            <w:pPr>
              <w:jc w:val="both"/>
              <w:rPr>
                <w:rFonts w:ascii="Verdana" w:eastAsia="Calibri" w:hAnsi="Verdana" w:cs="Arial"/>
                <w:b/>
                <w:bCs/>
                <w:sz w:val="20"/>
                <w:szCs w:val="20"/>
              </w:rPr>
            </w:pPr>
            <w:r w:rsidRPr="005A056B">
              <w:rPr>
                <w:rFonts w:ascii="Verdana" w:eastAsia="Calibri" w:hAnsi="Verdana" w:cs="Arial"/>
                <w:b/>
                <w:bCs/>
                <w:sz w:val="20"/>
                <w:szCs w:val="20"/>
              </w:rPr>
              <w:t>Consultation</w:t>
            </w:r>
            <w:r>
              <w:rPr>
                <w:rFonts w:ascii="Verdana" w:eastAsia="Calibri" w:hAnsi="Verdana" w:cs="Arial"/>
                <w:b/>
                <w:bCs/>
                <w:sz w:val="20"/>
                <w:szCs w:val="20"/>
              </w:rPr>
              <w:t>s</w:t>
            </w:r>
            <w:r w:rsidRPr="005A056B">
              <w:rPr>
                <w:rFonts w:ascii="Verdana" w:eastAsia="Calibri" w:hAnsi="Verdana" w:cs="Arial"/>
                <w:b/>
                <w:bCs/>
                <w:sz w:val="20"/>
                <w:szCs w:val="20"/>
              </w:rPr>
              <w:t xml:space="preserve"> FVC</w:t>
            </w:r>
          </w:p>
          <w:p w14:paraId="625A7665"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 xml:space="preserve">-  à faire- Les consultations avec les Etats membres vont démarrer durant le 4ème trimestre de 2024 avec une première réunion virtuelle d’échanges avec les Etats à mi-novembre 2024. </w:t>
            </w:r>
          </w:p>
          <w:p w14:paraId="437CEE9C" w14:textId="77777777" w:rsidR="005A056B" w:rsidRPr="005A056B" w:rsidRDefault="005A056B" w:rsidP="005A056B">
            <w:pPr>
              <w:jc w:val="both"/>
              <w:rPr>
                <w:rFonts w:ascii="Verdana" w:eastAsia="Calibri" w:hAnsi="Verdana" w:cs="Arial"/>
                <w:sz w:val="20"/>
                <w:szCs w:val="20"/>
              </w:rPr>
            </w:pPr>
          </w:p>
          <w:p w14:paraId="2ADAC26C" w14:textId="5FA8A023" w:rsidR="005A056B" w:rsidRPr="005A056B" w:rsidRDefault="005A056B" w:rsidP="005A056B">
            <w:pPr>
              <w:jc w:val="both"/>
              <w:rPr>
                <w:rFonts w:ascii="Verdana" w:eastAsia="Calibri" w:hAnsi="Verdana" w:cs="Arial"/>
                <w:b/>
                <w:bCs/>
                <w:sz w:val="20"/>
                <w:szCs w:val="20"/>
              </w:rPr>
            </w:pPr>
            <w:r w:rsidRPr="005A056B">
              <w:rPr>
                <w:rFonts w:ascii="Verdana" w:eastAsia="Calibri" w:hAnsi="Verdana" w:cs="Arial"/>
                <w:b/>
                <w:bCs/>
                <w:sz w:val="20"/>
                <w:szCs w:val="20"/>
              </w:rPr>
              <w:t>c) Accord cadre FVC</w:t>
            </w:r>
          </w:p>
          <w:p w14:paraId="2561645B"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 xml:space="preserve">- Le projet d’accord cadre (Master Agreement) a été partagé aux OPL pour approbation des Etats membres quant à ses dispositions en vue l’accord cadre lors 29ème COP de Climat en novembre 2024 </w:t>
            </w:r>
            <w:r w:rsidRPr="005A056B">
              <w:rPr>
                <w:rFonts w:ascii="Verdana" w:eastAsia="Calibri" w:hAnsi="Verdana" w:cs="Arial"/>
                <w:sz w:val="20"/>
                <w:szCs w:val="20"/>
              </w:rPr>
              <w:lastRenderedPageBreak/>
              <w:t>à Baku (Azerbaïdjan)</w:t>
            </w:r>
          </w:p>
          <w:p w14:paraId="2453B69A" w14:textId="77777777" w:rsidR="005A056B" w:rsidRPr="005A056B" w:rsidRDefault="005A056B" w:rsidP="005A056B">
            <w:pPr>
              <w:jc w:val="both"/>
              <w:rPr>
                <w:rFonts w:ascii="Verdana" w:eastAsia="Calibri" w:hAnsi="Verdana" w:cs="Arial"/>
                <w:sz w:val="20"/>
                <w:szCs w:val="20"/>
              </w:rPr>
            </w:pPr>
            <w:r w:rsidRPr="005A056B">
              <w:rPr>
                <w:rFonts w:ascii="Verdana" w:eastAsia="Calibri" w:hAnsi="Verdana" w:cs="Arial"/>
                <w:sz w:val="20"/>
                <w:szCs w:val="20"/>
              </w:rPr>
              <w:t>L’échéance liée à la validation de l’AMA par les Etats membres n’a pas permis de procéder à ladite signature à la COP 29 en raison des contraintes propres au Secrétariat du FVC. Négociations en cours pour fixer une date.</w:t>
            </w:r>
          </w:p>
          <w:p w14:paraId="3A90E69F" w14:textId="77777777" w:rsidR="005A056B" w:rsidRPr="005A056B" w:rsidRDefault="005A056B" w:rsidP="005A056B">
            <w:pPr>
              <w:jc w:val="both"/>
              <w:rPr>
                <w:rFonts w:ascii="Verdana" w:eastAsia="Calibri" w:hAnsi="Verdana" w:cs="Arial"/>
                <w:sz w:val="20"/>
                <w:szCs w:val="20"/>
              </w:rPr>
            </w:pPr>
          </w:p>
          <w:p w14:paraId="1BC3D05B" w14:textId="63EC2FD6" w:rsidR="005A056B" w:rsidRPr="000C6101" w:rsidRDefault="005A056B" w:rsidP="005A056B">
            <w:pPr>
              <w:jc w:val="both"/>
              <w:rPr>
                <w:rFonts w:ascii="Verdana" w:eastAsia="Calibri" w:hAnsi="Verdana" w:cs="Arial"/>
                <w:sz w:val="20"/>
                <w:szCs w:val="20"/>
              </w:rPr>
            </w:pPr>
            <w:r w:rsidRPr="005A056B">
              <w:rPr>
                <w:rFonts w:ascii="Verdana" w:eastAsia="Calibri" w:hAnsi="Verdana" w:cs="Arial"/>
                <w:sz w:val="20"/>
                <w:szCs w:val="20"/>
              </w:rPr>
              <w:t>e) Politique environnementale et sociale (PES) à faire</w:t>
            </w:r>
          </w:p>
        </w:tc>
        <w:tc>
          <w:tcPr>
            <w:tcW w:w="1984" w:type="dxa"/>
          </w:tcPr>
          <w:p w14:paraId="421CF598" w14:textId="57FD1C25" w:rsidR="00C055EF" w:rsidRPr="000C6101" w:rsidRDefault="005A056B" w:rsidP="009C7B1B">
            <w:pPr>
              <w:jc w:val="center"/>
              <w:rPr>
                <w:rFonts w:ascii="Verdana" w:eastAsia="Calibri" w:hAnsi="Verdana" w:cs="Arial"/>
                <w:sz w:val="20"/>
                <w:szCs w:val="20"/>
              </w:rPr>
            </w:pPr>
            <w:r>
              <w:rPr>
                <w:rFonts w:ascii="Verdana" w:eastAsia="Calibri" w:hAnsi="Verdana" w:cs="Arial"/>
                <w:sz w:val="20"/>
                <w:szCs w:val="20"/>
              </w:rPr>
              <w:lastRenderedPageBreak/>
              <w:t>DIR</w:t>
            </w:r>
          </w:p>
          <w:p w14:paraId="76F408EB" w14:textId="77777777" w:rsidR="00C055EF" w:rsidRDefault="00C055EF" w:rsidP="009C7B1B">
            <w:pPr>
              <w:jc w:val="center"/>
              <w:rPr>
                <w:rFonts w:ascii="Verdana" w:eastAsia="Calibri" w:hAnsi="Verdana" w:cs="Arial"/>
                <w:sz w:val="20"/>
                <w:szCs w:val="20"/>
              </w:rPr>
            </w:pPr>
          </w:p>
          <w:p w14:paraId="0B0719F5" w14:textId="77777777" w:rsidR="005A056B" w:rsidRDefault="005A056B" w:rsidP="009C7B1B">
            <w:pPr>
              <w:jc w:val="center"/>
              <w:rPr>
                <w:rFonts w:ascii="Verdana" w:eastAsia="Calibri" w:hAnsi="Verdana" w:cs="Arial"/>
                <w:sz w:val="20"/>
                <w:szCs w:val="20"/>
              </w:rPr>
            </w:pPr>
          </w:p>
          <w:p w14:paraId="2A7B85C6" w14:textId="2E6D8722" w:rsidR="005A056B" w:rsidRDefault="005A056B" w:rsidP="009C7B1B">
            <w:pPr>
              <w:jc w:val="center"/>
              <w:rPr>
                <w:rFonts w:ascii="Verdana" w:eastAsia="Calibri" w:hAnsi="Verdana" w:cs="Arial"/>
                <w:sz w:val="20"/>
                <w:szCs w:val="20"/>
              </w:rPr>
            </w:pPr>
          </w:p>
          <w:p w14:paraId="5FC7D87E" w14:textId="77777777" w:rsidR="005A056B" w:rsidRDefault="005A056B" w:rsidP="009C7B1B">
            <w:pPr>
              <w:jc w:val="center"/>
              <w:rPr>
                <w:rFonts w:ascii="Verdana" w:eastAsia="Calibri" w:hAnsi="Verdana" w:cs="Arial"/>
                <w:sz w:val="20"/>
                <w:szCs w:val="20"/>
              </w:rPr>
            </w:pPr>
          </w:p>
          <w:p w14:paraId="10C93244" w14:textId="77777777" w:rsidR="005A056B" w:rsidRDefault="005A056B" w:rsidP="009C7B1B">
            <w:pPr>
              <w:jc w:val="center"/>
              <w:rPr>
                <w:rFonts w:ascii="Verdana" w:eastAsia="Calibri" w:hAnsi="Verdana" w:cs="Arial"/>
                <w:sz w:val="20"/>
                <w:szCs w:val="20"/>
              </w:rPr>
            </w:pPr>
          </w:p>
          <w:p w14:paraId="119A220A" w14:textId="77777777" w:rsidR="005A056B" w:rsidRDefault="005A056B" w:rsidP="009C7B1B">
            <w:pPr>
              <w:jc w:val="center"/>
              <w:rPr>
                <w:rFonts w:ascii="Verdana" w:eastAsia="Calibri" w:hAnsi="Verdana" w:cs="Arial"/>
                <w:sz w:val="20"/>
                <w:szCs w:val="20"/>
              </w:rPr>
            </w:pPr>
          </w:p>
          <w:p w14:paraId="61188A1C" w14:textId="77777777" w:rsidR="005A056B" w:rsidRDefault="005A056B" w:rsidP="009C7B1B">
            <w:pPr>
              <w:jc w:val="center"/>
              <w:rPr>
                <w:rFonts w:ascii="Verdana" w:eastAsia="Calibri" w:hAnsi="Verdana" w:cs="Arial"/>
                <w:sz w:val="20"/>
                <w:szCs w:val="20"/>
              </w:rPr>
            </w:pPr>
          </w:p>
          <w:p w14:paraId="05774205" w14:textId="77777777" w:rsidR="005A056B" w:rsidRDefault="005A056B" w:rsidP="009C7B1B">
            <w:pPr>
              <w:jc w:val="center"/>
              <w:rPr>
                <w:rFonts w:ascii="Verdana" w:eastAsia="Calibri" w:hAnsi="Verdana" w:cs="Arial"/>
                <w:sz w:val="20"/>
                <w:szCs w:val="20"/>
              </w:rPr>
            </w:pPr>
          </w:p>
          <w:p w14:paraId="4B2C783B" w14:textId="77777777" w:rsidR="005A056B" w:rsidRDefault="005A056B" w:rsidP="009C7B1B">
            <w:pPr>
              <w:jc w:val="center"/>
              <w:rPr>
                <w:rFonts w:ascii="Verdana" w:eastAsia="Calibri" w:hAnsi="Verdana" w:cs="Arial"/>
                <w:sz w:val="20"/>
                <w:szCs w:val="20"/>
              </w:rPr>
            </w:pPr>
          </w:p>
          <w:p w14:paraId="040D550A" w14:textId="77777777" w:rsidR="005A056B" w:rsidRDefault="005A056B" w:rsidP="009C7B1B">
            <w:pPr>
              <w:jc w:val="center"/>
              <w:rPr>
                <w:rFonts w:ascii="Verdana" w:eastAsia="Calibri" w:hAnsi="Verdana" w:cs="Arial"/>
                <w:sz w:val="20"/>
                <w:szCs w:val="20"/>
              </w:rPr>
            </w:pPr>
          </w:p>
          <w:p w14:paraId="0E841FCD" w14:textId="77777777" w:rsidR="005A056B" w:rsidRDefault="005A056B" w:rsidP="009C7B1B">
            <w:pPr>
              <w:jc w:val="center"/>
              <w:rPr>
                <w:rFonts w:ascii="Verdana" w:eastAsia="Calibri" w:hAnsi="Verdana" w:cs="Arial"/>
                <w:sz w:val="20"/>
                <w:szCs w:val="20"/>
              </w:rPr>
            </w:pPr>
          </w:p>
          <w:p w14:paraId="7DC4B3AA" w14:textId="77777777" w:rsidR="005A056B" w:rsidRDefault="005A056B" w:rsidP="009C7B1B">
            <w:pPr>
              <w:jc w:val="center"/>
              <w:rPr>
                <w:rFonts w:ascii="Verdana" w:eastAsia="Calibri" w:hAnsi="Verdana" w:cs="Arial"/>
                <w:sz w:val="20"/>
                <w:szCs w:val="20"/>
              </w:rPr>
            </w:pPr>
          </w:p>
          <w:p w14:paraId="7E2D89CC" w14:textId="77777777" w:rsidR="005A056B" w:rsidRDefault="005A056B" w:rsidP="009C7B1B">
            <w:pPr>
              <w:jc w:val="center"/>
              <w:rPr>
                <w:rFonts w:ascii="Verdana" w:eastAsia="Calibri" w:hAnsi="Verdana" w:cs="Arial"/>
                <w:sz w:val="20"/>
                <w:szCs w:val="20"/>
              </w:rPr>
            </w:pPr>
          </w:p>
          <w:p w14:paraId="340C5FDB" w14:textId="77777777" w:rsidR="005A056B" w:rsidRDefault="005A056B" w:rsidP="009C7B1B">
            <w:pPr>
              <w:jc w:val="center"/>
              <w:rPr>
                <w:rFonts w:ascii="Verdana" w:eastAsia="Calibri" w:hAnsi="Verdana" w:cs="Arial"/>
                <w:sz w:val="20"/>
                <w:szCs w:val="20"/>
              </w:rPr>
            </w:pPr>
          </w:p>
          <w:p w14:paraId="59C61B11" w14:textId="77777777" w:rsidR="005A056B" w:rsidRDefault="005A056B" w:rsidP="009C7B1B">
            <w:pPr>
              <w:jc w:val="center"/>
              <w:rPr>
                <w:rFonts w:ascii="Verdana" w:eastAsia="Calibri" w:hAnsi="Verdana" w:cs="Arial"/>
                <w:sz w:val="20"/>
                <w:szCs w:val="20"/>
              </w:rPr>
            </w:pPr>
          </w:p>
          <w:p w14:paraId="20093218" w14:textId="77777777" w:rsidR="005A056B" w:rsidRDefault="005A056B" w:rsidP="009C7B1B">
            <w:pPr>
              <w:jc w:val="center"/>
              <w:rPr>
                <w:rFonts w:ascii="Verdana" w:eastAsia="Calibri" w:hAnsi="Verdana" w:cs="Arial"/>
                <w:sz w:val="20"/>
                <w:szCs w:val="20"/>
              </w:rPr>
            </w:pPr>
          </w:p>
          <w:p w14:paraId="1BD3912C" w14:textId="77777777" w:rsidR="005A056B" w:rsidRDefault="005A056B" w:rsidP="009C7B1B">
            <w:pPr>
              <w:jc w:val="center"/>
              <w:rPr>
                <w:rFonts w:ascii="Verdana" w:eastAsia="Calibri" w:hAnsi="Verdana" w:cs="Arial"/>
                <w:sz w:val="20"/>
                <w:szCs w:val="20"/>
              </w:rPr>
            </w:pPr>
          </w:p>
          <w:p w14:paraId="1E74FF48" w14:textId="77777777" w:rsidR="005A056B" w:rsidRDefault="005A056B" w:rsidP="009C7B1B">
            <w:pPr>
              <w:jc w:val="center"/>
              <w:rPr>
                <w:rFonts w:ascii="Verdana" w:eastAsia="Calibri" w:hAnsi="Verdana" w:cs="Arial"/>
                <w:sz w:val="20"/>
                <w:szCs w:val="20"/>
              </w:rPr>
            </w:pPr>
          </w:p>
          <w:p w14:paraId="09722CC6" w14:textId="77777777" w:rsidR="005A056B" w:rsidRDefault="005A056B" w:rsidP="009C7B1B">
            <w:pPr>
              <w:jc w:val="center"/>
              <w:rPr>
                <w:rFonts w:ascii="Verdana" w:eastAsia="Calibri" w:hAnsi="Verdana" w:cs="Arial"/>
                <w:sz w:val="20"/>
                <w:szCs w:val="20"/>
              </w:rPr>
            </w:pPr>
          </w:p>
          <w:p w14:paraId="7C2C6392" w14:textId="77777777" w:rsidR="005A056B" w:rsidRDefault="005A056B" w:rsidP="009C7B1B">
            <w:pPr>
              <w:jc w:val="center"/>
              <w:rPr>
                <w:rFonts w:ascii="Verdana" w:eastAsia="Calibri" w:hAnsi="Verdana" w:cs="Arial"/>
                <w:sz w:val="20"/>
                <w:szCs w:val="20"/>
              </w:rPr>
            </w:pPr>
          </w:p>
          <w:p w14:paraId="4DF4C85B" w14:textId="77777777" w:rsidR="005A056B" w:rsidRDefault="005A056B" w:rsidP="009C7B1B">
            <w:pPr>
              <w:jc w:val="center"/>
              <w:rPr>
                <w:rFonts w:ascii="Verdana" w:eastAsia="Calibri" w:hAnsi="Verdana" w:cs="Arial"/>
                <w:sz w:val="20"/>
                <w:szCs w:val="20"/>
              </w:rPr>
            </w:pPr>
          </w:p>
          <w:p w14:paraId="42B72FB0" w14:textId="77777777" w:rsidR="005A056B" w:rsidRDefault="005A056B" w:rsidP="009C7B1B">
            <w:pPr>
              <w:jc w:val="center"/>
              <w:rPr>
                <w:rFonts w:ascii="Verdana" w:eastAsia="Calibri" w:hAnsi="Verdana" w:cs="Arial"/>
                <w:sz w:val="20"/>
                <w:szCs w:val="20"/>
              </w:rPr>
            </w:pPr>
          </w:p>
          <w:p w14:paraId="08AD4A9B" w14:textId="77777777" w:rsidR="005A056B" w:rsidRDefault="005A056B" w:rsidP="009C7B1B">
            <w:pPr>
              <w:jc w:val="center"/>
              <w:rPr>
                <w:rFonts w:ascii="Verdana" w:eastAsia="Calibri" w:hAnsi="Verdana" w:cs="Arial"/>
                <w:sz w:val="20"/>
                <w:szCs w:val="20"/>
              </w:rPr>
            </w:pPr>
          </w:p>
          <w:p w14:paraId="7B13E3B6" w14:textId="77777777" w:rsidR="005A056B" w:rsidRDefault="005A056B" w:rsidP="009C7B1B">
            <w:pPr>
              <w:jc w:val="center"/>
              <w:rPr>
                <w:rFonts w:ascii="Verdana" w:eastAsia="Calibri" w:hAnsi="Verdana" w:cs="Arial"/>
                <w:sz w:val="20"/>
                <w:szCs w:val="20"/>
              </w:rPr>
            </w:pPr>
          </w:p>
          <w:p w14:paraId="4513C14A" w14:textId="77777777" w:rsidR="005A056B" w:rsidRDefault="005A056B" w:rsidP="009C7B1B">
            <w:pPr>
              <w:jc w:val="center"/>
              <w:rPr>
                <w:rFonts w:ascii="Verdana" w:eastAsia="Calibri" w:hAnsi="Verdana" w:cs="Arial"/>
                <w:sz w:val="20"/>
                <w:szCs w:val="20"/>
              </w:rPr>
            </w:pPr>
          </w:p>
          <w:p w14:paraId="21EB1D9C" w14:textId="77777777" w:rsidR="005A056B" w:rsidRDefault="005A056B" w:rsidP="009C7B1B">
            <w:pPr>
              <w:jc w:val="center"/>
              <w:rPr>
                <w:rFonts w:ascii="Verdana" w:eastAsia="Calibri" w:hAnsi="Verdana" w:cs="Arial"/>
                <w:sz w:val="20"/>
                <w:szCs w:val="20"/>
              </w:rPr>
            </w:pPr>
          </w:p>
          <w:p w14:paraId="53DBA876" w14:textId="77777777" w:rsidR="005A056B" w:rsidRDefault="005A056B" w:rsidP="009C7B1B">
            <w:pPr>
              <w:jc w:val="center"/>
              <w:rPr>
                <w:rFonts w:ascii="Verdana" w:eastAsia="Calibri" w:hAnsi="Verdana" w:cs="Arial"/>
                <w:sz w:val="20"/>
                <w:szCs w:val="20"/>
              </w:rPr>
            </w:pPr>
          </w:p>
          <w:p w14:paraId="2CDA98F3" w14:textId="77777777" w:rsidR="005A056B" w:rsidRDefault="005A056B" w:rsidP="009C7B1B">
            <w:pPr>
              <w:jc w:val="center"/>
              <w:rPr>
                <w:rFonts w:ascii="Verdana" w:eastAsia="Calibri" w:hAnsi="Verdana" w:cs="Arial"/>
                <w:sz w:val="20"/>
                <w:szCs w:val="20"/>
              </w:rPr>
            </w:pPr>
          </w:p>
          <w:p w14:paraId="592A7333" w14:textId="77777777" w:rsidR="005A056B" w:rsidRDefault="005A056B" w:rsidP="009C7B1B">
            <w:pPr>
              <w:jc w:val="center"/>
              <w:rPr>
                <w:rFonts w:ascii="Verdana" w:eastAsia="Calibri" w:hAnsi="Verdana" w:cs="Arial"/>
                <w:sz w:val="20"/>
                <w:szCs w:val="20"/>
              </w:rPr>
            </w:pPr>
          </w:p>
          <w:p w14:paraId="4C924BF6" w14:textId="77777777" w:rsidR="005A056B" w:rsidRDefault="005A056B" w:rsidP="009C7B1B">
            <w:pPr>
              <w:jc w:val="center"/>
              <w:rPr>
                <w:rFonts w:ascii="Verdana" w:eastAsia="Calibri" w:hAnsi="Verdana" w:cs="Arial"/>
                <w:sz w:val="20"/>
                <w:szCs w:val="20"/>
              </w:rPr>
            </w:pPr>
          </w:p>
          <w:p w14:paraId="2378ED71" w14:textId="77777777" w:rsidR="005A056B" w:rsidRDefault="005A056B" w:rsidP="009C7B1B">
            <w:pPr>
              <w:jc w:val="center"/>
              <w:rPr>
                <w:rFonts w:ascii="Verdana" w:eastAsia="Calibri" w:hAnsi="Verdana" w:cs="Arial"/>
                <w:sz w:val="20"/>
                <w:szCs w:val="20"/>
              </w:rPr>
            </w:pPr>
          </w:p>
          <w:p w14:paraId="7139D00E" w14:textId="77777777" w:rsidR="005A056B" w:rsidRDefault="005A056B" w:rsidP="009C7B1B">
            <w:pPr>
              <w:jc w:val="center"/>
              <w:rPr>
                <w:rFonts w:ascii="Verdana" w:eastAsia="Calibri" w:hAnsi="Verdana" w:cs="Arial"/>
                <w:sz w:val="20"/>
                <w:szCs w:val="20"/>
              </w:rPr>
            </w:pPr>
          </w:p>
          <w:p w14:paraId="51EF9847" w14:textId="77777777" w:rsidR="005A056B" w:rsidRDefault="005A056B" w:rsidP="009C7B1B">
            <w:pPr>
              <w:jc w:val="center"/>
              <w:rPr>
                <w:rFonts w:ascii="Verdana" w:eastAsia="Calibri" w:hAnsi="Verdana" w:cs="Arial"/>
                <w:sz w:val="20"/>
                <w:szCs w:val="20"/>
              </w:rPr>
            </w:pPr>
          </w:p>
          <w:p w14:paraId="6FB1CAE9" w14:textId="77777777" w:rsidR="005A056B" w:rsidRDefault="005A056B" w:rsidP="009C7B1B">
            <w:pPr>
              <w:jc w:val="center"/>
              <w:rPr>
                <w:rFonts w:ascii="Verdana" w:eastAsia="Calibri" w:hAnsi="Verdana" w:cs="Arial"/>
                <w:sz w:val="20"/>
                <w:szCs w:val="20"/>
              </w:rPr>
            </w:pPr>
          </w:p>
          <w:p w14:paraId="2EC0A4CE" w14:textId="77777777" w:rsidR="005A056B" w:rsidRDefault="005A056B" w:rsidP="009C7B1B">
            <w:pPr>
              <w:jc w:val="center"/>
              <w:rPr>
                <w:rFonts w:ascii="Verdana" w:eastAsia="Calibri" w:hAnsi="Verdana" w:cs="Arial"/>
                <w:sz w:val="20"/>
                <w:szCs w:val="20"/>
              </w:rPr>
            </w:pPr>
          </w:p>
          <w:p w14:paraId="2F7F4555" w14:textId="77777777" w:rsidR="005A056B" w:rsidRDefault="005A056B" w:rsidP="009C7B1B">
            <w:pPr>
              <w:jc w:val="center"/>
              <w:rPr>
                <w:rFonts w:ascii="Verdana" w:eastAsia="Calibri" w:hAnsi="Verdana" w:cs="Arial"/>
                <w:sz w:val="20"/>
                <w:szCs w:val="20"/>
              </w:rPr>
            </w:pPr>
          </w:p>
          <w:p w14:paraId="4093A732" w14:textId="77777777" w:rsidR="005A056B" w:rsidRDefault="005A056B" w:rsidP="009C7B1B">
            <w:pPr>
              <w:jc w:val="center"/>
              <w:rPr>
                <w:rFonts w:ascii="Verdana" w:eastAsia="Calibri" w:hAnsi="Verdana" w:cs="Arial"/>
                <w:sz w:val="20"/>
                <w:szCs w:val="20"/>
              </w:rPr>
            </w:pPr>
          </w:p>
          <w:p w14:paraId="7B81F06B" w14:textId="77777777" w:rsidR="005A056B" w:rsidRDefault="005A056B" w:rsidP="009C7B1B">
            <w:pPr>
              <w:jc w:val="center"/>
              <w:rPr>
                <w:rFonts w:ascii="Verdana" w:eastAsia="Calibri" w:hAnsi="Verdana" w:cs="Arial"/>
                <w:sz w:val="20"/>
                <w:szCs w:val="20"/>
              </w:rPr>
            </w:pPr>
          </w:p>
          <w:p w14:paraId="42F12F1C" w14:textId="77777777" w:rsidR="005A056B" w:rsidRDefault="005A056B" w:rsidP="009C7B1B">
            <w:pPr>
              <w:jc w:val="center"/>
              <w:rPr>
                <w:rFonts w:ascii="Verdana" w:eastAsia="Calibri" w:hAnsi="Verdana" w:cs="Arial"/>
                <w:sz w:val="20"/>
                <w:szCs w:val="20"/>
              </w:rPr>
            </w:pPr>
          </w:p>
          <w:p w14:paraId="39A910ED" w14:textId="77777777" w:rsidR="005A056B" w:rsidRDefault="005A056B" w:rsidP="009C7B1B">
            <w:pPr>
              <w:jc w:val="center"/>
              <w:rPr>
                <w:rFonts w:ascii="Verdana" w:eastAsia="Calibri" w:hAnsi="Verdana" w:cs="Arial"/>
                <w:sz w:val="20"/>
                <w:szCs w:val="20"/>
              </w:rPr>
            </w:pPr>
          </w:p>
          <w:p w14:paraId="25FB2014" w14:textId="77777777" w:rsidR="005A056B" w:rsidRDefault="005A056B" w:rsidP="009C7B1B">
            <w:pPr>
              <w:jc w:val="center"/>
              <w:rPr>
                <w:rFonts w:ascii="Verdana" w:eastAsia="Calibri" w:hAnsi="Verdana" w:cs="Arial"/>
                <w:sz w:val="20"/>
                <w:szCs w:val="20"/>
              </w:rPr>
            </w:pPr>
          </w:p>
          <w:p w14:paraId="2E0A59C9" w14:textId="77777777" w:rsidR="005A056B" w:rsidRDefault="005A056B" w:rsidP="009C7B1B">
            <w:pPr>
              <w:jc w:val="center"/>
              <w:rPr>
                <w:rFonts w:ascii="Verdana" w:eastAsia="Calibri" w:hAnsi="Verdana" w:cs="Arial"/>
                <w:sz w:val="20"/>
                <w:szCs w:val="20"/>
              </w:rPr>
            </w:pPr>
          </w:p>
          <w:p w14:paraId="5E23488A" w14:textId="77777777" w:rsidR="005A056B" w:rsidRDefault="005A056B" w:rsidP="009C7B1B">
            <w:pPr>
              <w:jc w:val="center"/>
              <w:rPr>
                <w:rFonts w:ascii="Verdana" w:eastAsia="Calibri" w:hAnsi="Verdana" w:cs="Arial"/>
                <w:sz w:val="20"/>
                <w:szCs w:val="20"/>
              </w:rPr>
            </w:pPr>
          </w:p>
          <w:p w14:paraId="0AA2ABC8" w14:textId="77777777" w:rsidR="005A056B" w:rsidRDefault="005A056B" w:rsidP="009C7B1B">
            <w:pPr>
              <w:jc w:val="center"/>
              <w:rPr>
                <w:rFonts w:ascii="Verdana" w:eastAsia="Calibri" w:hAnsi="Verdana" w:cs="Arial"/>
                <w:sz w:val="20"/>
                <w:szCs w:val="20"/>
              </w:rPr>
            </w:pPr>
          </w:p>
          <w:p w14:paraId="1DA4BC60" w14:textId="77777777" w:rsidR="005A056B" w:rsidRDefault="005A056B" w:rsidP="009C7B1B">
            <w:pPr>
              <w:jc w:val="center"/>
              <w:rPr>
                <w:rFonts w:ascii="Verdana" w:eastAsia="Calibri" w:hAnsi="Verdana" w:cs="Arial"/>
                <w:sz w:val="20"/>
                <w:szCs w:val="20"/>
              </w:rPr>
            </w:pPr>
          </w:p>
          <w:p w14:paraId="53DB6280" w14:textId="77777777" w:rsidR="005A056B" w:rsidRDefault="005A056B" w:rsidP="009C7B1B">
            <w:pPr>
              <w:jc w:val="center"/>
              <w:rPr>
                <w:rFonts w:ascii="Verdana" w:eastAsia="Calibri" w:hAnsi="Verdana" w:cs="Arial"/>
                <w:sz w:val="20"/>
                <w:szCs w:val="20"/>
              </w:rPr>
            </w:pPr>
          </w:p>
          <w:p w14:paraId="50837EE9" w14:textId="77777777" w:rsidR="005A056B" w:rsidRPr="0034524C" w:rsidRDefault="005A056B" w:rsidP="005A056B">
            <w:pPr>
              <w:jc w:val="center"/>
              <w:rPr>
                <w:rFonts w:ascii="Verdana" w:hAnsi="Verdana"/>
                <w:sz w:val="20"/>
                <w:szCs w:val="20"/>
              </w:rPr>
            </w:pPr>
            <w:r>
              <w:rPr>
                <w:rFonts w:ascii="Verdana" w:hAnsi="Verdana"/>
                <w:sz w:val="20"/>
                <w:szCs w:val="20"/>
              </w:rPr>
              <w:t>DIR+DI-4</w:t>
            </w:r>
          </w:p>
          <w:p w14:paraId="225EA81C" w14:textId="77777777" w:rsidR="005A056B" w:rsidRDefault="005A056B" w:rsidP="009C7B1B">
            <w:pPr>
              <w:jc w:val="center"/>
              <w:rPr>
                <w:rFonts w:ascii="Verdana" w:eastAsia="Calibri" w:hAnsi="Verdana" w:cs="Arial"/>
                <w:sz w:val="20"/>
                <w:szCs w:val="20"/>
              </w:rPr>
            </w:pPr>
          </w:p>
          <w:p w14:paraId="12C234CC" w14:textId="77777777" w:rsidR="005A056B" w:rsidRDefault="005A056B" w:rsidP="009C7B1B">
            <w:pPr>
              <w:jc w:val="center"/>
              <w:rPr>
                <w:rFonts w:ascii="Verdana" w:eastAsia="Calibri" w:hAnsi="Verdana" w:cs="Arial"/>
                <w:sz w:val="20"/>
                <w:szCs w:val="20"/>
              </w:rPr>
            </w:pPr>
          </w:p>
          <w:p w14:paraId="3F703C2B" w14:textId="77777777" w:rsidR="005A056B" w:rsidRDefault="005A056B" w:rsidP="009C7B1B">
            <w:pPr>
              <w:jc w:val="center"/>
              <w:rPr>
                <w:rFonts w:ascii="Verdana" w:eastAsia="Calibri" w:hAnsi="Verdana" w:cs="Arial"/>
                <w:sz w:val="20"/>
                <w:szCs w:val="20"/>
              </w:rPr>
            </w:pPr>
          </w:p>
          <w:p w14:paraId="4FC11117" w14:textId="77777777" w:rsidR="005A056B" w:rsidRDefault="005A056B" w:rsidP="009C7B1B">
            <w:pPr>
              <w:jc w:val="center"/>
              <w:rPr>
                <w:rFonts w:ascii="Verdana" w:eastAsia="Calibri" w:hAnsi="Verdana" w:cs="Arial"/>
                <w:sz w:val="20"/>
                <w:szCs w:val="20"/>
              </w:rPr>
            </w:pPr>
          </w:p>
          <w:p w14:paraId="3CB98688" w14:textId="77777777" w:rsidR="005A056B" w:rsidRDefault="005A056B" w:rsidP="009C7B1B">
            <w:pPr>
              <w:jc w:val="center"/>
              <w:rPr>
                <w:rFonts w:ascii="Verdana" w:eastAsia="Calibri" w:hAnsi="Verdana" w:cs="Arial"/>
                <w:sz w:val="20"/>
                <w:szCs w:val="20"/>
              </w:rPr>
            </w:pPr>
          </w:p>
          <w:p w14:paraId="346AEDD1" w14:textId="77777777" w:rsidR="005A056B" w:rsidRDefault="005A056B" w:rsidP="009C7B1B">
            <w:pPr>
              <w:jc w:val="center"/>
              <w:rPr>
                <w:rFonts w:ascii="Verdana" w:eastAsia="Calibri" w:hAnsi="Verdana" w:cs="Arial"/>
                <w:sz w:val="20"/>
                <w:szCs w:val="20"/>
              </w:rPr>
            </w:pPr>
          </w:p>
          <w:p w14:paraId="05323FAC" w14:textId="77777777" w:rsidR="005A056B" w:rsidRDefault="005A056B" w:rsidP="009C7B1B">
            <w:pPr>
              <w:jc w:val="center"/>
              <w:rPr>
                <w:rFonts w:ascii="Verdana" w:eastAsia="Calibri" w:hAnsi="Verdana" w:cs="Arial"/>
                <w:sz w:val="20"/>
                <w:szCs w:val="20"/>
              </w:rPr>
            </w:pPr>
          </w:p>
          <w:p w14:paraId="73C16DAB" w14:textId="77777777" w:rsidR="005A056B" w:rsidRDefault="005A056B" w:rsidP="009C7B1B">
            <w:pPr>
              <w:jc w:val="center"/>
              <w:rPr>
                <w:rFonts w:ascii="Verdana" w:eastAsia="Calibri" w:hAnsi="Verdana" w:cs="Arial"/>
                <w:sz w:val="20"/>
                <w:szCs w:val="20"/>
              </w:rPr>
            </w:pPr>
          </w:p>
          <w:p w14:paraId="5E991E33" w14:textId="77777777" w:rsidR="005A056B" w:rsidRDefault="005A056B" w:rsidP="009C7B1B">
            <w:pPr>
              <w:jc w:val="center"/>
              <w:rPr>
                <w:rFonts w:ascii="Verdana" w:eastAsia="Calibri" w:hAnsi="Verdana" w:cs="Arial"/>
                <w:sz w:val="20"/>
                <w:szCs w:val="20"/>
              </w:rPr>
            </w:pPr>
          </w:p>
          <w:p w14:paraId="42DD875B" w14:textId="77777777" w:rsidR="005A056B" w:rsidRDefault="005A056B" w:rsidP="009C7B1B">
            <w:pPr>
              <w:jc w:val="center"/>
              <w:rPr>
                <w:rFonts w:ascii="Verdana" w:eastAsia="Calibri" w:hAnsi="Verdana" w:cs="Arial"/>
                <w:sz w:val="20"/>
                <w:szCs w:val="20"/>
              </w:rPr>
            </w:pPr>
          </w:p>
          <w:p w14:paraId="479E8C05" w14:textId="77777777" w:rsidR="005A056B" w:rsidRDefault="005A056B" w:rsidP="009C7B1B">
            <w:pPr>
              <w:jc w:val="center"/>
              <w:rPr>
                <w:rFonts w:ascii="Verdana" w:eastAsia="Calibri" w:hAnsi="Verdana" w:cs="Arial"/>
                <w:sz w:val="20"/>
                <w:szCs w:val="20"/>
              </w:rPr>
            </w:pPr>
          </w:p>
          <w:p w14:paraId="286E6D1E" w14:textId="77777777" w:rsidR="005A056B" w:rsidRDefault="005A056B" w:rsidP="009C7B1B">
            <w:pPr>
              <w:jc w:val="center"/>
              <w:rPr>
                <w:rFonts w:ascii="Verdana" w:eastAsia="Calibri" w:hAnsi="Verdana" w:cs="Arial"/>
                <w:sz w:val="20"/>
                <w:szCs w:val="20"/>
              </w:rPr>
            </w:pPr>
          </w:p>
          <w:p w14:paraId="2F5CCE73" w14:textId="77777777" w:rsidR="005A056B" w:rsidRDefault="005A056B" w:rsidP="009C7B1B">
            <w:pPr>
              <w:jc w:val="center"/>
              <w:rPr>
                <w:rFonts w:ascii="Verdana" w:eastAsia="Calibri" w:hAnsi="Verdana" w:cs="Arial"/>
                <w:sz w:val="20"/>
                <w:szCs w:val="20"/>
              </w:rPr>
            </w:pPr>
          </w:p>
          <w:p w14:paraId="1668CE3F" w14:textId="77777777" w:rsidR="005A056B" w:rsidRDefault="005A056B" w:rsidP="009C7B1B">
            <w:pPr>
              <w:jc w:val="center"/>
              <w:rPr>
                <w:rFonts w:ascii="Verdana" w:eastAsia="Calibri" w:hAnsi="Verdana" w:cs="Arial"/>
                <w:sz w:val="20"/>
                <w:szCs w:val="20"/>
              </w:rPr>
            </w:pPr>
          </w:p>
          <w:p w14:paraId="6C06AD72" w14:textId="77777777" w:rsidR="005A056B" w:rsidRPr="000C6101" w:rsidRDefault="005A056B" w:rsidP="009C7B1B">
            <w:pPr>
              <w:jc w:val="center"/>
              <w:rPr>
                <w:rFonts w:ascii="Verdana" w:eastAsia="Calibri" w:hAnsi="Verdana" w:cs="Arial"/>
                <w:sz w:val="20"/>
                <w:szCs w:val="20"/>
              </w:rPr>
            </w:pPr>
          </w:p>
        </w:tc>
        <w:tc>
          <w:tcPr>
            <w:tcW w:w="1904" w:type="dxa"/>
          </w:tcPr>
          <w:p w14:paraId="11A28E38" w14:textId="77777777" w:rsidR="005A056B" w:rsidRPr="005A056B" w:rsidRDefault="005A056B" w:rsidP="005A056B">
            <w:pPr>
              <w:jc w:val="center"/>
              <w:rPr>
                <w:rFonts w:ascii="Verdana" w:eastAsia="Calibri" w:hAnsi="Verdana" w:cs="Arial"/>
                <w:sz w:val="20"/>
                <w:szCs w:val="20"/>
              </w:rPr>
            </w:pPr>
            <w:r w:rsidRPr="005A056B">
              <w:rPr>
                <w:rFonts w:ascii="Verdana" w:eastAsia="Calibri" w:hAnsi="Verdana" w:cs="Arial"/>
                <w:sz w:val="20"/>
                <w:szCs w:val="20"/>
              </w:rPr>
              <w:lastRenderedPageBreak/>
              <w:t>4</w:t>
            </w:r>
            <w:r w:rsidRPr="005A056B">
              <w:rPr>
                <w:rFonts w:ascii="Verdana" w:eastAsia="Calibri" w:hAnsi="Verdana" w:cs="Arial"/>
                <w:sz w:val="20"/>
                <w:szCs w:val="20"/>
                <w:vertAlign w:val="superscript"/>
              </w:rPr>
              <w:t>ème</w:t>
            </w:r>
            <w:r w:rsidRPr="005A056B">
              <w:rPr>
                <w:rFonts w:ascii="Verdana" w:eastAsia="Calibri" w:hAnsi="Verdana" w:cs="Arial"/>
                <w:sz w:val="20"/>
                <w:szCs w:val="20"/>
              </w:rPr>
              <w:t xml:space="preserve"> trimestre 2024/janvier 2025 (dépendant de la mobilisation des experts) : finalisation des cadres et procédures</w:t>
            </w:r>
          </w:p>
          <w:p w14:paraId="2436A475" w14:textId="77777777" w:rsidR="005A056B" w:rsidRPr="005A056B" w:rsidRDefault="005A056B" w:rsidP="005A056B">
            <w:pPr>
              <w:jc w:val="center"/>
              <w:rPr>
                <w:rFonts w:ascii="Verdana" w:eastAsia="Calibri" w:hAnsi="Verdana" w:cs="Arial"/>
                <w:sz w:val="20"/>
                <w:szCs w:val="20"/>
              </w:rPr>
            </w:pPr>
          </w:p>
          <w:p w14:paraId="5F4FD320" w14:textId="77777777" w:rsidR="005A056B" w:rsidRPr="005A056B" w:rsidRDefault="005A056B" w:rsidP="005A056B">
            <w:pPr>
              <w:jc w:val="center"/>
              <w:rPr>
                <w:rFonts w:ascii="Verdana" w:eastAsia="Calibri" w:hAnsi="Verdana" w:cs="Arial"/>
                <w:sz w:val="20"/>
                <w:szCs w:val="20"/>
              </w:rPr>
            </w:pPr>
          </w:p>
          <w:p w14:paraId="14635C6D" w14:textId="77777777" w:rsidR="005A056B" w:rsidRPr="005A056B" w:rsidRDefault="005A056B" w:rsidP="005A056B">
            <w:pPr>
              <w:jc w:val="center"/>
              <w:rPr>
                <w:rFonts w:ascii="Verdana" w:eastAsia="Calibri" w:hAnsi="Verdana" w:cs="Arial"/>
                <w:sz w:val="20"/>
                <w:szCs w:val="20"/>
              </w:rPr>
            </w:pPr>
            <w:r w:rsidRPr="005A056B">
              <w:rPr>
                <w:rFonts w:ascii="Verdana" w:eastAsia="Calibri" w:hAnsi="Verdana" w:cs="Arial"/>
                <w:sz w:val="20"/>
                <w:szCs w:val="20"/>
              </w:rPr>
              <w:t>Projection : Test à blanc 1</w:t>
            </w:r>
            <w:r w:rsidRPr="005A056B">
              <w:rPr>
                <w:rFonts w:ascii="Verdana" w:eastAsia="Calibri" w:hAnsi="Verdana" w:cs="Arial"/>
                <w:sz w:val="20"/>
                <w:szCs w:val="20"/>
                <w:vertAlign w:val="superscript"/>
              </w:rPr>
              <w:t>er</w:t>
            </w:r>
            <w:r w:rsidRPr="005A056B">
              <w:rPr>
                <w:rFonts w:ascii="Verdana" w:eastAsia="Calibri" w:hAnsi="Verdana" w:cs="Arial"/>
                <w:sz w:val="20"/>
                <w:szCs w:val="20"/>
              </w:rPr>
              <w:t xml:space="preserve"> semestre 2025</w:t>
            </w:r>
          </w:p>
          <w:p w14:paraId="5738D776" w14:textId="77777777" w:rsidR="00C055EF" w:rsidRPr="000C6101" w:rsidRDefault="00C055EF" w:rsidP="009C7B1B">
            <w:pPr>
              <w:jc w:val="center"/>
              <w:rPr>
                <w:rFonts w:ascii="Verdana" w:eastAsia="Calibri" w:hAnsi="Verdana" w:cs="Arial"/>
                <w:sz w:val="20"/>
                <w:szCs w:val="20"/>
              </w:rPr>
            </w:pPr>
          </w:p>
        </w:tc>
      </w:tr>
      <w:tr w:rsidR="000C6101" w:rsidRPr="000C6101" w14:paraId="0668B688" w14:textId="77777777" w:rsidTr="105067E6">
        <w:tc>
          <w:tcPr>
            <w:tcW w:w="14808" w:type="dxa"/>
            <w:gridSpan w:val="4"/>
            <w:shd w:val="clear" w:color="auto" w:fill="ED7D31"/>
          </w:tcPr>
          <w:p w14:paraId="31D9AA58" w14:textId="77777777" w:rsidR="00C055EF" w:rsidRPr="000C6101" w:rsidRDefault="00C055EF" w:rsidP="000C6101">
            <w:pPr>
              <w:keepNext/>
              <w:keepLines/>
              <w:spacing w:before="40"/>
              <w:jc w:val="both"/>
              <w:outlineLvl w:val="1"/>
              <w:rPr>
                <w:rFonts w:ascii="Verdana" w:eastAsia="Yu Gothic Light" w:hAnsi="Verdana" w:cs="Times New Roman"/>
                <w:b/>
                <w:bCs/>
                <w:sz w:val="20"/>
                <w:szCs w:val="20"/>
              </w:rPr>
            </w:pPr>
            <w:bookmarkStart w:id="1" w:name="_Toc173249465"/>
            <w:r w:rsidRPr="000C6101">
              <w:rPr>
                <w:rFonts w:ascii="Verdana" w:eastAsia="Yu Gothic Light" w:hAnsi="Verdana" w:cs="Times New Roman"/>
                <w:b/>
                <w:bCs/>
                <w:sz w:val="20"/>
                <w:szCs w:val="20"/>
              </w:rPr>
              <w:lastRenderedPageBreak/>
              <w:t>Domaines d’intervention</w:t>
            </w:r>
            <w:bookmarkEnd w:id="1"/>
          </w:p>
        </w:tc>
      </w:tr>
      <w:tr w:rsidR="000C6101" w:rsidRPr="000C6101" w14:paraId="1A9DA6EA" w14:textId="77777777" w:rsidTr="105067E6">
        <w:tc>
          <w:tcPr>
            <w:tcW w:w="5358" w:type="dxa"/>
          </w:tcPr>
          <w:p w14:paraId="069BAF5D" w14:textId="77777777" w:rsidR="008E44C3" w:rsidRPr="000C6101" w:rsidRDefault="008E44C3" w:rsidP="008E44C3">
            <w:pPr>
              <w:spacing w:after="120" w:line="276" w:lineRule="auto"/>
              <w:ind w:firstLine="708"/>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Décision 4. Partenariats</w:t>
            </w:r>
          </w:p>
          <w:p w14:paraId="1DA334FD" w14:textId="77777777" w:rsidR="008E44C3" w:rsidRPr="000C6101" w:rsidRDefault="008E44C3" w:rsidP="008E44C3">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Le Comité des OPL :</w:t>
            </w:r>
          </w:p>
          <w:p w14:paraId="19349C37" w14:textId="77777777" w:rsidR="008E44C3" w:rsidRPr="000C6101" w:rsidRDefault="008E44C3" w:rsidP="008E44C3">
            <w:pPr>
              <w:numPr>
                <w:ilvl w:val="0"/>
                <w:numId w:val="14"/>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Soumet à l’approbation du Conseil des ministres les projets d’accord avec l’Organisation internationale du travail (OIT), Cap Business océan Indien et l’Association des ports des îles de l’océan Indien (APIOI) en vue de leur signature par le Secrétaire général.</w:t>
            </w:r>
          </w:p>
          <w:p w14:paraId="12599657" w14:textId="18302AB2" w:rsidR="008E44C3" w:rsidRPr="000C6101" w:rsidRDefault="008E44C3" w:rsidP="008E44C3">
            <w:pPr>
              <w:numPr>
                <w:ilvl w:val="0"/>
                <w:numId w:val="14"/>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Demande au Secrétariat général de proposer un cadre de partenariat avec l’Organisation des </w:t>
            </w:r>
            <w:r w:rsidR="009C7B1B" w:rsidRPr="000C6101">
              <w:rPr>
                <w:rFonts w:ascii="Verdana" w:eastAsia="Calibri" w:hAnsi="Verdana" w:cs="Calibri"/>
                <w:kern w:val="0"/>
                <w:sz w:val="20"/>
                <w:szCs w:val="20"/>
                <w14:ligatures w14:val="none"/>
              </w:rPr>
              <w:t>États</w:t>
            </w:r>
            <w:r w:rsidRPr="000C6101">
              <w:rPr>
                <w:rFonts w:ascii="Verdana" w:eastAsia="Calibri" w:hAnsi="Verdana" w:cs="Calibri"/>
                <w:kern w:val="0"/>
                <w:sz w:val="20"/>
                <w:szCs w:val="20"/>
                <w14:ligatures w14:val="none"/>
              </w:rPr>
              <w:t xml:space="preserve"> d’Afrique, Caraïbes et Pacifique (OEACP) dans une perspective de prise en compte des intérêts insulaires de l’Afrique et de l’océan Indien dans le cadre des prochains programmes de l’OEACP tel que prévu par l’accord de Samoa.</w:t>
            </w:r>
          </w:p>
          <w:p w14:paraId="11E94F77" w14:textId="356CF9FD" w:rsidR="008E44C3" w:rsidRPr="000C6101" w:rsidRDefault="008E44C3" w:rsidP="008E44C3">
            <w:pPr>
              <w:numPr>
                <w:ilvl w:val="0"/>
                <w:numId w:val="14"/>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Demande au Secrétariat général de proposer un cadre de partenariat avec </w:t>
            </w:r>
            <w:r w:rsidRPr="000C6101">
              <w:rPr>
                <w:rFonts w:ascii="Verdana" w:eastAsia="Calibri" w:hAnsi="Verdana" w:cs="Calibri"/>
                <w:kern w:val="0"/>
                <w:sz w:val="20"/>
                <w:szCs w:val="20"/>
                <w14:ligatures w14:val="none"/>
              </w:rPr>
              <w:lastRenderedPageBreak/>
              <w:t xml:space="preserve">l’Organisation de coopération et de développement économiques (OCDE) permettant de tenir compte systématiquement des singularités insulaires des </w:t>
            </w:r>
            <w:r w:rsidR="009C7B1B" w:rsidRPr="000C6101">
              <w:rPr>
                <w:rFonts w:ascii="Verdana" w:eastAsia="Calibri" w:hAnsi="Verdana" w:cs="Calibri"/>
                <w:kern w:val="0"/>
                <w:sz w:val="20"/>
                <w:szCs w:val="20"/>
                <w14:ligatures w14:val="none"/>
              </w:rPr>
              <w:t>États</w:t>
            </w:r>
            <w:r w:rsidRPr="000C6101">
              <w:rPr>
                <w:rFonts w:ascii="Verdana" w:eastAsia="Calibri" w:hAnsi="Verdana" w:cs="Calibri"/>
                <w:kern w:val="0"/>
                <w:sz w:val="20"/>
                <w:szCs w:val="20"/>
                <w14:ligatures w14:val="none"/>
              </w:rPr>
              <w:t xml:space="preserve"> membres de la COI.  </w:t>
            </w:r>
          </w:p>
          <w:p w14:paraId="3E9A4320" w14:textId="3369A9FE" w:rsidR="008E44C3" w:rsidRPr="000C6101" w:rsidRDefault="008E44C3" w:rsidP="008E44C3">
            <w:pPr>
              <w:numPr>
                <w:ilvl w:val="0"/>
                <w:numId w:val="14"/>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Renouvelle sa demande au Secrétariat général en vue de mobiliser les ressources nécessaires pour initier la mise en place d’un mécanisme régional d’achat groupé des produits de première nécessité et l’invite à capitaliser sur le fait que Maurice abrite le Secrétariat du programme d’approvisionnement groupé des Petits </w:t>
            </w:r>
            <w:r w:rsidR="009C7B1B" w:rsidRPr="000C6101">
              <w:rPr>
                <w:rFonts w:ascii="Verdana" w:eastAsia="Calibri" w:hAnsi="Verdana" w:cs="Calibri"/>
                <w:kern w:val="0"/>
                <w:sz w:val="20"/>
                <w:szCs w:val="20"/>
                <w14:ligatures w14:val="none"/>
              </w:rPr>
              <w:t>États</w:t>
            </w:r>
            <w:r w:rsidRPr="000C6101">
              <w:rPr>
                <w:rFonts w:ascii="Verdana" w:eastAsia="Calibri" w:hAnsi="Verdana" w:cs="Calibri"/>
                <w:kern w:val="0"/>
                <w:sz w:val="20"/>
                <w:szCs w:val="20"/>
                <w14:ligatures w14:val="none"/>
              </w:rPr>
              <w:t xml:space="preserve"> insulaires en développement de la région Afrique de l’Organisation mondiale de la santé (OMS). </w:t>
            </w:r>
          </w:p>
          <w:p w14:paraId="3F0DF39F" w14:textId="77777777" w:rsidR="008E44C3" w:rsidRPr="000C6101" w:rsidRDefault="008E44C3" w:rsidP="008E44C3">
            <w:pPr>
              <w:numPr>
                <w:ilvl w:val="0"/>
                <w:numId w:val="14"/>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Approuve la note conceptuelle proposée sur la chaîne de valeur « maïs » à Madagascar et sa dimension régionale et mandate le Secrétariat général pour soutenir et faciliter l’organisation de l’atelier national sur le sujet à Madagascar, en concertation avec la partie malagasy.</w:t>
            </w:r>
          </w:p>
          <w:p w14:paraId="1548022A" w14:textId="77777777" w:rsidR="008E44C3" w:rsidRPr="000C6101" w:rsidRDefault="008E44C3" w:rsidP="008E44C3">
            <w:pPr>
              <w:numPr>
                <w:ilvl w:val="0"/>
                <w:numId w:val="14"/>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Prend note de la mise en place du Comité des douanes et souhaite être informé officiellement de la forme de collaboration souhaitée avec la COI, sur la base des textes régissant ledit Comité et la COI. </w:t>
            </w:r>
          </w:p>
          <w:p w14:paraId="0687D237" w14:textId="77777777" w:rsidR="008E44C3" w:rsidRPr="000C6101" w:rsidRDefault="008E44C3" w:rsidP="008E44C3">
            <w:pPr>
              <w:numPr>
                <w:ilvl w:val="0"/>
                <w:numId w:val="14"/>
              </w:numPr>
              <w:spacing w:after="120"/>
              <w:jc w:val="both"/>
              <w:rPr>
                <w:rFonts w:ascii="Verdana" w:eastAsia="Calibri" w:hAnsi="Verdana" w:cs="Calibri"/>
                <w:kern w:val="0"/>
                <w:sz w:val="20"/>
                <w:szCs w:val="20"/>
                <w14:ligatures w14:val="none"/>
              </w:rPr>
            </w:pPr>
            <w:r w:rsidRPr="00AC0141">
              <w:rPr>
                <w:rFonts w:ascii="Verdana" w:eastAsia="Calibri" w:hAnsi="Verdana" w:cs="Calibri"/>
                <w:b/>
                <w:color w:val="C00000"/>
                <w:kern w:val="0"/>
                <w:sz w:val="20"/>
                <w:szCs w:val="20"/>
                <w14:ligatures w14:val="none"/>
              </w:rPr>
              <w:t xml:space="preserve">Demande au Secrétariat général de fournir aux instances une vue d’ensemble des résultats des </w:t>
            </w:r>
            <w:r w:rsidRPr="00AC0141">
              <w:rPr>
                <w:rFonts w:ascii="Verdana" w:eastAsia="Calibri" w:hAnsi="Verdana" w:cs="Calibri"/>
                <w:b/>
                <w:color w:val="C00000"/>
                <w:kern w:val="0"/>
                <w:sz w:val="20"/>
                <w:szCs w:val="20"/>
                <w14:ligatures w14:val="none"/>
              </w:rPr>
              <w:lastRenderedPageBreak/>
              <w:t>partenariats, conventions et protocoles noués par la COI</w:t>
            </w:r>
            <w:r w:rsidRPr="000C6101">
              <w:rPr>
                <w:rFonts w:ascii="Verdana" w:eastAsia="Calibri" w:hAnsi="Verdana" w:cs="Calibri"/>
                <w:kern w:val="0"/>
                <w:sz w:val="20"/>
                <w:szCs w:val="20"/>
                <w14:ligatures w14:val="none"/>
              </w:rPr>
              <w:t>.</w:t>
            </w:r>
          </w:p>
          <w:p w14:paraId="23982A00" w14:textId="77777777" w:rsidR="008E44C3" w:rsidRPr="000C6101" w:rsidRDefault="008E44C3" w:rsidP="008E44C3">
            <w:pPr>
              <w:numPr>
                <w:ilvl w:val="0"/>
                <w:numId w:val="14"/>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Prend note de la signature du protocole d’entente avec le COMESA et demande au Secrétariat général d’assurer, entre autres, le suivi des recommandations du groupe de travail sur la connectivité maritime et aérienne du COMESA tout en veillant à la cohérence avec les activités et initiatives sur le sujet initié par la COI.</w:t>
            </w:r>
          </w:p>
          <w:p w14:paraId="1F900750" w14:textId="77777777" w:rsidR="008E44C3" w:rsidRPr="000C6101" w:rsidRDefault="008E44C3" w:rsidP="008E44C3">
            <w:pPr>
              <w:numPr>
                <w:ilvl w:val="0"/>
                <w:numId w:val="14"/>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Encourage le Secrétariat général à poursuivre et accélérer, en concertation avec le Secrétariat de l’IORA, la mise en œuvre d’activités découlant du protocole d’entente entre les deux organisations.  </w:t>
            </w:r>
          </w:p>
          <w:p w14:paraId="5C15E7BE" w14:textId="3A8105D0" w:rsidR="008E44C3" w:rsidRPr="000C6101" w:rsidRDefault="008E44C3" w:rsidP="000C6101">
            <w:pPr>
              <w:numPr>
                <w:ilvl w:val="0"/>
                <w:numId w:val="14"/>
              </w:numPr>
              <w:spacing w:after="120"/>
              <w:jc w:val="both"/>
              <w:rPr>
                <w:rFonts w:ascii="Verdana" w:eastAsia="Calibri" w:hAnsi="Verdana" w:cs="Arial"/>
                <w:sz w:val="20"/>
                <w:szCs w:val="20"/>
              </w:rPr>
            </w:pPr>
            <w:r w:rsidRPr="000C6101">
              <w:rPr>
                <w:rFonts w:ascii="Verdana" w:eastAsia="Calibri" w:hAnsi="Verdana" w:cs="Calibri"/>
                <w:kern w:val="0"/>
                <w:sz w:val="20"/>
                <w:szCs w:val="20"/>
                <w14:ligatures w14:val="none"/>
              </w:rPr>
              <w:t>Demande au Secrétariat général de transmettre au Comité des OPL les informations et documentations issues des consultations avec les partenaires afin de faciliter la prise de décision et le suivi.</w:t>
            </w:r>
          </w:p>
        </w:tc>
        <w:tc>
          <w:tcPr>
            <w:tcW w:w="5562" w:type="dxa"/>
          </w:tcPr>
          <w:p w14:paraId="0B4450EF" w14:textId="77777777" w:rsidR="008E44C3" w:rsidRDefault="008E44C3" w:rsidP="000C6101">
            <w:pPr>
              <w:jc w:val="both"/>
              <w:rPr>
                <w:rFonts w:ascii="Verdana" w:eastAsia="Calibri" w:hAnsi="Verdana" w:cs="Arial"/>
                <w:sz w:val="20"/>
                <w:szCs w:val="20"/>
              </w:rPr>
            </w:pPr>
          </w:p>
          <w:p w14:paraId="56E19F50" w14:textId="77777777" w:rsidR="00AC0141" w:rsidRDefault="00AC0141" w:rsidP="000C6101">
            <w:pPr>
              <w:jc w:val="both"/>
              <w:rPr>
                <w:rFonts w:ascii="Verdana" w:eastAsia="Calibri" w:hAnsi="Verdana" w:cs="Arial"/>
                <w:sz w:val="20"/>
                <w:szCs w:val="20"/>
              </w:rPr>
            </w:pPr>
          </w:p>
          <w:p w14:paraId="28A9ACA3" w14:textId="77777777" w:rsidR="00AC0141" w:rsidRDefault="00AC0141" w:rsidP="000C6101">
            <w:pPr>
              <w:jc w:val="both"/>
              <w:rPr>
                <w:rFonts w:ascii="Verdana" w:eastAsia="Calibri" w:hAnsi="Verdana" w:cs="Arial"/>
                <w:sz w:val="20"/>
                <w:szCs w:val="20"/>
              </w:rPr>
            </w:pPr>
          </w:p>
          <w:p w14:paraId="1050A443" w14:textId="77777777" w:rsidR="00AC0141" w:rsidRDefault="00AC0141" w:rsidP="000C6101">
            <w:pPr>
              <w:jc w:val="both"/>
              <w:rPr>
                <w:rFonts w:ascii="Verdana" w:eastAsia="Calibri" w:hAnsi="Verdana" w:cs="Arial"/>
                <w:sz w:val="20"/>
                <w:szCs w:val="20"/>
              </w:rPr>
            </w:pPr>
          </w:p>
          <w:p w14:paraId="00BA56EA" w14:textId="77777777" w:rsidR="00AC0141" w:rsidRDefault="00AC0141" w:rsidP="000C6101">
            <w:pPr>
              <w:jc w:val="both"/>
              <w:rPr>
                <w:rFonts w:ascii="Verdana" w:eastAsia="Calibri" w:hAnsi="Verdana" w:cs="Arial"/>
                <w:sz w:val="20"/>
                <w:szCs w:val="20"/>
              </w:rPr>
            </w:pPr>
          </w:p>
          <w:p w14:paraId="07A507CF" w14:textId="77777777" w:rsidR="00AC0141" w:rsidRDefault="00AC0141" w:rsidP="000C6101">
            <w:pPr>
              <w:jc w:val="both"/>
              <w:rPr>
                <w:rFonts w:ascii="Verdana" w:eastAsia="Calibri" w:hAnsi="Verdana" w:cs="Arial"/>
                <w:sz w:val="20"/>
                <w:szCs w:val="20"/>
              </w:rPr>
            </w:pPr>
          </w:p>
          <w:p w14:paraId="61293789" w14:textId="77777777" w:rsidR="00AC0141" w:rsidRDefault="00AC0141" w:rsidP="000C6101">
            <w:pPr>
              <w:jc w:val="both"/>
              <w:rPr>
                <w:rFonts w:ascii="Verdana" w:eastAsia="Calibri" w:hAnsi="Verdana" w:cs="Arial"/>
                <w:sz w:val="20"/>
                <w:szCs w:val="20"/>
              </w:rPr>
            </w:pPr>
          </w:p>
          <w:p w14:paraId="054475FA" w14:textId="77777777" w:rsidR="00AC0141" w:rsidRDefault="00AC0141" w:rsidP="000C6101">
            <w:pPr>
              <w:jc w:val="both"/>
              <w:rPr>
                <w:rFonts w:ascii="Verdana" w:eastAsia="Calibri" w:hAnsi="Verdana" w:cs="Arial"/>
                <w:sz w:val="20"/>
                <w:szCs w:val="20"/>
              </w:rPr>
            </w:pPr>
          </w:p>
          <w:p w14:paraId="2E6EA288" w14:textId="77777777" w:rsidR="00AC0141" w:rsidRDefault="00AC0141" w:rsidP="000C6101">
            <w:pPr>
              <w:jc w:val="both"/>
              <w:rPr>
                <w:rFonts w:ascii="Verdana" w:eastAsia="Calibri" w:hAnsi="Verdana" w:cs="Arial"/>
                <w:sz w:val="20"/>
                <w:szCs w:val="20"/>
              </w:rPr>
            </w:pPr>
          </w:p>
          <w:p w14:paraId="655E0369" w14:textId="77777777" w:rsidR="00AC0141" w:rsidRDefault="00AC0141" w:rsidP="000C6101">
            <w:pPr>
              <w:jc w:val="both"/>
              <w:rPr>
                <w:rFonts w:ascii="Verdana" w:eastAsia="Calibri" w:hAnsi="Verdana" w:cs="Arial"/>
                <w:sz w:val="20"/>
                <w:szCs w:val="20"/>
              </w:rPr>
            </w:pPr>
          </w:p>
          <w:p w14:paraId="62B5C256" w14:textId="77777777" w:rsidR="00AC0141" w:rsidRDefault="00AC0141" w:rsidP="000C6101">
            <w:pPr>
              <w:jc w:val="both"/>
              <w:rPr>
                <w:rFonts w:ascii="Verdana" w:eastAsia="Calibri" w:hAnsi="Verdana" w:cs="Arial"/>
                <w:sz w:val="20"/>
                <w:szCs w:val="20"/>
              </w:rPr>
            </w:pPr>
          </w:p>
          <w:p w14:paraId="71ED4C5C" w14:textId="77777777" w:rsidR="00AC0141" w:rsidRDefault="00AC0141" w:rsidP="000C6101">
            <w:pPr>
              <w:jc w:val="both"/>
              <w:rPr>
                <w:rFonts w:ascii="Verdana" w:eastAsia="Calibri" w:hAnsi="Verdana" w:cs="Arial"/>
                <w:sz w:val="20"/>
                <w:szCs w:val="20"/>
              </w:rPr>
            </w:pPr>
          </w:p>
          <w:p w14:paraId="4F6854B7" w14:textId="77777777" w:rsidR="00AC0141" w:rsidRPr="000C6101" w:rsidRDefault="00AC0141" w:rsidP="000C6101">
            <w:pPr>
              <w:jc w:val="both"/>
              <w:rPr>
                <w:rFonts w:ascii="Verdana" w:eastAsia="Calibri" w:hAnsi="Verdana" w:cs="Arial"/>
                <w:sz w:val="20"/>
                <w:szCs w:val="20"/>
              </w:rPr>
            </w:pPr>
          </w:p>
        </w:tc>
        <w:tc>
          <w:tcPr>
            <w:tcW w:w="1984" w:type="dxa"/>
          </w:tcPr>
          <w:p w14:paraId="7086D183" w14:textId="2B107C07" w:rsidR="008E44C3" w:rsidRPr="000C6101" w:rsidRDefault="009813BF" w:rsidP="009C7B1B">
            <w:pPr>
              <w:jc w:val="center"/>
              <w:rPr>
                <w:rFonts w:ascii="Verdana" w:eastAsia="Calibri" w:hAnsi="Verdana" w:cs="Arial"/>
                <w:sz w:val="20"/>
                <w:szCs w:val="20"/>
              </w:rPr>
            </w:pPr>
            <w:r>
              <w:rPr>
                <w:rFonts w:ascii="Verdana" w:eastAsia="Calibri" w:hAnsi="Verdana" w:cs="Arial"/>
                <w:sz w:val="20"/>
                <w:szCs w:val="20"/>
              </w:rPr>
              <w:t>DI-2</w:t>
            </w:r>
          </w:p>
        </w:tc>
        <w:tc>
          <w:tcPr>
            <w:tcW w:w="1904" w:type="dxa"/>
          </w:tcPr>
          <w:p w14:paraId="7F20710B" w14:textId="77777777" w:rsidR="008E44C3" w:rsidRPr="000C6101" w:rsidRDefault="008E44C3" w:rsidP="009C7B1B">
            <w:pPr>
              <w:jc w:val="center"/>
              <w:rPr>
                <w:rFonts w:ascii="Verdana" w:eastAsia="Calibri" w:hAnsi="Verdana" w:cs="Arial"/>
                <w:sz w:val="20"/>
                <w:szCs w:val="20"/>
              </w:rPr>
            </w:pPr>
          </w:p>
        </w:tc>
      </w:tr>
    </w:tbl>
    <w:p w14:paraId="5FBF5CDA" w14:textId="77777777" w:rsidR="000C6101" w:rsidRPr="000C6101" w:rsidRDefault="000C6101">
      <w:r w:rsidRPr="000C6101">
        <w:lastRenderedPageBreak/>
        <w:br w:type="page"/>
      </w:r>
    </w:p>
    <w:tbl>
      <w:tblPr>
        <w:tblStyle w:val="Grilledutableau"/>
        <w:tblW w:w="14808" w:type="dxa"/>
        <w:tblInd w:w="-572" w:type="dxa"/>
        <w:tblLook w:val="04A0" w:firstRow="1" w:lastRow="0" w:firstColumn="1" w:lastColumn="0" w:noHBand="0" w:noVBand="1"/>
      </w:tblPr>
      <w:tblGrid>
        <w:gridCol w:w="7230"/>
        <w:gridCol w:w="3690"/>
        <w:gridCol w:w="1984"/>
        <w:gridCol w:w="1904"/>
      </w:tblGrid>
      <w:tr w:rsidR="000C6101" w:rsidRPr="000C6101" w14:paraId="461793B2" w14:textId="77777777" w:rsidTr="5743D992">
        <w:tc>
          <w:tcPr>
            <w:tcW w:w="7230" w:type="dxa"/>
          </w:tcPr>
          <w:p w14:paraId="234B91D7" w14:textId="365115D5" w:rsidR="008E44C3" w:rsidRPr="000C6101" w:rsidRDefault="008E44C3" w:rsidP="008E44C3">
            <w:pPr>
              <w:spacing w:after="120" w:line="276" w:lineRule="auto"/>
              <w:ind w:firstLine="708"/>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lastRenderedPageBreak/>
              <w:t xml:space="preserve">Décision 5. Projet de résilience côtière des populations et des écosystèmes – projet RECOS </w:t>
            </w:r>
          </w:p>
          <w:p w14:paraId="25269F40" w14:textId="77777777" w:rsidR="008E44C3" w:rsidRPr="000C6101" w:rsidRDefault="008E44C3" w:rsidP="008E44C3">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Le Comité des OPL :</w:t>
            </w:r>
          </w:p>
          <w:p w14:paraId="55B8324A" w14:textId="77777777" w:rsidR="008E44C3" w:rsidRPr="000C6101" w:rsidRDefault="008E44C3" w:rsidP="008E44C3">
            <w:pPr>
              <w:numPr>
                <w:ilvl w:val="0"/>
                <w:numId w:val="15"/>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Invite le Secrétariat général de la COI à poursuivre la démarche qui consiste à rechercher constamment une mutualisation des ressources techniques entre le projet RECOS et les autres projets qui interviennent dans le domaine de la résilience côtière dans le respect des décisions précédentes des instances, notamment la décision 11-e) du 37</w:t>
            </w:r>
            <w:r w:rsidRPr="000C6101">
              <w:rPr>
                <w:rFonts w:ascii="Verdana" w:eastAsia="Calibri" w:hAnsi="Verdana" w:cs="Calibri"/>
                <w:kern w:val="0"/>
                <w:sz w:val="20"/>
                <w:szCs w:val="20"/>
                <w:vertAlign w:val="superscript"/>
                <w14:ligatures w14:val="none"/>
              </w:rPr>
              <w:t>e</w:t>
            </w:r>
            <w:r w:rsidRPr="000C6101">
              <w:rPr>
                <w:rFonts w:ascii="Verdana" w:eastAsia="Calibri" w:hAnsi="Verdana" w:cs="Calibri"/>
                <w:kern w:val="0"/>
                <w:sz w:val="20"/>
                <w:szCs w:val="20"/>
                <w14:ligatures w14:val="none"/>
              </w:rPr>
              <w:t xml:space="preserve"> Conseil des ministres</w:t>
            </w:r>
            <w:r w:rsidRPr="000C6101">
              <w:rPr>
                <w:rFonts w:ascii="Verdana" w:eastAsia="Calibri" w:hAnsi="Verdana" w:cs="Calibri"/>
                <w:kern w:val="0"/>
                <w:sz w:val="20"/>
                <w:szCs w:val="20"/>
                <w:vertAlign w:val="superscript"/>
                <w14:ligatures w14:val="none"/>
              </w:rPr>
              <w:footnoteReference w:id="1"/>
            </w:r>
            <w:r w:rsidRPr="000C6101">
              <w:rPr>
                <w:rFonts w:ascii="Verdana" w:eastAsia="Calibri" w:hAnsi="Verdana" w:cs="Calibri"/>
                <w:kern w:val="0"/>
                <w:sz w:val="20"/>
                <w:szCs w:val="20"/>
                <w14:ligatures w14:val="none"/>
              </w:rPr>
              <w:t>.</w:t>
            </w:r>
          </w:p>
          <w:p w14:paraId="166E2B22" w14:textId="77777777" w:rsidR="008E44C3" w:rsidRPr="000C6101" w:rsidRDefault="008E44C3" w:rsidP="008E44C3">
            <w:pPr>
              <w:numPr>
                <w:ilvl w:val="0"/>
                <w:numId w:val="15"/>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Remercie l’Agence française de développement et le Fonds français pour l’environnement mondial de leur financement ainsi que les parties prenantes du projet RECOS pour leur implication significative dans la mise en œuvre du projet.</w:t>
            </w:r>
          </w:p>
          <w:p w14:paraId="5CB6965A" w14:textId="77777777" w:rsidR="008E44C3" w:rsidRPr="000C6101" w:rsidRDefault="008E44C3" w:rsidP="008E44C3">
            <w:pPr>
              <w:rPr>
                <w:rFonts w:ascii="Verdana" w:eastAsia="Calibri" w:hAnsi="Verdana" w:cs="Arial"/>
                <w:sz w:val="20"/>
                <w:szCs w:val="20"/>
              </w:rPr>
            </w:pPr>
          </w:p>
        </w:tc>
        <w:tc>
          <w:tcPr>
            <w:tcW w:w="3690" w:type="dxa"/>
          </w:tcPr>
          <w:p w14:paraId="63B2F593" w14:textId="77777777" w:rsidR="008E44C3" w:rsidRPr="000C6101" w:rsidRDefault="008E44C3" w:rsidP="000C6101">
            <w:pPr>
              <w:jc w:val="both"/>
              <w:rPr>
                <w:rFonts w:ascii="Verdana" w:eastAsia="Calibri" w:hAnsi="Verdana" w:cs="Arial"/>
                <w:sz w:val="20"/>
                <w:szCs w:val="20"/>
              </w:rPr>
            </w:pPr>
          </w:p>
        </w:tc>
        <w:tc>
          <w:tcPr>
            <w:tcW w:w="1984" w:type="dxa"/>
          </w:tcPr>
          <w:p w14:paraId="63840468" w14:textId="77777777" w:rsidR="008E44C3" w:rsidRPr="000C6101" w:rsidRDefault="008E44C3" w:rsidP="009C7B1B">
            <w:pPr>
              <w:jc w:val="center"/>
              <w:rPr>
                <w:rFonts w:ascii="Verdana" w:eastAsia="Calibri" w:hAnsi="Verdana" w:cs="Arial"/>
                <w:sz w:val="20"/>
                <w:szCs w:val="20"/>
              </w:rPr>
            </w:pPr>
          </w:p>
        </w:tc>
        <w:tc>
          <w:tcPr>
            <w:tcW w:w="1904" w:type="dxa"/>
          </w:tcPr>
          <w:p w14:paraId="5AA9FB39" w14:textId="77777777" w:rsidR="008E44C3" w:rsidRPr="000C6101" w:rsidRDefault="008E44C3" w:rsidP="009C7B1B">
            <w:pPr>
              <w:jc w:val="center"/>
              <w:rPr>
                <w:rFonts w:ascii="Verdana" w:eastAsia="Calibri" w:hAnsi="Verdana" w:cs="Arial"/>
                <w:sz w:val="20"/>
                <w:szCs w:val="20"/>
              </w:rPr>
            </w:pPr>
          </w:p>
        </w:tc>
      </w:tr>
      <w:tr w:rsidR="000C6101" w:rsidRPr="000C6101" w14:paraId="2112664D" w14:textId="77777777" w:rsidTr="5743D992">
        <w:tc>
          <w:tcPr>
            <w:tcW w:w="7230" w:type="dxa"/>
          </w:tcPr>
          <w:p w14:paraId="2786DB99" w14:textId="77777777" w:rsidR="00E1470C" w:rsidRPr="000C6101" w:rsidRDefault="00E1470C" w:rsidP="00E1470C">
            <w:pPr>
              <w:spacing w:after="120" w:line="276" w:lineRule="auto"/>
              <w:ind w:firstLine="708"/>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 xml:space="preserve">Décision 6. Gestion et réduction des déchets – projets </w:t>
            </w:r>
            <w:proofErr w:type="spellStart"/>
            <w:r w:rsidRPr="000C6101">
              <w:rPr>
                <w:rFonts w:ascii="Verdana" w:eastAsia="Calibri" w:hAnsi="Verdana" w:cs="Times New Roman"/>
                <w:b/>
                <w:bCs/>
                <w:kern w:val="0"/>
                <w:sz w:val="20"/>
                <w:szCs w:val="20"/>
                <w14:ligatures w14:val="none"/>
              </w:rPr>
              <w:t>ExPLOI</w:t>
            </w:r>
            <w:proofErr w:type="spellEnd"/>
            <w:r w:rsidRPr="000C6101">
              <w:rPr>
                <w:rFonts w:ascii="Verdana" w:eastAsia="Calibri" w:hAnsi="Verdana" w:cs="Times New Roman"/>
                <w:b/>
                <w:bCs/>
                <w:kern w:val="0"/>
                <w:sz w:val="20"/>
                <w:szCs w:val="20"/>
                <w14:ligatures w14:val="none"/>
              </w:rPr>
              <w:t xml:space="preserve"> et TWENex</w:t>
            </w:r>
          </w:p>
          <w:p w14:paraId="7BA33899" w14:textId="77777777" w:rsidR="00E1470C" w:rsidRPr="000C6101" w:rsidRDefault="00E1470C" w:rsidP="00E1470C">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Le Comité des OPL :</w:t>
            </w:r>
          </w:p>
          <w:p w14:paraId="3FBF3261" w14:textId="77777777" w:rsidR="00E1470C" w:rsidRPr="000C6101" w:rsidRDefault="00E1470C" w:rsidP="00E1470C">
            <w:pPr>
              <w:numPr>
                <w:ilvl w:val="0"/>
                <w:numId w:val="16"/>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Prend note de la proposition de tenir le premier Forum de l’innovation prévu du 28 au 29 juin 2024 à Antananarivo et demande au Secrétariat général de veiller à consulter la partie malagasy dans ce cadre et d’en transmettre les termes de référence ;</w:t>
            </w:r>
          </w:p>
          <w:p w14:paraId="24FC8330" w14:textId="693338B3" w:rsidR="00E1470C" w:rsidRPr="000C6101" w:rsidRDefault="00E1470C" w:rsidP="00E1470C">
            <w:pPr>
              <w:numPr>
                <w:ilvl w:val="0"/>
                <w:numId w:val="16"/>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Prend note du déploiement de l’assistance technique et appelle à une accélération de la mise en œuvre des activités du projet </w:t>
            </w:r>
            <w:proofErr w:type="spellStart"/>
            <w:r w:rsidRPr="000C6101">
              <w:rPr>
                <w:rFonts w:ascii="Verdana" w:eastAsia="Calibri" w:hAnsi="Verdana" w:cs="Calibri"/>
                <w:kern w:val="0"/>
                <w:sz w:val="20"/>
                <w:szCs w:val="20"/>
                <w14:ligatures w14:val="none"/>
              </w:rPr>
              <w:t>ExPLOI</w:t>
            </w:r>
            <w:proofErr w:type="spellEnd"/>
            <w:r w:rsidRPr="000C6101">
              <w:rPr>
                <w:rFonts w:ascii="Verdana" w:eastAsia="Calibri" w:hAnsi="Verdana" w:cs="Calibri"/>
                <w:kern w:val="0"/>
                <w:sz w:val="20"/>
                <w:szCs w:val="20"/>
                <w14:ligatures w14:val="none"/>
              </w:rPr>
              <w:t xml:space="preserve">, à la formalisation rapide des conventions de partenariats avec les universités et centres de recherche </w:t>
            </w:r>
            <w:r w:rsidRPr="000C6101">
              <w:rPr>
                <w:rFonts w:ascii="Verdana" w:eastAsia="Calibri" w:hAnsi="Verdana" w:cs="Calibri"/>
                <w:kern w:val="0"/>
                <w:sz w:val="20"/>
                <w:szCs w:val="20"/>
                <w14:ligatures w14:val="none"/>
              </w:rPr>
              <w:lastRenderedPageBreak/>
              <w:t xml:space="preserve">des </w:t>
            </w:r>
            <w:r w:rsidR="000C6101" w:rsidRPr="000C6101">
              <w:rPr>
                <w:rFonts w:ascii="Verdana" w:eastAsia="Calibri" w:hAnsi="Verdana" w:cs="Calibri"/>
                <w:kern w:val="0"/>
                <w:sz w:val="20"/>
                <w:szCs w:val="20"/>
                <w14:ligatures w14:val="none"/>
              </w:rPr>
              <w:t>États</w:t>
            </w:r>
            <w:r w:rsidRPr="000C6101">
              <w:rPr>
                <w:rFonts w:ascii="Verdana" w:eastAsia="Calibri" w:hAnsi="Verdana" w:cs="Calibri"/>
                <w:kern w:val="0"/>
                <w:sz w:val="20"/>
                <w:szCs w:val="20"/>
                <w14:ligatures w14:val="none"/>
              </w:rPr>
              <w:t xml:space="preserve"> membres ainsi qu’au renforcement des synergies entre les différents départements et projets de la COI portant sur la réduction / gestion des déchets et l’économie circulaire ;</w:t>
            </w:r>
          </w:p>
          <w:p w14:paraId="06419B03" w14:textId="77777777" w:rsidR="00E1470C" w:rsidRPr="000C6101" w:rsidRDefault="00E1470C" w:rsidP="00E1470C">
            <w:pPr>
              <w:numPr>
                <w:ilvl w:val="0"/>
                <w:numId w:val="16"/>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Remercie les partenaires financiers, AFD, FFEM, Union européenne et OEACP, pour leur appui dans les domaines de la réduction et gestion des déchets et promotion de l’économie bleue / circulaire.</w:t>
            </w:r>
          </w:p>
          <w:p w14:paraId="7784A32A" w14:textId="77777777" w:rsidR="008E44C3" w:rsidRPr="000C6101" w:rsidRDefault="008E44C3" w:rsidP="008E44C3">
            <w:pPr>
              <w:rPr>
                <w:rFonts w:ascii="Verdana" w:eastAsia="Calibri" w:hAnsi="Verdana" w:cs="Arial"/>
                <w:sz w:val="20"/>
                <w:szCs w:val="20"/>
              </w:rPr>
            </w:pPr>
          </w:p>
        </w:tc>
        <w:tc>
          <w:tcPr>
            <w:tcW w:w="3690" w:type="dxa"/>
          </w:tcPr>
          <w:p w14:paraId="36748502" w14:textId="77777777" w:rsidR="008E44C3" w:rsidRPr="000C6101" w:rsidRDefault="008E44C3" w:rsidP="000C6101">
            <w:pPr>
              <w:jc w:val="both"/>
              <w:rPr>
                <w:rFonts w:ascii="Verdana" w:eastAsia="Calibri" w:hAnsi="Verdana" w:cs="Arial"/>
                <w:sz w:val="20"/>
                <w:szCs w:val="20"/>
              </w:rPr>
            </w:pPr>
          </w:p>
          <w:p w14:paraId="2F1F7638" w14:textId="77777777" w:rsidR="008E44C3" w:rsidRPr="000C6101" w:rsidRDefault="008E44C3" w:rsidP="000C6101">
            <w:pPr>
              <w:jc w:val="both"/>
              <w:rPr>
                <w:rFonts w:ascii="Verdana" w:eastAsia="Calibri" w:hAnsi="Verdana" w:cs="Arial"/>
                <w:sz w:val="20"/>
                <w:szCs w:val="20"/>
              </w:rPr>
            </w:pPr>
          </w:p>
          <w:p w14:paraId="650709AC" w14:textId="77777777" w:rsidR="008E44C3" w:rsidRPr="000C6101" w:rsidRDefault="008E44C3" w:rsidP="000C6101">
            <w:pPr>
              <w:jc w:val="both"/>
              <w:rPr>
                <w:rFonts w:ascii="Verdana" w:eastAsia="Calibri" w:hAnsi="Verdana" w:cs="Arial"/>
                <w:sz w:val="20"/>
                <w:szCs w:val="20"/>
              </w:rPr>
            </w:pPr>
          </w:p>
          <w:p w14:paraId="745935C8" w14:textId="77777777" w:rsidR="008E44C3" w:rsidRPr="000C6101" w:rsidRDefault="008E44C3" w:rsidP="000C6101">
            <w:pPr>
              <w:jc w:val="both"/>
              <w:rPr>
                <w:rFonts w:ascii="Verdana" w:eastAsia="Calibri" w:hAnsi="Verdana" w:cs="Arial"/>
                <w:sz w:val="20"/>
                <w:szCs w:val="20"/>
              </w:rPr>
            </w:pPr>
          </w:p>
          <w:p w14:paraId="1D711E70" w14:textId="0A0D1BF8" w:rsidR="008E44C3" w:rsidRPr="009813BF" w:rsidRDefault="00A70F77" w:rsidP="000C6101">
            <w:pPr>
              <w:pStyle w:val="Paragraphedeliste"/>
              <w:numPr>
                <w:ilvl w:val="0"/>
                <w:numId w:val="28"/>
              </w:numPr>
              <w:ind w:left="466" w:hanging="426"/>
              <w:jc w:val="both"/>
              <w:rPr>
                <w:rFonts w:ascii="Verdana" w:eastAsia="Calibri" w:hAnsi="Verdana" w:cs="Arial"/>
                <w:color w:val="0F4761" w:themeColor="accent1" w:themeShade="BF"/>
                <w:sz w:val="20"/>
                <w:szCs w:val="20"/>
              </w:rPr>
            </w:pPr>
            <w:r w:rsidRPr="009813BF">
              <w:rPr>
                <w:rFonts w:ascii="Verdana" w:eastAsia="Calibri" w:hAnsi="Verdana" w:cs="Arial"/>
                <w:color w:val="0F4761" w:themeColor="accent1" w:themeShade="BF"/>
                <w:sz w:val="20"/>
                <w:szCs w:val="20"/>
              </w:rPr>
              <w:t xml:space="preserve">Des échanges sont en cours entre les acteurs impliqués dans cette activité pour fixer une nouvelle date et lieu du forum innovation du projet TWENex, tout en restant sur la logique de le tenir en novembre 2024 à Madagascar comme annoncé lors de la dernière réunion du </w:t>
            </w:r>
            <w:r w:rsidRPr="009813BF">
              <w:rPr>
                <w:rFonts w:ascii="Verdana" w:eastAsia="Calibri" w:hAnsi="Verdana" w:cs="Arial"/>
                <w:color w:val="0F4761" w:themeColor="accent1" w:themeShade="BF"/>
                <w:sz w:val="20"/>
                <w:szCs w:val="20"/>
              </w:rPr>
              <w:lastRenderedPageBreak/>
              <w:t xml:space="preserve">comité de pilotage. Les TDR sont en </w:t>
            </w:r>
            <w:proofErr w:type="spellStart"/>
            <w:r w:rsidRPr="009813BF">
              <w:rPr>
                <w:rFonts w:ascii="Verdana" w:eastAsia="Calibri" w:hAnsi="Verdana" w:cs="Arial"/>
                <w:color w:val="0F4761" w:themeColor="accent1" w:themeShade="BF"/>
                <w:sz w:val="20"/>
                <w:szCs w:val="20"/>
              </w:rPr>
              <w:t>corus</w:t>
            </w:r>
            <w:proofErr w:type="spellEnd"/>
            <w:r w:rsidRPr="009813BF">
              <w:rPr>
                <w:rFonts w:ascii="Verdana" w:eastAsia="Calibri" w:hAnsi="Verdana" w:cs="Arial"/>
                <w:color w:val="0F4761" w:themeColor="accent1" w:themeShade="BF"/>
                <w:sz w:val="20"/>
                <w:szCs w:val="20"/>
              </w:rPr>
              <w:t xml:space="preserve"> de finalisation à travers le comité scientifique pour soumission à la validation finale.</w:t>
            </w:r>
          </w:p>
          <w:p w14:paraId="56300295" w14:textId="1DDFBE88" w:rsidR="00A70F77" w:rsidRPr="009813BF" w:rsidRDefault="00A70F77" w:rsidP="000C6101">
            <w:pPr>
              <w:pStyle w:val="Paragraphedeliste"/>
              <w:numPr>
                <w:ilvl w:val="0"/>
                <w:numId w:val="28"/>
              </w:numPr>
              <w:ind w:left="466" w:hanging="466"/>
              <w:jc w:val="both"/>
              <w:rPr>
                <w:rFonts w:ascii="Verdana" w:eastAsia="Calibri" w:hAnsi="Verdana" w:cs="Arial"/>
                <w:color w:val="0F4761" w:themeColor="accent1" w:themeShade="BF"/>
                <w:sz w:val="20"/>
                <w:szCs w:val="20"/>
              </w:rPr>
            </w:pPr>
            <w:r w:rsidRPr="009813BF">
              <w:rPr>
                <w:rFonts w:ascii="Verdana" w:eastAsia="Calibri" w:hAnsi="Verdana" w:cs="Arial"/>
                <w:color w:val="0F4761" w:themeColor="accent1" w:themeShade="BF"/>
                <w:sz w:val="20"/>
                <w:szCs w:val="20"/>
              </w:rPr>
              <w:t xml:space="preserve">L’assistance technique du projet </w:t>
            </w:r>
            <w:proofErr w:type="spellStart"/>
            <w:r w:rsidRPr="009813BF">
              <w:rPr>
                <w:rFonts w:ascii="Verdana" w:eastAsia="Calibri" w:hAnsi="Verdana" w:cs="Arial"/>
                <w:color w:val="0F4761" w:themeColor="accent1" w:themeShade="BF"/>
                <w:sz w:val="20"/>
                <w:szCs w:val="20"/>
              </w:rPr>
              <w:t>ExPLOI</w:t>
            </w:r>
            <w:proofErr w:type="spellEnd"/>
            <w:r w:rsidRPr="009813BF">
              <w:rPr>
                <w:rFonts w:ascii="Verdana" w:eastAsia="Calibri" w:hAnsi="Verdana" w:cs="Arial"/>
                <w:color w:val="0F4761" w:themeColor="accent1" w:themeShade="BF"/>
                <w:sz w:val="20"/>
                <w:szCs w:val="20"/>
              </w:rPr>
              <w:t xml:space="preserve"> est installée fin juin. Elle a débuté les réunion</w:t>
            </w:r>
            <w:r w:rsidR="000C6101" w:rsidRPr="009813BF">
              <w:rPr>
                <w:rFonts w:ascii="Verdana" w:eastAsia="Calibri" w:hAnsi="Verdana" w:cs="Arial"/>
                <w:color w:val="0F4761" w:themeColor="accent1" w:themeShade="BF"/>
                <w:sz w:val="20"/>
                <w:szCs w:val="20"/>
              </w:rPr>
              <w:t>s</w:t>
            </w:r>
            <w:r w:rsidRPr="009813BF">
              <w:rPr>
                <w:rFonts w:ascii="Verdana" w:eastAsia="Calibri" w:hAnsi="Verdana" w:cs="Arial"/>
                <w:color w:val="0F4761" w:themeColor="accent1" w:themeShade="BF"/>
                <w:sz w:val="20"/>
                <w:szCs w:val="20"/>
              </w:rPr>
              <w:t xml:space="preserve"> avec les parties prenantes à Maurice et des missions aux autres états membres sont prévues prochainement</w:t>
            </w:r>
            <w:r w:rsidR="000C6101" w:rsidRPr="009813BF">
              <w:rPr>
                <w:rFonts w:ascii="Verdana" w:eastAsia="Calibri" w:hAnsi="Verdana" w:cs="Arial"/>
                <w:color w:val="0F4761" w:themeColor="accent1" w:themeShade="BF"/>
                <w:sz w:val="20"/>
                <w:szCs w:val="20"/>
              </w:rPr>
              <w:t xml:space="preserve"> </w:t>
            </w:r>
            <w:r w:rsidRPr="009813BF">
              <w:rPr>
                <w:rFonts w:ascii="Verdana" w:eastAsia="Calibri" w:hAnsi="Verdana" w:cs="Arial"/>
                <w:color w:val="0F4761" w:themeColor="accent1" w:themeShade="BF"/>
                <w:sz w:val="20"/>
                <w:szCs w:val="20"/>
              </w:rPr>
              <w:t>en commençant par l’Union des Comores en début septembre et les TDRs de la mission sont en cours de validation pour les joindre au courrier d’information à l’endroit des OPL.</w:t>
            </w:r>
          </w:p>
          <w:p w14:paraId="09C056C1" w14:textId="77777777" w:rsidR="008E44C3" w:rsidRPr="000C6101" w:rsidRDefault="008E44C3" w:rsidP="000C6101">
            <w:pPr>
              <w:jc w:val="both"/>
              <w:rPr>
                <w:rFonts w:ascii="Verdana" w:eastAsia="Calibri" w:hAnsi="Verdana" w:cs="Arial"/>
                <w:sz w:val="20"/>
                <w:szCs w:val="20"/>
              </w:rPr>
            </w:pPr>
          </w:p>
        </w:tc>
        <w:tc>
          <w:tcPr>
            <w:tcW w:w="1984" w:type="dxa"/>
          </w:tcPr>
          <w:p w14:paraId="32CCEAB4" w14:textId="77777777" w:rsidR="008E44C3" w:rsidRPr="000C6101" w:rsidRDefault="008E44C3" w:rsidP="009C7B1B">
            <w:pPr>
              <w:jc w:val="center"/>
              <w:rPr>
                <w:rFonts w:ascii="Verdana" w:eastAsia="Calibri" w:hAnsi="Verdana" w:cs="Arial"/>
                <w:sz w:val="20"/>
                <w:szCs w:val="20"/>
              </w:rPr>
            </w:pPr>
          </w:p>
        </w:tc>
        <w:tc>
          <w:tcPr>
            <w:tcW w:w="1904" w:type="dxa"/>
          </w:tcPr>
          <w:p w14:paraId="7A54C4E4" w14:textId="77777777" w:rsidR="008E44C3" w:rsidRPr="000C6101" w:rsidRDefault="008E44C3" w:rsidP="009C7B1B">
            <w:pPr>
              <w:jc w:val="center"/>
              <w:rPr>
                <w:rFonts w:ascii="Verdana" w:eastAsia="Calibri" w:hAnsi="Verdana" w:cs="Arial"/>
                <w:sz w:val="20"/>
                <w:szCs w:val="20"/>
              </w:rPr>
            </w:pPr>
          </w:p>
        </w:tc>
      </w:tr>
      <w:tr w:rsidR="000C6101" w:rsidRPr="000C6101" w14:paraId="4A1316BD" w14:textId="77777777" w:rsidTr="5743D992">
        <w:tc>
          <w:tcPr>
            <w:tcW w:w="7230" w:type="dxa"/>
          </w:tcPr>
          <w:p w14:paraId="44818F76" w14:textId="77777777" w:rsidR="009749CC" w:rsidRPr="000C6101" w:rsidRDefault="009749CC" w:rsidP="009749CC">
            <w:pPr>
              <w:spacing w:after="120" w:line="276" w:lineRule="auto"/>
              <w:jc w:val="center"/>
              <w:rPr>
                <w:rFonts w:ascii="Verdana" w:hAnsi="Verdana"/>
                <w:b/>
                <w:bCs/>
                <w:sz w:val="20"/>
                <w:szCs w:val="20"/>
              </w:rPr>
            </w:pPr>
            <w:r w:rsidRPr="000C6101">
              <w:rPr>
                <w:rFonts w:ascii="Verdana" w:hAnsi="Verdana"/>
                <w:b/>
                <w:bCs/>
                <w:sz w:val="20"/>
                <w:szCs w:val="20"/>
              </w:rPr>
              <w:t xml:space="preserve">Décision 7. Architecture régionale de sécurité maritime </w:t>
            </w:r>
          </w:p>
          <w:p w14:paraId="396989A5" w14:textId="77777777" w:rsidR="009749CC" w:rsidRPr="000C6101" w:rsidRDefault="009749CC" w:rsidP="009749CC">
            <w:pPr>
              <w:pStyle w:val="Paragraphe"/>
              <w:spacing w:after="120"/>
            </w:pPr>
            <w:r w:rsidRPr="000C6101">
              <w:t>Prenant en compte la clôture du programme MASE et conformément aux précédentes décisions des instances appelant à une continuité sans interruption des opérations des Centres régionaux de fusion d’informations maritimes (CRFIM) et de coordination des opérations (CRCO) qui sont au cœur de l’Architecture régionale de sécurité maritime (ARSM), le Comité des OPL :</w:t>
            </w:r>
          </w:p>
          <w:p w14:paraId="20D24860" w14:textId="497B4F77" w:rsidR="009749CC" w:rsidRPr="000C6101" w:rsidRDefault="009749CC" w:rsidP="009749CC">
            <w:pPr>
              <w:pStyle w:val="Paragraphe"/>
              <w:numPr>
                <w:ilvl w:val="0"/>
                <w:numId w:val="2"/>
              </w:numPr>
              <w:spacing w:after="120"/>
            </w:pPr>
            <w:r w:rsidRPr="000C6101">
              <w:t xml:space="preserve">Demande au Secrétariat général d’approcher l’Union européenne en vue d’obtenir, dans les meilleurs délais, l’accord de subvention de la composante 3 du programme </w:t>
            </w:r>
            <w:r w:rsidRPr="000C6101">
              <w:rPr>
                <w:i/>
                <w:iCs/>
              </w:rPr>
              <w:t xml:space="preserve">Safe </w:t>
            </w:r>
            <w:proofErr w:type="spellStart"/>
            <w:r w:rsidRPr="000C6101">
              <w:rPr>
                <w:i/>
                <w:iCs/>
              </w:rPr>
              <w:t>Seas</w:t>
            </w:r>
            <w:proofErr w:type="spellEnd"/>
            <w:r w:rsidRPr="000C6101">
              <w:rPr>
                <w:i/>
                <w:iCs/>
              </w:rPr>
              <w:t xml:space="preserve"> </w:t>
            </w:r>
            <w:proofErr w:type="spellStart"/>
            <w:r w:rsidRPr="000C6101">
              <w:rPr>
                <w:i/>
                <w:iCs/>
              </w:rPr>
              <w:t>Africa</w:t>
            </w:r>
            <w:proofErr w:type="spellEnd"/>
            <w:r w:rsidRPr="000C6101">
              <w:t xml:space="preserve"> et de transmettre aux </w:t>
            </w:r>
            <w:r w:rsidR="000C6101" w:rsidRPr="000C6101">
              <w:t>États</w:t>
            </w:r>
            <w:r w:rsidRPr="000C6101">
              <w:t xml:space="preserve"> membres une copie dès réception, pour son approbation dans un délai d’une </w:t>
            </w:r>
            <w:r w:rsidRPr="000C6101">
              <w:lastRenderedPageBreak/>
              <w:t>semaine en vue de sa signature.</w:t>
            </w:r>
          </w:p>
          <w:p w14:paraId="3E2F3EA7" w14:textId="77777777" w:rsidR="009749CC" w:rsidRPr="000C6101" w:rsidRDefault="009749CC" w:rsidP="009749CC">
            <w:pPr>
              <w:pStyle w:val="Paragraphe"/>
              <w:numPr>
                <w:ilvl w:val="0"/>
                <w:numId w:val="2"/>
              </w:numPr>
              <w:spacing w:after="120"/>
            </w:pPr>
            <w:r w:rsidRPr="000C6101">
              <w:t xml:space="preserve">Et propose au Conseil des ministres de : </w:t>
            </w:r>
          </w:p>
          <w:p w14:paraId="358353DA" w14:textId="77777777" w:rsidR="009749CC" w:rsidRPr="000C6101" w:rsidRDefault="009749CC" w:rsidP="009749CC">
            <w:pPr>
              <w:pStyle w:val="Paragraphe"/>
              <w:numPr>
                <w:ilvl w:val="2"/>
                <w:numId w:val="2"/>
              </w:numPr>
              <w:spacing w:after="120"/>
              <w:ind w:left="993"/>
            </w:pPr>
            <w:r w:rsidRPr="000C6101">
              <w:t xml:space="preserve">Féliciter le Secrétariat général pour avoir anticipé la fin du programme MASE et saisi l’opportunité de l’instruction du programme </w:t>
            </w:r>
            <w:r w:rsidRPr="000C6101">
              <w:rPr>
                <w:i/>
                <w:iCs/>
              </w:rPr>
              <w:t xml:space="preserve">Safe </w:t>
            </w:r>
            <w:proofErr w:type="spellStart"/>
            <w:r w:rsidRPr="000C6101">
              <w:rPr>
                <w:i/>
                <w:iCs/>
              </w:rPr>
              <w:t>Seas</w:t>
            </w:r>
            <w:proofErr w:type="spellEnd"/>
            <w:r w:rsidRPr="000C6101">
              <w:rPr>
                <w:i/>
                <w:iCs/>
              </w:rPr>
              <w:t xml:space="preserve"> </w:t>
            </w:r>
            <w:proofErr w:type="spellStart"/>
            <w:r w:rsidRPr="000C6101">
              <w:rPr>
                <w:i/>
                <w:iCs/>
              </w:rPr>
              <w:t>Africa</w:t>
            </w:r>
            <w:proofErr w:type="spellEnd"/>
            <w:r w:rsidRPr="000C6101">
              <w:t xml:space="preserve"> sur financement de l’Union européenne pour assurer une suite sans interruption de l’ARSM comme demandé par le 36</w:t>
            </w:r>
            <w:r w:rsidRPr="000C6101">
              <w:rPr>
                <w:vertAlign w:val="superscript"/>
              </w:rPr>
              <w:t>e</w:t>
            </w:r>
            <w:r w:rsidRPr="000C6101">
              <w:t xml:space="preserve"> Conseil des ministres ;</w:t>
            </w:r>
          </w:p>
          <w:p w14:paraId="0A349B1B" w14:textId="307B30E4" w:rsidR="009749CC" w:rsidRPr="000C6101" w:rsidRDefault="009749CC" w:rsidP="009749CC">
            <w:pPr>
              <w:pStyle w:val="Paragraphe"/>
              <w:numPr>
                <w:ilvl w:val="2"/>
                <w:numId w:val="2"/>
              </w:numPr>
              <w:spacing w:after="120"/>
              <w:ind w:left="993"/>
            </w:pPr>
            <w:r w:rsidRPr="000C6101">
              <w:t xml:space="preserve">Prendre bonne note de l’élaboration, par le Secrétariat général, d’un plan de promotion et de pérennisation de l’ARSM et de sa mise en œuvre par les </w:t>
            </w:r>
            <w:r w:rsidR="000C6101" w:rsidRPr="000C6101">
              <w:t>États</w:t>
            </w:r>
            <w:r w:rsidRPr="000C6101">
              <w:t xml:space="preserve"> parties, ainsi que les pays hôtes des deux Centres.</w:t>
            </w:r>
          </w:p>
          <w:p w14:paraId="1F2F042C" w14:textId="77777777" w:rsidR="009749CC" w:rsidRPr="000C6101" w:rsidRDefault="009749CC" w:rsidP="009749CC">
            <w:pPr>
              <w:pStyle w:val="Paragraphe"/>
              <w:numPr>
                <w:ilvl w:val="2"/>
                <w:numId w:val="2"/>
              </w:numPr>
              <w:spacing w:after="120"/>
              <w:ind w:left="993"/>
            </w:pPr>
            <w:r w:rsidRPr="000C6101">
              <w:t xml:space="preserve">Féliciter la République de Maurice pour l’organisation de la conférence ministérielle sur la drogue avec l’appui de la COI et de faire appel aux partenaires et observateurs pour contribuer à la mise en œuvre effective des recommandations de la Déclaration finale. </w:t>
            </w:r>
          </w:p>
          <w:p w14:paraId="69BFC9A6" w14:textId="488B7AD6" w:rsidR="009749CC" w:rsidRPr="000C6101" w:rsidRDefault="009749CC" w:rsidP="009749CC">
            <w:pPr>
              <w:pStyle w:val="Paragraphe"/>
              <w:numPr>
                <w:ilvl w:val="2"/>
                <w:numId w:val="2"/>
              </w:numPr>
              <w:spacing w:after="120"/>
              <w:ind w:left="993"/>
            </w:pPr>
            <w:r w:rsidRPr="000C6101">
              <w:t xml:space="preserve">Prendre note de l’organisation d’une Conférence ministérielle en vue de l’adoption d’une politique régionale sur la sécurité portuaire et la sûreté de la navigation et demander au Secrétariat général d’entamer les consultations avec les </w:t>
            </w:r>
            <w:r w:rsidR="000C6101" w:rsidRPr="000C6101">
              <w:t>États</w:t>
            </w:r>
            <w:r w:rsidRPr="000C6101">
              <w:t xml:space="preserve"> participants au programme régional PSP pour son accueil.</w:t>
            </w:r>
          </w:p>
          <w:p w14:paraId="7DA7D1F3" w14:textId="77777777" w:rsidR="009749CC" w:rsidRPr="000C6101" w:rsidRDefault="009749CC" w:rsidP="009749CC">
            <w:pPr>
              <w:pStyle w:val="Paragraphe"/>
              <w:numPr>
                <w:ilvl w:val="2"/>
                <w:numId w:val="2"/>
              </w:numPr>
              <w:spacing w:after="120"/>
              <w:ind w:left="993"/>
            </w:pPr>
            <w:r w:rsidRPr="000C6101">
              <w:t>Féliciter le Secrétariat général pour son rôle important dans la réactivation des travaux du Groupe de contact contre les activités illicites en mer.</w:t>
            </w:r>
          </w:p>
          <w:p w14:paraId="2A2E3FA7" w14:textId="77777777" w:rsidR="009749CC" w:rsidRPr="000C6101" w:rsidRDefault="009749CC" w:rsidP="009749CC">
            <w:pPr>
              <w:pStyle w:val="Paragraphe"/>
              <w:numPr>
                <w:ilvl w:val="2"/>
                <w:numId w:val="2"/>
              </w:numPr>
              <w:spacing w:after="120"/>
              <w:ind w:left="993"/>
            </w:pPr>
            <w:r w:rsidRPr="000C6101">
              <w:t>Mandater le Secrétariat général à soutenir la République de Maurice dans l’organisation des prochaines conférences ministérielles sur la sécurité et la sûreté en mer.</w:t>
            </w:r>
          </w:p>
          <w:p w14:paraId="4B4CC48E" w14:textId="77777777" w:rsidR="009749CC" w:rsidRPr="000C6101" w:rsidRDefault="009749CC" w:rsidP="009749CC">
            <w:pPr>
              <w:pStyle w:val="Paragraphe"/>
              <w:numPr>
                <w:ilvl w:val="2"/>
                <w:numId w:val="2"/>
              </w:numPr>
              <w:spacing w:after="120"/>
              <w:ind w:left="993"/>
            </w:pPr>
            <w:r w:rsidRPr="000C6101">
              <w:t xml:space="preserve">Mandater le Secrétariat général à appuyer l’organisation (i) d’un forum des garde-côtes en cohérence avec l’Architecture régionale de sécurité maritime et les </w:t>
            </w:r>
            <w:r w:rsidRPr="000C6101">
              <w:lastRenderedPageBreak/>
              <w:t>initiatives régionales existantes ainsi que (ii) du prochain exercice de terrain (</w:t>
            </w:r>
            <w:r w:rsidRPr="000C6101">
              <w:rPr>
                <w:i/>
                <w:iCs/>
              </w:rPr>
              <w:t xml:space="preserve">Field Training </w:t>
            </w:r>
            <w:proofErr w:type="spellStart"/>
            <w:r w:rsidRPr="000C6101">
              <w:rPr>
                <w:i/>
                <w:iCs/>
              </w:rPr>
              <w:t>Exercise</w:t>
            </w:r>
            <w:proofErr w:type="spellEnd"/>
            <w:r w:rsidRPr="000C6101">
              <w:t xml:space="preserve">). </w:t>
            </w:r>
          </w:p>
          <w:p w14:paraId="5B1D6216" w14:textId="77777777" w:rsidR="009749CC" w:rsidRPr="000C6101" w:rsidRDefault="009749CC" w:rsidP="009749CC">
            <w:pPr>
              <w:pStyle w:val="Paragraphe"/>
              <w:numPr>
                <w:ilvl w:val="2"/>
                <w:numId w:val="2"/>
              </w:numPr>
              <w:spacing w:after="120"/>
              <w:ind w:left="993"/>
            </w:pPr>
            <w:r w:rsidRPr="000C6101">
              <w:t>Solliciter le Secrétariat général à poursuivre son plaidoyer auprès des observateurs et partenaires de développement de la COI pour soutenir l’architecture régionale de sécurité maritime.</w:t>
            </w:r>
          </w:p>
          <w:p w14:paraId="6AA46FB9" w14:textId="77777777" w:rsidR="008E44C3" w:rsidRPr="000C6101" w:rsidRDefault="008E44C3" w:rsidP="008E44C3">
            <w:pPr>
              <w:ind w:left="720"/>
              <w:contextualSpacing/>
              <w:rPr>
                <w:rFonts w:ascii="Verdana" w:eastAsia="Calibri" w:hAnsi="Verdana" w:cs="Arial"/>
                <w:kern w:val="0"/>
                <w:sz w:val="20"/>
                <w:szCs w:val="20"/>
                <w14:ligatures w14:val="none"/>
              </w:rPr>
            </w:pPr>
          </w:p>
        </w:tc>
        <w:tc>
          <w:tcPr>
            <w:tcW w:w="3690" w:type="dxa"/>
          </w:tcPr>
          <w:p w14:paraId="415EFC86" w14:textId="77777777" w:rsidR="008E44C3" w:rsidRPr="000C6101" w:rsidRDefault="008E44C3" w:rsidP="000C6101">
            <w:pPr>
              <w:jc w:val="both"/>
              <w:rPr>
                <w:rFonts w:ascii="Verdana" w:eastAsia="Calibri" w:hAnsi="Verdana" w:cs="Arial"/>
                <w:sz w:val="20"/>
                <w:szCs w:val="20"/>
              </w:rPr>
            </w:pPr>
          </w:p>
        </w:tc>
        <w:tc>
          <w:tcPr>
            <w:tcW w:w="1984" w:type="dxa"/>
          </w:tcPr>
          <w:p w14:paraId="740A853B" w14:textId="77777777" w:rsidR="008E44C3" w:rsidRPr="000C6101" w:rsidRDefault="008E44C3" w:rsidP="009C7B1B">
            <w:pPr>
              <w:jc w:val="center"/>
              <w:rPr>
                <w:rFonts w:ascii="Verdana" w:eastAsia="Calibri" w:hAnsi="Verdana" w:cs="Arial"/>
                <w:sz w:val="20"/>
                <w:szCs w:val="20"/>
              </w:rPr>
            </w:pPr>
          </w:p>
        </w:tc>
        <w:tc>
          <w:tcPr>
            <w:tcW w:w="1904" w:type="dxa"/>
          </w:tcPr>
          <w:p w14:paraId="52A61F7E" w14:textId="77777777" w:rsidR="008E44C3" w:rsidRPr="000C6101" w:rsidRDefault="008E44C3" w:rsidP="009C7B1B">
            <w:pPr>
              <w:jc w:val="center"/>
              <w:rPr>
                <w:rFonts w:ascii="Verdana" w:eastAsia="Calibri" w:hAnsi="Verdana" w:cs="Arial"/>
                <w:sz w:val="20"/>
                <w:szCs w:val="20"/>
              </w:rPr>
            </w:pPr>
          </w:p>
        </w:tc>
      </w:tr>
      <w:tr w:rsidR="000C6101" w:rsidRPr="000C6101" w14:paraId="15924E4A" w14:textId="77777777" w:rsidTr="5743D992">
        <w:tc>
          <w:tcPr>
            <w:tcW w:w="7230" w:type="dxa"/>
          </w:tcPr>
          <w:p w14:paraId="07BFB810" w14:textId="4A13A33C" w:rsidR="00E449C5" w:rsidRPr="000C6101" w:rsidRDefault="00E449C5" w:rsidP="00E449C5">
            <w:pPr>
              <w:spacing w:after="120" w:line="276" w:lineRule="auto"/>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lastRenderedPageBreak/>
              <w:t xml:space="preserve">Décision 8. </w:t>
            </w:r>
            <w:r w:rsidR="000C6101" w:rsidRPr="000C6101">
              <w:rPr>
                <w:rFonts w:ascii="Verdana" w:eastAsia="Calibri" w:hAnsi="Verdana" w:cs="Times New Roman"/>
                <w:b/>
                <w:bCs/>
                <w:kern w:val="0"/>
                <w:sz w:val="20"/>
                <w:szCs w:val="20"/>
                <w14:ligatures w14:val="none"/>
              </w:rPr>
              <w:t>États</w:t>
            </w:r>
            <w:r w:rsidRPr="000C6101">
              <w:rPr>
                <w:rFonts w:ascii="Verdana" w:eastAsia="Calibri" w:hAnsi="Verdana" w:cs="Times New Roman"/>
                <w:b/>
                <w:bCs/>
                <w:kern w:val="0"/>
                <w:sz w:val="20"/>
                <w:szCs w:val="20"/>
                <w14:ligatures w14:val="none"/>
              </w:rPr>
              <w:t xml:space="preserve"> insulaires en développement – 4</w:t>
            </w:r>
            <w:r w:rsidRPr="000C6101">
              <w:rPr>
                <w:rFonts w:ascii="Verdana" w:eastAsia="Calibri" w:hAnsi="Verdana" w:cs="Times New Roman"/>
                <w:b/>
                <w:bCs/>
                <w:kern w:val="0"/>
                <w:sz w:val="20"/>
                <w:szCs w:val="20"/>
                <w:vertAlign w:val="superscript"/>
                <w14:ligatures w14:val="none"/>
              </w:rPr>
              <w:t>e</w:t>
            </w:r>
            <w:r w:rsidRPr="000C6101">
              <w:rPr>
                <w:rFonts w:ascii="Verdana" w:eastAsia="Calibri" w:hAnsi="Verdana" w:cs="Times New Roman"/>
                <w:b/>
                <w:bCs/>
                <w:kern w:val="0"/>
                <w:sz w:val="20"/>
                <w:szCs w:val="20"/>
                <w14:ligatures w14:val="none"/>
              </w:rPr>
              <w:t xml:space="preserve"> Conférence des Nations unies sur les Petits </w:t>
            </w:r>
            <w:r w:rsidR="000C6101" w:rsidRPr="000C6101">
              <w:rPr>
                <w:rFonts w:ascii="Verdana" w:eastAsia="Calibri" w:hAnsi="Verdana" w:cs="Times New Roman"/>
                <w:b/>
                <w:bCs/>
                <w:kern w:val="0"/>
                <w:sz w:val="20"/>
                <w:szCs w:val="20"/>
                <w14:ligatures w14:val="none"/>
              </w:rPr>
              <w:t>États</w:t>
            </w:r>
            <w:r w:rsidRPr="000C6101">
              <w:rPr>
                <w:rFonts w:ascii="Verdana" w:eastAsia="Calibri" w:hAnsi="Verdana" w:cs="Times New Roman"/>
                <w:b/>
                <w:bCs/>
                <w:kern w:val="0"/>
                <w:sz w:val="20"/>
                <w:szCs w:val="20"/>
                <w14:ligatures w14:val="none"/>
              </w:rPr>
              <w:t xml:space="preserve"> insulaires en développement</w:t>
            </w:r>
          </w:p>
          <w:p w14:paraId="6104F51C" w14:textId="77777777" w:rsidR="00E449C5" w:rsidRPr="000C6101" w:rsidRDefault="00E449C5" w:rsidP="00E449C5">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Le Comité des OPL :</w:t>
            </w:r>
          </w:p>
          <w:p w14:paraId="163C0EF6" w14:textId="0F794515" w:rsidR="00E449C5" w:rsidRPr="000C6101" w:rsidRDefault="00E449C5" w:rsidP="00E449C5">
            <w:pPr>
              <w:numPr>
                <w:ilvl w:val="0"/>
                <w:numId w:val="17"/>
              </w:numPr>
              <w:spacing w:after="120"/>
              <w:jc w:val="both"/>
              <w:rPr>
                <w:rFonts w:ascii="Verdana" w:eastAsia="Calibri" w:hAnsi="Verdana" w:cs="Times New Roman"/>
                <w:i/>
                <w:iCs/>
                <w:kern w:val="0"/>
                <w:sz w:val="20"/>
                <w:szCs w:val="20"/>
                <w14:ligatures w14:val="none"/>
              </w:rPr>
            </w:pPr>
            <w:r w:rsidRPr="000C6101">
              <w:rPr>
                <w:rFonts w:ascii="Verdana" w:eastAsia="Calibri" w:hAnsi="Verdana" w:cs="Times New Roman"/>
                <w:kern w:val="0"/>
                <w:sz w:val="20"/>
                <w:szCs w:val="20"/>
                <w14:ligatures w14:val="none"/>
              </w:rPr>
              <w:t>Prend note des informations fournies et encourage le Secrétariat général à participer à la 4</w:t>
            </w:r>
            <w:r w:rsidRPr="000C6101">
              <w:rPr>
                <w:rFonts w:ascii="Verdana" w:eastAsia="Calibri" w:hAnsi="Verdana" w:cs="Times New Roman"/>
                <w:kern w:val="0"/>
                <w:sz w:val="20"/>
                <w:szCs w:val="20"/>
                <w:vertAlign w:val="superscript"/>
                <w14:ligatures w14:val="none"/>
              </w:rPr>
              <w:t>ème</w:t>
            </w:r>
            <w:r w:rsidRPr="000C6101">
              <w:rPr>
                <w:rFonts w:ascii="Verdana" w:eastAsia="Calibri" w:hAnsi="Verdana" w:cs="Times New Roman"/>
                <w:kern w:val="0"/>
                <w:sz w:val="20"/>
                <w:szCs w:val="20"/>
                <w14:ligatures w14:val="none"/>
              </w:rPr>
              <w:t xml:space="preserve"> Conférence internationale sur les petits </w:t>
            </w:r>
            <w:r w:rsidR="000C6101" w:rsidRPr="000C6101">
              <w:rPr>
                <w:rFonts w:ascii="Verdana" w:eastAsia="Calibri" w:hAnsi="Verdana" w:cs="Times New Roman"/>
                <w:kern w:val="0"/>
                <w:sz w:val="20"/>
                <w:szCs w:val="20"/>
                <w14:ligatures w14:val="none"/>
              </w:rPr>
              <w:t>États</w:t>
            </w:r>
            <w:r w:rsidRPr="000C6101">
              <w:rPr>
                <w:rFonts w:ascii="Verdana" w:eastAsia="Calibri" w:hAnsi="Verdana" w:cs="Times New Roman"/>
                <w:kern w:val="0"/>
                <w:sz w:val="20"/>
                <w:szCs w:val="20"/>
                <w14:ligatures w14:val="none"/>
              </w:rPr>
              <w:t xml:space="preserve"> insulaires en développement (PEID) prévue du 27 au 30 mai à Antigua et Barbuda et à y tenir les évènements parallèles annoncés puis en rendre compte aux </w:t>
            </w:r>
            <w:r w:rsidR="000C6101" w:rsidRPr="000C6101">
              <w:rPr>
                <w:rFonts w:ascii="Verdana" w:eastAsia="Calibri" w:hAnsi="Verdana" w:cs="Times New Roman"/>
                <w:kern w:val="0"/>
                <w:sz w:val="20"/>
                <w:szCs w:val="20"/>
                <w14:ligatures w14:val="none"/>
              </w:rPr>
              <w:t>États</w:t>
            </w:r>
            <w:r w:rsidRPr="000C6101">
              <w:rPr>
                <w:rFonts w:ascii="Verdana" w:eastAsia="Calibri" w:hAnsi="Verdana" w:cs="Times New Roman"/>
                <w:kern w:val="0"/>
                <w:sz w:val="20"/>
                <w:szCs w:val="20"/>
                <w14:ligatures w14:val="none"/>
              </w:rPr>
              <w:t xml:space="preserve"> membres ;   </w:t>
            </w:r>
          </w:p>
          <w:p w14:paraId="1916BA67" w14:textId="77777777" w:rsidR="00E449C5" w:rsidRPr="000C6101" w:rsidRDefault="00E449C5" w:rsidP="00E449C5">
            <w:pPr>
              <w:numPr>
                <w:ilvl w:val="0"/>
                <w:numId w:val="17"/>
              </w:numPr>
              <w:spacing w:after="120"/>
              <w:jc w:val="both"/>
              <w:rPr>
                <w:rFonts w:ascii="Verdana" w:eastAsia="Calibri" w:hAnsi="Verdana" w:cs="Times New Roman"/>
                <w:i/>
                <w:iCs/>
                <w:kern w:val="0"/>
                <w:sz w:val="20"/>
                <w:szCs w:val="20"/>
                <w14:ligatures w14:val="none"/>
              </w:rPr>
            </w:pPr>
            <w:r w:rsidRPr="000C6101">
              <w:rPr>
                <w:rFonts w:ascii="Verdana" w:eastAsia="Calibri" w:hAnsi="Verdana" w:cs="Times New Roman"/>
                <w:kern w:val="0"/>
                <w:sz w:val="20"/>
                <w:szCs w:val="20"/>
                <w14:ligatures w14:val="none"/>
              </w:rPr>
              <w:t xml:space="preserve">Propose au Conseil des ministres : </w:t>
            </w:r>
          </w:p>
          <w:p w14:paraId="17F9BC64" w14:textId="77777777" w:rsidR="00E449C5" w:rsidRPr="000C6101" w:rsidRDefault="00E449C5" w:rsidP="00E449C5">
            <w:pPr>
              <w:numPr>
                <w:ilvl w:val="2"/>
                <w:numId w:val="17"/>
              </w:numPr>
              <w:spacing w:after="120"/>
              <w:ind w:left="1032" w:hanging="141"/>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 xml:space="preserve">De réitérer le soutien de la démarche de Madagascar auprès du groupe Atlantique – océan Indien – Mer de Chine méridionale (AIS – </w:t>
            </w:r>
            <w:r w:rsidRPr="000C6101">
              <w:rPr>
                <w:rFonts w:ascii="Verdana" w:eastAsia="Calibri" w:hAnsi="Verdana" w:cs="Times New Roman"/>
                <w:i/>
                <w:iCs/>
                <w:kern w:val="0"/>
                <w:sz w:val="20"/>
                <w:szCs w:val="20"/>
                <w14:ligatures w14:val="none"/>
              </w:rPr>
              <w:t xml:space="preserve">Atlantic, </w:t>
            </w:r>
            <w:proofErr w:type="spellStart"/>
            <w:r w:rsidRPr="000C6101">
              <w:rPr>
                <w:rFonts w:ascii="Verdana" w:eastAsia="Calibri" w:hAnsi="Verdana" w:cs="Times New Roman"/>
                <w:i/>
                <w:iCs/>
                <w:kern w:val="0"/>
                <w:sz w:val="20"/>
                <w:szCs w:val="20"/>
                <w14:ligatures w14:val="none"/>
              </w:rPr>
              <w:t>Indian</w:t>
            </w:r>
            <w:proofErr w:type="spellEnd"/>
            <w:r w:rsidRPr="000C6101">
              <w:rPr>
                <w:rFonts w:ascii="Verdana" w:eastAsia="Calibri" w:hAnsi="Verdana" w:cs="Times New Roman"/>
                <w:i/>
                <w:iCs/>
                <w:kern w:val="0"/>
                <w:sz w:val="20"/>
                <w:szCs w:val="20"/>
                <w14:ligatures w14:val="none"/>
              </w:rPr>
              <w:t xml:space="preserve"> </w:t>
            </w:r>
            <w:proofErr w:type="spellStart"/>
            <w:r w:rsidRPr="000C6101">
              <w:rPr>
                <w:rFonts w:ascii="Verdana" w:eastAsia="Calibri" w:hAnsi="Verdana" w:cs="Times New Roman"/>
                <w:i/>
                <w:iCs/>
                <w:kern w:val="0"/>
                <w:sz w:val="20"/>
                <w:szCs w:val="20"/>
                <w14:ligatures w14:val="none"/>
              </w:rPr>
              <w:t>Ocean</w:t>
            </w:r>
            <w:proofErr w:type="spellEnd"/>
            <w:r w:rsidRPr="000C6101">
              <w:rPr>
                <w:rFonts w:ascii="Verdana" w:eastAsia="Calibri" w:hAnsi="Verdana" w:cs="Times New Roman"/>
                <w:i/>
                <w:iCs/>
                <w:kern w:val="0"/>
                <w:sz w:val="20"/>
                <w:szCs w:val="20"/>
                <w14:ligatures w14:val="none"/>
              </w:rPr>
              <w:t xml:space="preserve"> &amp; South China </w:t>
            </w:r>
            <w:proofErr w:type="spellStart"/>
            <w:r w:rsidRPr="000C6101">
              <w:rPr>
                <w:rFonts w:ascii="Verdana" w:eastAsia="Calibri" w:hAnsi="Verdana" w:cs="Times New Roman"/>
                <w:i/>
                <w:iCs/>
                <w:kern w:val="0"/>
                <w:sz w:val="20"/>
                <w:szCs w:val="20"/>
                <w14:ligatures w14:val="none"/>
              </w:rPr>
              <w:t>Sea</w:t>
            </w:r>
            <w:proofErr w:type="spellEnd"/>
            <w:r w:rsidRPr="000C6101">
              <w:rPr>
                <w:rFonts w:ascii="Verdana" w:eastAsia="Calibri" w:hAnsi="Verdana" w:cs="Times New Roman"/>
                <w:kern w:val="0"/>
                <w:sz w:val="20"/>
                <w:szCs w:val="20"/>
                <w14:ligatures w14:val="none"/>
              </w:rPr>
              <w:t>) pour être reconnue comme un PEID, en application de la décision 9(f) de la 37</w:t>
            </w:r>
            <w:r w:rsidRPr="000C6101">
              <w:rPr>
                <w:rFonts w:ascii="Verdana" w:eastAsia="Calibri" w:hAnsi="Verdana" w:cs="Times New Roman"/>
                <w:kern w:val="0"/>
                <w:sz w:val="20"/>
                <w:szCs w:val="20"/>
                <w:vertAlign w:val="superscript"/>
                <w14:ligatures w14:val="none"/>
              </w:rPr>
              <w:t>ème</w:t>
            </w:r>
            <w:r w:rsidRPr="000C6101">
              <w:rPr>
                <w:rFonts w:ascii="Verdana" w:eastAsia="Calibri" w:hAnsi="Verdana" w:cs="Times New Roman"/>
                <w:kern w:val="0"/>
                <w:sz w:val="20"/>
                <w:szCs w:val="20"/>
                <w14:ligatures w14:val="none"/>
              </w:rPr>
              <w:t xml:space="preserve"> session du Conseil des ministres</w:t>
            </w:r>
            <w:r w:rsidRPr="000C6101">
              <w:rPr>
                <w:rFonts w:ascii="Verdana" w:eastAsia="Calibri" w:hAnsi="Verdana" w:cs="Times New Roman"/>
                <w:kern w:val="0"/>
                <w:sz w:val="20"/>
                <w:szCs w:val="20"/>
                <w:vertAlign w:val="superscript"/>
                <w14:ligatures w14:val="none"/>
              </w:rPr>
              <w:footnoteReference w:id="2"/>
            </w:r>
            <w:r w:rsidRPr="000C6101">
              <w:rPr>
                <w:rFonts w:ascii="Verdana" w:eastAsia="Calibri" w:hAnsi="Verdana" w:cs="Times New Roman"/>
                <w:kern w:val="0"/>
                <w:sz w:val="20"/>
                <w:szCs w:val="20"/>
                <w14:ligatures w14:val="none"/>
              </w:rPr>
              <w:t xml:space="preserve"> du 17 mai 2023 à Antananarivo ; </w:t>
            </w:r>
          </w:p>
          <w:p w14:paraId="62BCF9EE" w14:textId="74A0CEED" w:rsidR="00E449C5" w:rsidRPr="000C6101" w:rsidRDefault="00E449C5" w:rsidP="00E449C5">
            <w:pPr>
              <w:numPr>
                <w:ilvl w:val="2"/>
                <w:numId w:val="17"/>
              </w:numPr>
              <w:spacing w:after="120"/>
              <w:ind w:left="1032" w:hanging="141"/>
              <w:jc w:val="both"/>
              <w:rPr>
                <w:rFonts w:ascii="Verdana" w:eastAsia="Calibri" w:hAnsi="Verdana" w:cs="Times New Roman"/>
                <w:i/>
                <w:iCs/>
                <w:kern w:val="0"/>
                <w:sz w:val="20"/>
                <w:szCs w:val="20"/>
                <w14:ligatures w14:val="none"/>
              </w:rPr>
            </w:pPr>
            <w:r w:rsidRPr="000C6101">
              <w:rPr>
                <w:rFonts w:ascii="Verdana" w:eastAsia="Calibri" w:hAnsi="Verdana" w:cs="Times New Roman"/>
                <w:kern w:val="0"/>
                <w:sz w:val="20"/>
                <w:szCs w:val="20"/>
                <w14:ligatures w14:val="none"/>
              </w:rPr>
              <w:t xml:space="preserve">D’encourager le Secrétariat général à poursuivre son appui à la présidence seychelloise de la Commission des </w:t>
            </w:r>
            <w:r w:rsidR="000C6101" w:rsidRPr="000C6101">
              <w:rPr>
                <w:rFonts w:ascii="Verdana" w:eastAsia="Calibri" w:hAnsi="Verdana" w:cs="Times New Roman"/>
                <w:kern w:val="0"/>
                <w:sz w:val="20"/>
                <w:szCs w:val="20"/>
                <w14:ligatures w14:val="none"/>
              </w:rPr>
              <w:t>États</w:t>
            </w:r>
            <w:r w:rsidRPr="000C6101">
              <w:rPr>
                <w:rFonts w:ascii="Verdana" w:eastAsia="Calibri" w:hAnsi="Verdana" w:cs="Times New Roman"/>
                <w:kern w:val="0"/>
                <w:sz w:val="20"/>
                <w:szCs w:val="20"/>
                <w14:ligatures w14:val="none"/>
              </w:rPr>
              <w:t xml:space="preserve"> insulaires d’Afrique sur le climat (AISCC) pour mieux </w:t>
            </w:r>
            <w:r w:rsidRPr="000C6101">
              <w:rPr>
                <w:rFonts w:ascii="Verdana" w:eastAsia="Calibri" w:hAnsi="Verdana" w:cs="Times New Roman"/>
                <w:kern w:val="0"/>
                <w:sz w:val="20"/>
                <w:szCs w:val="20"/>
                <w14:ligatures w14:val="none"/>
              </w:rPr>
              <w:lastRenderedPageBreak/>
              <w:t xml:space="preserve">asseoir son rôle de coordination du groupe AIS ; </w:t>
            </w:r>
          </w:p>
          <w:p w14:paraId="06CD02BF" w14:textId="27470029" w:rsidR="00E449C5" w:rsidRPr="000C6101" w:rsidRDefault="00E449C5" w:rsidP="00E449C5">
            <w:pPr>
              <w:numPr>
                <w:ilvl w:val="2"/>
                <w:numId w:val="17"/>
              </w:numPr>
              <w:spacing w:after="120"/>
              <w:ind w:left="1032" w:hanging="141"/>
              <w:jc w:val="both"/>
              <w:rPr>
                <w:rFonts w:ascii="Verdana" w:eastAsia="Calibri" w:hAnsi="Verdana" w:cs="Times New Roman"/>
                <w:i/>
                <w:iCs/>
                <w:kern w:val="0"/>
                <w:sz w:val="20"/>
                <w:szCs w:val="20"/>
                <w14:ligatures w14:val="none"/>
              </w:rPr>
            </w:pPr>
            <w:r w:rsidRPr="000C6101">
              <w:rPr>
                <w:rFonts w:ascii="Verdana" w:eastAsia="Calibri" w:hAnsi="Verdana" w:cs="Times New Roman"/>
                <w:kern w:val="0"/>
                <w:sz w:val="20"/>
                <w:szCs w:val="20"/>
                <w14:ligatures w14:val="none"/>
              </w:rPr>
              <w:t xml:space="preserve">D’évaluer l’opportunité de saisir les ambassades des </w:t>
            </w:r>
            <w:r w:rsidR="000C6101" w:rsidRPr="000C6101">
              <w:rPr>
                <w:rFonts w:ascii="Verdana" w:eastAsia="Calibri" w:hAnsi="Verdana" w:cs="Times New Roman"/>
                <w:kern w:val="0"/>
                <w:sz w:val="20"/>
                <w:szCs w:val="20"/>
                <w14:ligatures w14:val="none"/>
              </w:rPr>
              <w:t>États</w:t>
            </w:r>
            <w:r w:rsidRPr="000C6101">
              <w:rPr>
                <w:rFonts w:ascii="Verdana" w:eastAsia="Calibri" w:hAnsi="Verdana" w:cs="Times New Roman"/>
                <w:kern w:val="0"/>
                <w:sz w:val="20"/>
                <w:szCs w:val="20"/>
                <w14:ligatures w14:val="none"/>
              </w:rPr>
              <w:t xml:space="preserve"> membres auprès de l’Union africaine (Addis-Abeba), de l’Union européenne (Bruxelles), du Système des Nations unies (New York) et des institutions financières de Bretton Woods (Washington) en vue de faciliter la collaboration et l’échange d’informations avec l’AISCC au travers du Secrétariat général de la COI qui en assure le secrétariat.</w:t>
            </w:r>
          </w:p>
          <w:p w14:paraId="7CDABDF4" w14:textId="77777777" w:rsidR="008E44C3" w:rsidRPr="000C6101" w:rsidRDefault="008E44C3" w:rsidP="008E44C3">
            <w:pPr>
              <w:rPr>
                <w:rFonts w:ascii="Verdana" w:eastAsia="Calibri" w:hAnsi="Verdana" w:cs="Arial"/>
                <w:sz w:val="20"/>
                <w:szCs w:val="20"/>
              </w:rPr>
            </w:pPr>
          </w:p>
        </w:tc>
        <w:tc>
          <w:tcPr>
            <w:tcW w:w="3690" w:type="dxa"/>
          </w:tcPr>
          <w:p w14:paraId="6EB63CB0" w14:textId="77777777" w:rsidR="008E44C3" w:rsidRPr="000C6101" w:rsidRDefault="008E44C3" w:rsidP="000C6101">
            <w:pPr>
              <w:jc w:val="both"/>
              <w:rPr>
                <w:rFonts w:ascii="Verdana" w:eastAsia="Calibri" w:hAnsi="Verdana" w:cs="Arial"/>
                <w:sz w:val="20"/>
                <w:szCs w:val="20"/>
              </w:rPr>
            </w:pPr>
          </w:p>
        </w:tc>
        <w:tc>
          <w:tcPr>
            <w:tcW w:w="1984" w:type="dxa"/>
          </w:tcPr>
          <w:p w14:paraId="6043204D" w14:textId="77777777" w:rsidR="008E44C3" w:rsidRPr="000C6101" w:rsidRDefault="008E44C3" w:rsidP="009C7B1B">
            <w:pPr>
              <w:jc w:val="center"/>
              <w:rPr>
                <w:rFonts w:ascii="Verdana" w:eastAsia="Calibri" w:hAnsi="Verdana" w:cs="Arial"/>
                <w:sz w:val="20"/>
                <w:szCs w:val="20"/>
              </w:rPr>
            </w:pPr>
          </w:p>
        </w:tc>
        <w:tc>
          <w:tcPr>
            <w:tcW w:w="1904" w:type="dxa"/>
          </w:tcPr>
          <w:p w14:paraId="0A3B0743" w14:textId="77777777" w:rsidR="008E44C3" w:rsidRPr="000C6101" w:rsidRDefault="008E44C3" w:rsidP="009C7B1B">
            <w:pPr>
              <w:jc w:val="center"/>
              <w:rPr>
                <w:rFonts w:ascii="Verdana" w:eastAsia="Calibri" w:hAnsi="Verdana" w:cs="Arial"/>
                <w:sz w:val="20"/>
                <w:szCs w:val="20"/>
              </w:rPr>
            </w:pPr>
          </w:p>
        </w:tc>
      </w:tr>
      <w:tr w:rsidR="000C6101" w:rsidRPr="000C6101" w14:paraId="380E03D6" w14:textId="77777777" w:rsidTr="5743D992">
        <w:tc>
          <w:tcPr>
            <w:tcW w:w="7230" w:type="dxa"/>
          </w:tcPr>
          <w:p w14:paraId="15C07833" w14:textId="77777777" w:rsidR="00850961" w:rsidRPr="000C6101" w:rsidRDefault="00850961" w:rsidP="00850961">
            <w:pPr>
              <w:spacing w:after="120" w:line="276" w:lineRule="auto"/>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Décision 9. Axe transversal « jeunesse »</w:t>
            </w:r>
          </w:p>
          <w:p w14:paraId="13CFE8F6" w14:textId="77777777" w:rsidR="00850961" w:rsidRPr="000C6101" w:rsidRDefault="00850961" w:rsidP="00850961">
            <w:pPr>
              <w:spacing w:after="120"/>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 xml:space="preserve">Le Comité des OPL :  </w:t>
            </w:r>
          </w:p>
          <w:p w14:paraId="2A28F432" w14:textId="77777777" w:rsidR="00850961" w:rsidRPr="000C6101" w:rsidRDefault="00850961" w:rsidP="00850961">
            <w:pPr>
              <w:numPr>
                <w:ilvl w:val="0"/>
                <w:numId w:val="18"/>
              </w:numPr>
              <w:spacing w:after="120"/>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 xml:space="preserve">Prend note des avancées réalisées pour l’intégration de la jeunesse dans les activités de la COI ; </w:t>
            </w:r>
          </w:p>
          <w:p w14:paraId="002CD8F1" w14:textId="7F2161EA" w:rsidR="00850961" w:rsidRPr="000C6101" w:rsidRDefault="00850961" w:rsidP="00850961">
            <w:pPr>
              <w:numPr>
                <w:ilvl w:val="0"/>
                <w:numId w:val="18"/>
              </w:numPr>
              <w:spacing w:after="120"/>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 xml:space="preserve">Demande au Secrétariat général de transmettre aux </w:t>
            </w:r>
            <w:r w:rsidR="000C6101" w:rsidRPr="000C6101">
              <w:rPr>
                <w:rFonts w:ascii="Verdana" w:eastAsia="Calibri" w:hAnsi="Verdana" w:cs="Times New Roman"/>
                <w:kern w:val="0"/>
                <w:sz w:val="20"/>
                <w:szCs w:val="20"/>
                <w14:ligatures w14:val="none"/>
              </w:rPr>
              <w:t>États</w:t>
            </w:r>
            <w:r w:rsidRPr="000C6101">
              <w:rPr>
                <w:rFonts w:ascii="Verdana" w:eastAsia="Calibri" w:hAnsi="Verdana" w:cs="Times New Roman"/>
                <w:kern w:val="0"/>
                <w:sz w:val="20"/>
                <w:szCs w:val="20"/>
                <w14:ligatures w14:val="none"/>
              </w:rPr>
              <w:t xml:space="preserve"> membres le document révisé « d’intégration de la jeunesse dans la coopération régionale de l’Indianocéanie »</w:t>
            </w:r>
            <w:r w:rsidRPr="000C6101">
              <w:rPr>
                <w:rFonts w:ascii="Verdana" w:eastAsia="Calibri" w:hAnsi="Verdana" w:cs="Times New Roman"/>
                <w:kern w:val="0"/>
                <w:sz w:val="20"/>
                <w:szCs w:val="20"/>
                <w:vertAlign w:val="superscript"/>
                <w14:ligatures w14:val="none"/>
              </w:rPr>
              <w:footnoteReference w:id="3"/>
            </w:r>
            <w:r w:rsidRPr="000C6101">
              <w:rPr>
                <w:rFonts w:ascii="Verdana" w:eastAsia="Calibri" w:hAnsi="Verdana" w:cs="Times New Roman"/>
                <w:kern w:val="0"/>
                <w:sz w:val="20"/>
                <w:szCs w:val="20"/>
                <w14:ligatures w14:val="none"/>
              </w:rPr>
              <w:t xml:space="preserve"> en vue d’une soumission à une prochaine session du Conseil des ministres ;</w:t>
            </w:r>
          </w:p>
          <w:p w14:paraId="538B408F" w14:textId="77777777" w:rsidR="00850961" w:rsidRPr="000C6101" w:rsidRDefault="00850961" w:rsidP="00850961">
            <w:pPr>
              <w:numPr>
                <w:ilvl w:val="0"/>
                <w:numId w:val="18"/>
              </w:numPr>
              <w:spacing w:after="120"/>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 xml:space="preserve">Propose au Conseil des ministres de : </w:t>
            </w:r>
          </w:p>
          <w:p w14:paraId="203891D5" w14:textId="77777777" w:rsidR="00850961" w:rsidRPr="000C6101" w:rsidRDefault="00850961" w:rsidP="00850961">
            <w:pPr>
              <w:numPr>
                <w:ilvl w:val="2"/>
                <w:numId w:val="18"/>
              </w:numPr>
              <w:spacing w:after="120"/>
              <w:ind w:left="1134"/>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 xml:space="preserve">Réaffirmer l’importance du rôle de la jeunesse dans la coopération régionale ; </w:t>
            </w:r>
          </w:p>
          <w:p w14:paraId="353F5F1D" w14:textId="77777777" w:rsidR="00850961" w:rsidRPr="000C6101" w:rsidRDefault="00850961" w:rsidP="00850961">
            <w:pPr>
              <w:numPr>
                <w:ilvl w:val="2"/>
                <w:numId w:val="18"/>
              </w:numPr>
              <w:spacing w:after="120"/>
              <w:ind w:left="1134"/>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Remercier le Conseil régional et le Conseil départemental de La Réunion pour la mise à disposition de jeunes volontaires de solidarité internationale auprès de la COI.</w:t>
            </w:r>
          </w:p>
          <w:p w14:paraId="7EA72ED8" w14:textId="77777777" w:rsidR="008E44C3" w:rsidRPr="000C6101" w:rsidRDefault="008E44C3" w:rsidP="008E44C3">
            <w:pPr>
              <w:pBdr>
                <w:top w:val="nil"/>
                <w:left w:val="nil"/>
                <w:bottom w:val="nil"/>
                <w:right w:val="nil"/>
                <w:between w:val="nil"/>
              </w:pBdr>
              <w:spacing w:line="249" w:lineRule="auto"/>
              <w:jc w:val="both"/>
              <w:rPr>
                <w:rFonts w:ascii="Verdana" w:eastAsia="Verdana" w:hAnsi="Verdana" w:cs="Verdana"/>
                <w:sz w:val="20"/>
                <w:szCs w:val="20"/>
              </w:rPr>
            </w:pPr>
          </w:p>
        </w:tc>
        <w:tc>
          <w:tcPr>
            <w:tcW w:w="3690" w:type="dxa"/>
          </w:tcPr>
          <w:p w14:paraId="6EBD1D36" w14:textId="77777777" w:rsidR="008E44C3" w:rsidRPr="000C6101" w:rsidRDefault="008E44C3" w:rsidP="000C6101">
            <w:pPr>
              <w:jc w:val="both"/>
              <w:rPr>
                <w:rFonts w:ascii="Verdana" w:eastAsia="Calibri" w:hAnsi="Verdana" w:cs="Arial"/>
                <w:sz w:val="20"/>
                <w:szCs w:val="20"/>
              </w:rPr>
            </w:pPr>
          </w:p>
        </w:tc>
        <w:tc>
          <w:tcPr>
            <w:tcW w:w="1984" w:type="dxa"/>
          </w:tcPr>
          <w:p w14:paraId="68168D7C" w14:textId="77777777" w:rsidR="008E44C3" w:rsidRPr="000C6101" w:rsidRDefault="008E44C3" w:rsidP="009C7B1B">
            <w:pPr>
              <w:jc w:val="center"/>
              <w:rPr>
                <w:rFonts w:ascii="Verdana" w:eastAsia="Calibri" w:hAnsi="Verdana" w:cs="Arial"/>
                <w:sz w:val="20"/>
                <w:szCs w:val="20"/>
              </w:rPr>
            </w:pPr>
          </w:p>
        </w:tc>
        <w:tc>
          <w:tcPr>
            <w:tcW w:w="1904" w:type="dxa"/>
          </w:tcPr>
          <w:p w14:paraId="443ECB67" w14:textId="77777777" w:rsidR="008E44C3" w:rsidRPr="000C6101" w:rsidRDefault="008E44C3" w:rsidP="009C7B1B">
            <w:pPr>
              <w:jc w:val="center"/>
              <w:rPr>
                <w:rFonts w:ascii="Verdana" w:eastAsia="Calibri" w:hAnsi="Verdana" w:cs="Arial"/>
                <w:sz w:val="20"/>
                <w:szCs w:val="20"/>
              </w:rPr>
            </w:pPr>
          </w:p>
        </w:tc>
      </w:tr>
    </w:tbl>
    <w:p w14:paraId="6FB0044B" w14:textId="77777777" w:rsidR="000C6101" w:rsidRPr="000C6101" w:rsidRDefault="000C6101">
      <w:r w:rsidRPr="000C6101">
        <w:br w:type="page"/>
      </w:r>
    </w:p>
    <w:tbl>
      <w:tblPr>
        <w:tblStyle w:val="Grilledutableau"/>
        <w:tblW w:w="14808" w:type="dxa"/>
        <w:tblInd w:w="-572" w:type="dxa"/>
        <w:tblLook w:val="04A0" w:firstRow="1" w:lastRow="0" w:firstColumn="1" w:lastColumn="0" w:noHBand="0" w:noVBand="1"/>
      </w:tblPr>
      <w:tblGrid>
        <w:gridCol w:w="7230"/>
        <w:gridCol w:w="3690"/>
        <w:gridCol w:w="1984"/>
        <w:gridCol w:w="1904"/>
      </w:tblGrid>
      <w:tr w:rsidR="000C6101" w:rsidRPr="000C6101" w14:paraId="5C8D6CDA" w14:textId="77777777" w:rsidTr="396FCBB9">
        <w:tc>
          <w:tcPr>
            <w:tcW w:w="7230" w:type="dxa"/>
          </w:tcPr>
          <w:p w14:paraId="59642DBD" w14:textId="3EB638DB" w:rsidR="009C7B1B" w:rsidRPr="000C6101" w:rsidRDefault="009C7B1B" w:rsidP="009C7B1B">
            <w:pPr>
              <w:spacing w:after="120" w:line="276" w:lineRule="auto"/>
              <w:jc w:val="center"/>
              <w:rPr>
                <w:rFonts w:ascii="Verdana" w:eastAsia="Calibri" w:hAnsi="Verdana" w:cs="Times New Roman"/>
                <w:spacing w:val="6"/>
                <w:kern w:val="0"/>
                <w:sz w:val="20"/>
                <w:szCs w:val="20"/>
                <w14:ligatures w14:val="none"/>
              </w:rPr>
            </w:pPr>
            <w:r w:rsidRPr="000C6101">
              <w:rPr>
                <w:rFonts w:ascii="Verdana" w:eastAsia="Calibri" w:hAnsi="Verdana" w:cs="Times New Roman"/>
                <w:b/>
                <w:bCs/>
                <w:kern w:val="0"/>
                <w:sz w:val="20"/>
                <w:szCs w:val="20"/>
                <w14:ligatures w14:val="none"/>
              </w:rPr>
              <w:lastRenderedPageBreak/>
              <w:t>Décision 10. Gouvernance, paix et stabilité</w:t>
            </w:r>
          </w:p>
          <w:p w14:paraId="733B91A2" w14:textId="77777777" w:rsidR="009C7B1B" w:rsidRPr="000C6101" w:rsidRDefault="009C7B1B" w:rsidP="009C7B1B">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Le Comité des OPL :</w:t>
            </w:r>
          </w:p>
          <w:p w14:paraId="4F4EFC38" w14:textId="77777777" w:rsidR="009C7B1B" w:rsidRPr="000C6101" w:rsidRDefault="009C7B1B" w:rsidP="009C7B1B">
            <w:pPr>
              <w:numPr>
                <w:ilvl w:val="0"/>
                <w:numId w:val="19"/>
              </w:numPr>
              <w:spacing w:after="120"/>
              <w:jc w:val="both"/>
              <w:rPr>
                <w:rFonts w:ascii="Verdana" w:eastAsia="Calibri" w:hAnsi="Verdana" w:cs="Calibri"/>
                <w:kern w:val="0"/>
                <w:sz w:val="20"/>
                <w:szCs w:val="20"/>
                <w14:ligatures w14:val="none"/>
              </w:rPr>
            </w:pPr>
            <w:r w:rsidRPr="000C6101">
              <w:rPr>
                <w:rFonts w:ascii="Verdana" w:eastAsia="Calibri" w:hAnsi="Verdana" w:cs="Arial"/>
                <w:kern w:val="0"/>
                <w:sz w:val="20"/>
                <w:szCs w:val="20"/>
                <w14:ligatures w14:val="none"/>
              </w:rPr>
              <w:t xml:space="preserve">Prend note des recommandations issues de la dernière mission de suivi du projet GPS relatives à l’extension sans coût additionnel pour </w:t>
            </w:r>
            <w:r w:rsidRPr="000C6101">
              <w:rPr>
                <w:rFonts w:ascii="Verdana" w:eastAsia="Calibri" w:hAnsi="Verdana" w:cs="Calibri"/>
                <w:bCs/>
                <w:kern w:val="0"/>
                <w:sz w:val="20"/>
                <w:szCs w:val="20"/>
                <w14:ligatures w14:val="none"/>
              </w:rPr>
              <w:t xml:space="preserve">capitaliser les acquis du projet et assurer la poursuite des actions de la COI dans le domaine de la gouvernance, paix et stabilité. </w:t>
            </w:r>
          </w:p>
          <w:p w14:paraId="242EE0AA" w14:textId="77777777" w:rsidR="009C7B1B" w:rsidRPr="000C6101" w:rsidRDefault="009C7B1B" w:rsidP="009C7B1B">
            <w:pPr>
              <w:numPr>
                <w:ilvl w:val="0"/>
                <w:numId w:val="19"/>
              </w:numPr>
              <w:spacing w:after="120"/>
              <w:jc w:val="both"/>
              <w:rPr>
                <w:rFonts w:ascii="Verdana" w:eastAsia="Calibri" w:hAnsi="Verdana" w:cs="Calibri"/>
                <w:kern w:val="0"/>
                <w:sz w:val="20"/>
                <w:szCs w:val="20"/>
                <w14:ligatures w14:val="none"/>
              </w:rPr>
            </w:pPr>
            <w:r w:rsidRPr="000C6101">
              <w:rPr>
                <w:rFonts w:ascii="Verdana" w:eastAsia="Calibri" w:hAnsi="Verdana" w:cs="Arial"/>
                <w:kern w:val="0"/>
                <w:sz w:val="20"/>
                <w:szCs w:val="20"/>
                <w14:ligatures w14:val="none"/>
              </w:rPr>
              <w:t xml:space="preserve">Demande au Secrétariat général de prendre toutes les dispositions nécessaires en vue de l’extension </w:t>
            </w:r>
            <w:r w:rsidRPr="000C6101">
              <w:rPr>
                <w:rFonts w:ascii="Verdana" w:eastAsia="Calibri" w:hAnsi="Verdana" w:cs="Calibri"/>
                <w:kern w:val="0"/>
                <w:sz w:val="20"/>
                <w:szCs w:val="20"/>
                <w14:ligatures w14:val="none"/>
              </w:rPr>
              <w:t>de la convention de financement avec l’AFD.</w:t>
            </w:r>
          </w:p>
          <w:p w14:paraId="356D97F3" w14:textId="77777777" w:rsidR="009C7B1B" w:rsidRPr="000C6101" w:rsidRDefault="009C7B1B" w:rsidP="009C7B1B">
            <w:pPr>
              <w:numPr>
                <w:ilvl w:val="0"/>
                <w:numId w:val="19"/>
              </w:numPr>
              <w:spacing w:after="120"/>
              <w:jc w:val="both"/>
              <w:rPr>
                <w:rFonts w:ascii="Verdana" w:eastAsia="Calibri" w:hAnsi="Verdana" w:cs="Calibri"/>
                <w:kern w:val="0"/>
                <w:sz w:val="20"/>
                <w:szCs w:val="20"/>
                <w14:ligatures w14:val="none"/>
              </w:rPr>
            </w:pPr>
            <w:r w:rsidRPr="000C6101">
              <w:rPr>
                <w:rFonts w:ascii="Verdana" w:eastAsia="Calibri" w:hAnsi="Verdana" w:cs="Arial"/>
                <w:kern w:val="0"/>
                <w:sz w:val="20"/>
                <w:szCs w:val="20"/>
                <w14:ligatures w14:val="none"/>
              </w:rPr>
              <w:t>Prend note des recommandations relatives au financement du poste de chef d’Unité de gouvernance par le projet GPS et demande au Secrétariat général de prendre toutes les dispositions nécessaires en vue du recrutement.</w:t>
            </w:r>
          </w:p>
          <w:p w14:paraId="486B15FA" w14:textId="77777777" w:rsidR="009C7B1B" w:rsidRPr="000C6101" w:rsidRDefault="009C7B1B" w:rsidP="009C7B1B">
            <w:pPr>
              <w:numPr>
                <w:ilvl w:val="0"/>
                <w:numId w:val="19"/>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Recommande au Conseil des ministres de : </w:t>
            </w:r>
          </w:p>
          <w:p w14:paraId="4F36E359" w14:textId="77777777" w:rsidR="009C7B1B" w:rsidRPr="000C6101" w:rsidRDefault="009C7B1B" w:rsidP="009C7B1B">
            <w:pPr>
              <w:numPr>
                <w:ilvl w:val="2"/>
                <w:numId w:val="19"/>
              </w:numPr>
              <w:spacing w:after="120"/>
              <w:ind w:left="1316" w:hanging="425"/>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Se féliciter de la poursuite de la collaboration entre la COI et le système des Nations unies, notamment à travers des actions conjointes entre le projet GPS et le Département des Affaires Politiques pour une mise en œuvre effective du </w:t>
            </w:r>
            <w:r w:rsidRPr="000C6101">
              <w:rPr>
                <w:rFonts w:ascii="Verdana" w:eastAsia="Times New Roman" w:hAnsi="Verdana" w:cs="Calibri"/>
                <w:bCs/>
                <w:kern w:val="0"/>
                <w:sz w:val="20"/>
                <w:szCs w:val="20"/>
                <w:lang w:eastAsia="fr-FR"/>
                <w14:ligatures w14:val="none"/>
              </w:rPr>
              <w:t xml:space="preserve">Cadre de Coopération </w:t>
            </w:r>
            <w:r w:rsidRPr="000C6101">
              <w:rPr>
                <w:rFonts w:ascii="Verdana" w:eastAsia="Calibri" w:hAnsi="Verdana" w:cs="Calibri"/>
                <w:bCs/>
                <w:kern w:val="0"/>
                <w:sz w:val="20"/>
                <w:szCs w:val="20"/>
                <w14:ligatures w14:val="none"/>
              </w:rPr>
              <w:t xml:space="preserve">signé le 15 juin 2018 entre la COI et l’ONU pour </w:t>
            </w:r>
            <w:r w:rsidRPr="000C6101">
              <w:rPr>
                <w:rFonts w:ascii="Verdana" w:eastAsia="Times New Roman" w:hAnsi="Verdana" w:cs="Calibri"/>
                <w:kern w:val="0"/>
                <w:sz w:val="20"/>
                <w:szCs w:val="20"/>
                <w:lang w:eastAsia="fr-FR"/>
                <w14:ligatures w14:val="none"/>
              </w:rPr>
              <w:t>la promotion et la consolidation de la paix, la sécurité et le développement durable</w:t>
            </w:r>
            <w:r w:rsidRPr="000C6101">
              <w:rPr>
                <w:rFonts w:ascii="Verdana" w:eastAsia="Calibri" w:hAnsi="Verdana" w:cs="Calibri"/>
                <w:kern w:val="0"/>
                <w:sz w:val="20"/>
                <w:szCs w:val="20"/>
                <w14:ligatures w14:val="none"/>
              </w:rPr>
              <w:t>.</w:t>
            </w:r>
          </w:p>
          <w:p w14:paraId="07BCAAC5" w14:textId="77777777" w:rsidR="009C7B1B" w:rsidRPr="000C6101" w:rsidRDefault="009C7B1B" w:rsidP="009C7B1B">
            <w:pPr>
              <w:numPr>
                <w:ilvl w:val="2"/>
                <w:numId w:val="19"/>
              </w:numPr>
              <w:spacing w:after="120"/>
              <w:ind w:left="1316" w:hanging="425"/>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Se féliciter de la poursuite de la collaboration entre le projet GPS et le Conseil régional de La Réunion à travers la mise en œuvre des activités conjointes en faveur de la promotion des droits de la femme. </w:t>
            </w:r>
          </w:p>
          <w:p w14:paraId="6BF00E72" w14:textId="77777777" w:rsidR="009C7B1B" w:rsidRPr="000C6101" w:rsidRDefault="009C7B1B" w:rsidP="009C7B1B">
            <w:pPr>
              <w:numPr>
                <w:ilvl w:val="2"/>
                <w:numId w:val="19"/>
              </w:numPr>
              <w:spacing w:after="120"/>
              <w:ind w:left="1316" w:hanging="425"/>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Saluer l’initiative du Conseil régional de La Réunion d’organiser une conférence régionale des femmes à La Réunion qui abordera les questions de leadership </w:t>
            </w:r>
            <w:r w:rsidRPr="000C6101">
              <w:rPr>
                <w:rFonts w:ascii="Verdana" w:eastAsia="Calibri" w:hAnsi="Verdana" w:cs="Calibri"/>
                <w:kern w:val="0"/>
                <w:sz w:val="20"/>
                <w:szCs w:val="20"/>
                <w14:ligatures w14:val="none"/>
              </w:rPr>
              <w:lastRenderedPageBreak/>
              <w:t>féminin, d’autonomisation des femmes, d’éducation à la santé et de culture et patrimoine.</w:t>
            </w:r>
          </w:p>
          <w:p w14:paraId="7367252B" w14:textId="33A773AA" w:rsidR="009C7B1B" w:rsidRPr="000C6101" w:rsidRDefault="009C7B1B" w:rsidP="009C7B1B">
            <w:pPr>
              <w:numPr>
                <w:ilvl w:val="2"/>
                <w:numId w:val="19"/>
              </w:numPr>
              <w:spacing w:after="120"/>
              <w:ind w:left="1316" w:hanging="425"/>
              <w:jc w:val="both"/>
              <w:rPr>
                <w:rFonts w:ascii="Verdana" w:eastAsia="Calibri" w:hAnsi="Verdana" w:cs="Calibri"/>
                <w:kern w:val="0"/>
                <w:sz w:val="20"/>
                <w:szCs w:val="20"/>
                <w14:ligatures w14:val="none"/>
              </w:rPr>
            </w:pPr>
            <w:r w:rsidRPr="000C6101">
              <w:rPr>
                <w:rFonts w:ascii="Verdana" w:eastAsia="Calibri" w:hAnsi="Verdana" w:cs="Arial"/>
                <w:kern w:val="0"/>
                <w:sz w:val="20"/>
                <w:szCs w:val="20"/>
                <w14:ligatures w14:val="none"/>
              </w:rPr>
              <w:t xml:space="preserve">Prendre note des recommandations du dernier comité de pilotage du projet GPS relatives à la marche à suivre dans le cadre du déploiement des missions d’écoute et de dialogue par la COI, notamment l’élaboration des termes de référence à soumettre aux </w:t>
            </w:r>
            <w:proofErr w:type="gramStart"/>
            <w:r w:rsidR="000C6101" w:rsidRPr="000C6101">
              <w:rPr>
                <w:rFonts w:ascii="Verdana" w:eastAsia="Calibri" w:hAnsi="Verdana" w:cs="Arial"/>
                <w:kern w:val="0"/>
                <w:sz w:val="20"/>
                <w:szCs w:val="20"/>
                <w14:ligatures w14:val="none"/>
              </w:rPr>
              <w:t xml:space="preserve">États </w:t>
            </w:r>
            <w:r w:rsidRPr="000C6101">
              <w:rPr>
                <w:rFonts w:ascii="Verdana" w:eastAsia="Calibri" w:hAnsi="Verdana" w:cs="Arial"/>
                <w:kern w:val="0"/>
                <w:sz w:val="20"/>
                <w:szCs w:val="20"/>
                <w14:ligatures w14:val="none"/>
              </w:rPr>
              <w:t xml:space="preserve"> membres</w:t>
            </w:r>
            <w:proofErr w:type="gramEnd"/>
            <w:r w:rsidRPr="000C6101">
              <w:rPr>
                <w:rFonts w:ascii="Verdana" w:eastAsia="Calibri" w:hAnsi="Verdana" w:cs="Arial"/>
                <w:kern w:val="0"/>
                <w:sz w:val="20"/>
                <w:szCs w:val="20"/>
                <w14:ligatures w14:val="none"/>
              </w:rPr>
              <w:t xml:space="preserve"> pour validation.</w:t>
            </w:r>
          </w:p>
          <w:p w14:paraId="5709E944" w14:textId="77777777" w:rsidR="009C7B1B" w:rsidRPr="000C6101" w:rsidRDefault="009C7B1B" w:rsidP="009C7B1B">
            <w:pPr>
              <w:numPr>
                <w:ilvl w:val="2"/>
                <w:numId w:val="19"/>
              </w:numPr>
              <w:spacing w:after="120"/>
              <w:ind w:left="1316" w:hanging="425"/>
              <w:jc w:val="both"/>
              <w:rPr>
                <w:rFonts w:ascii="Verdana" w:eastAsia="Calibri" w:hAnsi="Verdana" w:cs="Calibri"/>
                <w:kern w:val="0"/>
                <w:sz w:val="20"/>
                <w:szCs w:val="20"/>
                <w14:ligatures w14:val="none"/>
              </w:rPr>
            </w:pPr>
            <w:r w:rsidRPr="000C6101">
              <w:rPr>
                <w:rFonts w:ascii="Verdana" w:eastAsia="Calibri" w:hAnsi="Verdana" w:cs="Arial"/>
                <w:kern w:val="0"/>
                <w:sz w:val="20"/>
                <w:szCs w:val="20"/>
                <w14:ligatures w14:val="none"/>
              </w:rPr>
              <w:t xml:space="preserve">Se féliciter de la mise en place effective de l’Unité de gouvernance auprès du Secrétariat général et demander l’établissement d’un dispositif visant au renforcement des partenariats techniques et financiers dans le secteur de la gouvernance et la </w:t>
            </w:r>
            <w:r w:rsidRPr="000C6101">
              <w:rPr>
                <w:rFonts w:ascii="Verdana" w:eastAsia="Calibri" w:hAnsi="Verdana" w:cs="Calibri"/>
                <w:bCs/>
                <w:kern w:val="0"/>
                <w:sz w:val="20"/>
                <w:szCs w:val="20"/>
                <w14:ligatures w14:val="none"/>
              </w:rPr>
              <w:t>mobilisation d’appui stratégique, technique et financier émanant de toutes les parties prenantes, au niveau régional, continental et multilatéral, qui œuvrent dans le domaine de la gouvernance, paix et stabilité.</w:t>
            </w:r>
          </w:p>
          <w:p w14:paraId="3246BF47" w14:textId="77777777" w:rsidR="009C7B1B" w:rsidRPr="000C6101" w:rsidRDefault="009C7B1B" w:rsidP="009C7B1B">
            <w:pPr>
              <w:numPr>
                <w:ilvl w:val="2"/>
                <w:numId w:val="19"/>
              </w:numPr>
              <w:spacing w:after="120"/>
              <w:ind w:left="1316" w:hanging="425"/>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Demander au Secrétariat général de proposer aux instances un cadre de pérennisation de l’Unité de Gouvernance, incluant les modalités de financement, conformément aux objectifs fixés dans le cadre de l’évolution institutionnelle de la COI et du Plan de Développement Stratégique 2023-2033.</w:t>
            </w:r>
          </w:p>
          <w:p w14:paraId="5F24DE02" w14:textId="77777777" w:rsidR="009C7B1B" w:rsidRPr="000C6101" w:rsidRDefault="009C7B1B" w:rsidP="009C7B1B">
            <w:pPr>
              <w:numPr>
                <w:ilvl w:val="2"/>
                <w:numId w:val="19"/>
              </w:numPr>
              <w:spacing w:after="120"/>
              <w:ind w:left="1316" w:hanging="425"/>
              <w:jc w:val="both"/>
              <w:rPr>
                <w:rFonts w:ascii="Verdana" w:eastAsia="Calibri" w:hAnsi="Verdana" w:cs="Calibri"/>
                <w:kern w:val="0"/>
                <w:sz w:val="20"/>
                <w:szCs w:val="20"/>
                <w14:ligatures w14:val="none"/>
              </w:rPr>
            </w:pPr>
            <w:r w:rsidRPr="000C6101">
              <w:rPr>
                <w:rFonts w:ascii="Verdana" w:eastAsia="Calibri" w:hAnsi="Verdana" w:cs="Arial"/>
                <w:kern w:val="0"/>
                <w:sz w:val="20"/>
                <w:szCs w:val="20"/>
                <w14:ligatures w14:val="none"/>
              </w:rPr>
              <w:t xml:space="preserve">Encourager les États membres à s’engager à la pérennisation des acquis du projet par un appui aux actions de l’Unité de Gouvernance à travers </w:t>
            </w:r>
            <w:r w:rsidRPr="000C6101">
              <w:rPr>
                <w:rFonts w:ascii="Verdana" w:eastAsia="Calibri" w:hAnsi="Verdana" w:cs="Calibri"/>
                <w:bCs/>
                <w:kern w:val="0"/>
                <w:sz w:val="20"/>
                <w:szCs w:val="20"/>
                <w14:ligatures w14:val="none"/>
              </w:rPr>
              <w:t>la mobilisation de ressources techniques, humaines ou financières.</w:t>
            </w:r>
          </w:p>
          <w:p w14:paraId="2465DD0D" w14:textId="77777777" w:rsidR="009C7B1B" w:rsidRPr="000C6101" w:rsidRDefault="009C7B1B" w:rsidP="009C7B1B">
            <w:pPr>
              <w:numPr>
                <w:ilvl w:val="0"/>
                <w:numId w:val="19"/>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Remercier l’AFD pour son soutien en tant que bailleur et partenaire de mise en œuvre du projet GPS ainsi que son appui particulier pour le fonctionnement de l’Unité de gouvernance à travers les fonds du projet.  </w:t>
            </w:r>
          </w:p>
          <w:p w14:paraId="3FB4A6A0" w14:textId="77777777" w:rsidR="009C7B1B" w:rsidRPr="000C6101" w:rsidRDefault="009C7B1B" w:rsidP="009C7B1B">
            <w:pPr>
              <w:spacing w:after="120" w:line="276" w:lineRule="auto"/>
              <w:ind w:left="720"/>
              <w:jc w:val="both"/>
              <w:rPr>
                <w:rFonts w:ascii="Verdana" w:eastAsia="Calibri" w:hAnsi="Verdana" w:cs="Arial"/>
                <w:kern w:val="0"/>
                <w:sz w:val="20"/>
                <w:szCs w:val="20"/>
                <w14:ligatures w14:val="none"/>
              </w:rPr>
            </w:pPr>
          </w:p>
        </w:tc>
        <w:tc>
          <w:tcPr>
            <w:tcW w:w="3690" w:type="dxa"/>
          </w:tcPr>
          <w:p w14:paraId="36B3D16B" w14:textId="77777777" w:rsidR="009C7B1B" w:rsidRPr="00AC0141" w:rsidRDefault="009C7B1B" w:rsidP="000C6101">
            <w:pPr>
              <w:jc w:val="both"/>
              <w:rPr>
                <w:rFonts w:ascii="Verdana" w:eastAsia="Calibri" w:hAnsi="Verdana" w:cs="Arial"/>
                <w:color w:val="215E99" w:themeColor="text2" w:themeTint="BF"/>
                <w:sz w:val="20"/>
                <w:szCs w:val="20"/>
              </w:rPr>
            </w:pPr>
            <w:r w:rsidRPr="00AC0141">
              <w:rPr>
                <w:rFonts w:ascii="Verdana" w:eastAsia="Calibri" w:hAnsi="Verdana" w:cs="Arial"/>
                <w:color w:val="215E99" w:themeColor="text2" w:themeTint="BF"/>
                <w:sz w:val="20"/>
                <w:szCs w:val="20"/>
              </w:rPr>
              <w:lastRenderedPageBreak/>
              <w:t>Toutes les dispositions ont été prises en vue de :</w:t>
            </w:r>
          </w:p>
          <w:p w14:paraId="2B75BFD4" w14:textId="43F07EC4" w:rsidR="009C7B1B" w:rsidRPr="00AC0141" w:rsidRDefault="009C7B1B" w:rsidP="000C6101">
            <w:pPr>
              <w:jc w:val="both"/>
              <w:rPr>
                <w:rFonts w:ascii="Verdana" w:eastAsia="Calibri" w:hAnsi="Verdana" w:cs="Arial"/>
                <w:color w:val="215E99" w:themeColor="text2" w:themeTint="BF"/>
                <w:sz w:val="20"/>
                <w:szCs w:val="20"/>
              </w:rPr>
            </w:pPr>
            <w:r w:rsidRPr="00AC0141">
              <w:rPr>
                <w:rFonts w:ascii="Verdana" w:eastAsia="Calibri" w:hAnsi="Verdana" w:cs="Arial"/>
                <w:color w:val="215E99" w:themeColor="text2" w:themeTint="BF"/>
                <w:sz w:val="20"/>
                <w:szCs w:val="20"/>
              </w:rPr>
              <w:t>-</w:t>
            </w:r>
            <w:r w:rsidR="000C6101" w:rsidRPr="00AC0141">
              <w:rPr>
                <w:rFonts w:ascii="Verdana" w:eastAsia="Calibri" w:hAnsi="Verdana" w:cs="Arial"/>
                <w:color w:val="215E99" w:themeColor="text2" w:themeTint="BF"/>
                <w:sz w:val="20"/>
                <w:szCs w:val="20"/>
              </w:rPr>
              <w:t xml:space="preserve"> l</w:t>
            </w:r>
            <w:r w:rsidRPr="00AC0141">
              <w:rPr>
                <w:rFonts w:ascii="Verdana" w:eastAsia="Calibri" w:hAnsi="Verdana" w:cs="Arial"/>
                <w:color w:val="215E99" w:themeColor="text2" w:themeTint="BF"/>
                <w:sz w:val="20"/>
                <w:szCs w:val="20"/>
              </w:rPr>
              <w:t>’extension de la Convention de financement du projet GPS : consultations avec le consortium ECES/CFI pour l’indentification des activités à prioriser pendant la période d’extension, établissement des budgets pluriannuels, amendement du cadre logique, élaboration d’une nouvelle planification 2024, 2025 et 2026, révision de nombres de jours pour les trois experts ainsi que les experts CT.</w:t>
            </w:r>
          </w:p>
          <w:p w14:paraId="5F4CE634" w14:textId="77777777" w:rsidR="009C7B1B" w:rsidRPr="00AC0141" w:rsidRDefault="009C7B1B" w:rsidP="000C6101">
            <w:pPr>
              <w:jc w:val="both"/>
              <w:rPr>
                <w:rFonts w:ascii="Verdana" w:eastAsia="Calibri" w:hAnsi="Verdana" w:cs="Arial"/>
                <w:color w:val="215E99" w:themeColor="text2" w:themeTint="BF"/>
                <w:sz w:val="20"/>
                <w:szCs w:val="20"/>
              </w:rPr>
            </w:pPr>
            <w:r w:rsidRPr="00AC0141">
              <w:rPr>
                <w:rFonts w:ascii="Verdana" w:eastAsia="Calibri" w:hAnsi="Verdana" w:cs="Arial"/>
                <w:color w:val="215E99" w:themeColor="text2" w:themeTint="BF"/>
                <w:sz w:val="20"/>
                <w:szCs w:val="20"/>
              </w:rPr>
              <w:t>- consultations préalables avec le Consortium en vue de l’établissement d’un avenant au contrat COI-ECES/CFI</w:t>
            </w:r>
          </w:p>
          <w:p w14:paraId="24284FF4" w14:textId="77777777" w:rsidR="009C7B1B" w:rsidRPr="00AC0141" w:rsidRDefault="009C7B1B" w:rsidP="000C6101">
            <w:pPr>
              <w:jc w:val="both"/>
              <w:rPr>
                <w:rFonts w:ascii="Verdana" w:eastAsia="Calibri" w:hAnsi="Verdana" w:cs="Arial"/>
                <w:color w:val="215E99" w:themeColor="text2" w:themeTint="BF"/>
                <w:sz w:val="20"/>
                <w:szCs w:val="20"/>
              </w:rPr>
            </w:pPr>
          </w:p>
          <w:p w14:paraId="39900F2B" w14:textId="77777777" w:rsidR="009C7B1B" w:rsidRPr="00AC0141" w:rsidRDefault="009C7B1B" w:rsidP="000C6101">
            <w:pPr>
              <w:jc w:val="both"/>
              <w:rPr>
                <w:rFonts w:ascii="Verdana" w:eastAsia="Calibri" w:hAnsi="Verdana" w:cs="Arial"/>
                <w:color w:val="215E99" w:themeColor="text2" w:themeTint="BF"/>
                <w:sz w:val="20"/>
                <w:szCs w:val="20"/>
              </w:rPr>
            </w:pPr>
            <w:r w:rsidRPr="00AC0141">
              <w:rPr>
                <w:rFonts w:ascii="Verdana" w:eastAsia="Calibri" w:hAnsi="Verdana" w:cs="Arial"/>
                <w:color w:val="215E99" w:themeColor="text2" w:themeTint="BF"/>
                <w:sz w:val="20"/>
                <w:szCs w:val="20"/>
              </w:rPr>
              <w:t>Prochaines étapes :</w:t>
            </w:r>
          </w:p>
          <w:p w14:paraId="66A2C20E" w14:textId="77777777" w:rsidR="009C7B1B" w:rsidRPr="00AC0141" w:rsidRDefault="009C7B1B" w:rsidP="000C6101">
            <w:pPr>
              <w:jc w:val="both"/>
              <w:rPr>
                <w:rFonts w:ascii="Verdana" w:eastAsia="Calibri" w:hAnsi="Verdana" w:cs="Arial"/>
                <w:color w:val="215E99" w:themeColor="text2" w:themeTint="BF"/>
                <w:sz w:val="20"/>
                <w:szCs w:val="20"/>
              </w:rPr>
            </w:pPr>
            <w:r w:rsidRPr="00AC0141">
              <w:rPr>
                <w:rFonts w:ascii="Verdana" w:eastAsia="Calibri" w:hAnsi="Verdana" w:cs="Arial"/>
                <w:color w:val="215E99" w:themeColor="text2" w:themeTint="BF"/>
                <w:sz w:val="20"/>
                <w:szCs w:val="20"/>
              </w:rPr>
              <w:t>Soumission du projet d’avenants à l’AFD et le Consortium ECES/CFI.</w:t>
            </w:r>
          </w:p>
          <w:p w14:paraId="0CFB8056" w14:textId="77777777" w:rsidR="009C7B1B" w:rsidRPr="00AC0141" w:rsidRDefault="009C7B1B" w:rsidP="000C6101">
            <w:pPr>
              <w:jc w:val="both"/>
              <w:rPr>
                <w:rFonts w:ascii="Verdana" w:eastAsia="Calibri" w:hAnsi="Verdana" w:cs="Arial"/>
                <w:color w:val="215E99" w:themeColor="text2" w:themeTint="BF"/>
                <w:sz w:val="20"/>
                <w:szCs w:val="20"/>
              </w:rPr>
            </w:pPr>
          </w:p>
          <w:p w14:paraId="27771047" w14:textId="77777777" w:rsidR="009C7B1B" w:rsidRPr="000C6101" w:rsidRDefault="009C7B1B" w:rsidP="000C6101">
            <w:pPr>
              <w:jc w:val="both"/>
              <w:rPr>
                <w:rFonts w:ascii="Verdana" w:eastAsia="Calibri" w:hAnsi="Verdana" w:cs="Arial"/>
                <w:sz w:val="20"/>
                <w:szCs w:val="20"/>
              </w:rPr>
            </w:pPr>
          </w:p>
          <w:p w14:paraId="1DB82DA4" w14:textId="77777777" w:rsidR="009C7B1B" w:rsidRPr="000C6101" w:rsidRDefault="009C7B1B" w:rsidP="000C6101">
            <w:pPr>
              <w:jc w:val="both"/>
              <w:rPr>
                <w:rFonts w:ascii="Verdana" w:eastAsia="Calibri" w:hAnsi="Verdana" w:cs="Arial"/>
                <w:sz w:val="20"/>
                <w:szCs w:val="20"/>
              </w:rPr>
            </w:pPr>
          </w:p>
          <w:p w14:paraId="3DBBA8BF" w14:textId="77777777" w:rsidR="009C7B1B" w:rsidRPr="000C6101" w:rsidRDefault="009C7B1B" w:rsidP="000C6101">
            <w:pPr>
              <w:jc w:val="both"/>
              <w:rPr>
                <w:rFonts w:ascii="Verdana" w:eastAsia="Calibri" w:hAnsi="Verdana" w:cs="Arial"/>
                <w:sz w:val="20"/>
                <w:szCs w:val="20"/>
              </w:rPr>
            </w:pPr>
          </w:p>
          <w:p w14:paraId="63457BC1" w14:textId="77777777" w:rsidR="009C7B1B" w:rsidRPr="000C6101" w:rsidRDefault="009C7B1B" w:rsidP="000C6101">
            <w:pPr>
              <w:jc w:val="both"/>
              <w:rPr>
                <w:rFonts w:ascii="Verdana" w:eastAsia="Calibri" w:hAnsi="Verdana" w:cs="Arial"/>
                <w:sz w:val="20"/>
                <w:szCs w:val="20"/>
              </w:rPr>
            </w:pPr>
          </w:p>
          <w:p w14:paraId="3DA6B5C2" w14:textId="77777777" w:rsidR="009C7B1B" w:rsidRPr="000C6101" w:rsidRDefault="009C7B1B" w:rsidP="000C6101">
            <w:pPr>
              <w:jc w:val="both"/>
              <w:rPr>
                <w:rFonts w:ascii="Verdana" w:eastAsia="Calibri" w:hAnsi="Verdana" w:cs="Arial"/>
                <w:sz w:val="20"/>
                <w:szCs w:val="20"/>
              </w:rPr>
            </w:pPr>
          </w:p>
          <w:p w14:paraId="39C10403" w14:textId="77777777" w:rsidR="009C7B1B" w:rsidRPr="000C6101" w:rsidRDefault="009C7B1B" w:rsidP="000C6101">
            <w:pPr>
              <w:jc w:val="both"/>
              <w:rPr>
                <w:rFonts w:ascii="Verdana" w:eastAsia="Calibri" w:hAnsi="Verdana" w:cs="Arial"/>
                <w:sz w:val="20"/>
                <w:szCs w:val="20"/>
              </w:rPr>
            </w:pPr>
          </w:p>
          <w:p w14:paraId="7BA9892E" w14:textId="77777777" w:rsidR="009C7B1B" w:rsidRPr="000C6101" w:rsidRDefault="009C7B1B" w:rsidP="000C6101">
            <w:pPr>
              <w:jc w:val="both"/>
              <w:rPr>
                <w:rFonts w:ascii="Verdana" w:eastAsia="Calibri" w:hAnsi="Verdana" w:cs="Arial"/>
                <w:sz w:val="20"/>
                <w:szCs w:val="20"/>
              </w:rPr>
            </w:pPr>
          </w:p>
          <w:p w14:paraId="3200A365" w14:textId="77777777" w:rsidR="009C7B1B" w:rsidRPr="000C6101" w:rsidRDefault="009C7B1B" w:rsidP="000C6101">
            <w:pPr>
              <w:jc w:val="both"/>
              <w:rPr>
                <w:rFonts w:ascii="Verdana" w:eastAsia="Calibri" w:hAnsi="Verdana" w:cs="Arial"/>
                <w:sz w:val="20"/>
                <w:szCs w:val="20"/>
              </w:rPr>
            </w:pPr>
            <w:r w:rsidRPr="000C6101">
              <w:rPr>
                <w:rFonts w:ascii="Verdana" w:eastAsia="Calibri" w:hAnsi="Verdana" w:cs="Arial"/>
                <w:sz w:val="20"/>
                <w:szCs w:val="20"/>
              </w:rPr>
              <w:t xml:space="preserve">En réponse à la correspondance de Madame la Présidente du Conseil Régional de la Réunion, la </w:t>
            </w:r>
            <w:r w:rsidRPr="000C6101">
              <w:rPr>
                <w:rFonts w:ascii="Verdana" w:eastAsia="Calibri" w:hAnsi="Verdana" w:cs="Arial"/>
                <w:sz w:val="20"/>
                <w:szCs w:val="20"/>
              </w:rPr>
              <w:lastRenderedPageBreak/>
              <w:t>COI a proposé la mise en place d’un comité technique préparatoire de la prochaine conférence régionale des femmes, laquelle se tiendra à la Réunion l’année prochaine ; à l’issue de la dernière réunion entre le CM, l’équipe du projet GPS et le représentant de la Région.</w:t>
            </w:r>
          </w:p>
          <w:p w14:paraId="5D8932EE" w14:textId="77777777" w:rsidR="009C7B1B" w:rsidRPr="000C6101" w:rsidRDefault="009C7B1B" w:rsidP="000C6101">
            <w:pPr>
              <w:jc w:val="both"/>
              <w:rPr>
                <w:rFonts w:ascii="Verdana" w:eastAsia="Calibri" w:hAnsi="Verdana" w:cs="Arial"/>
                <w:sz w:val="20"/>
                <w:szCs w:val="20"/>
              </w:rPr>
            </w:pPr>
          </w:p>
          <w:p w14:paraId="7373BB1C" w14:textId="77777777" w:rsidR="009C7B1B" w:rsidRPr="000C6101" w:rsidRDefault="009C7B1B" w:rsidP="000C6101">
            <w:pPr>
              <w:jc w:val="both"/>
              <w:rPr>
                <w:rFonts w:ascii="Verdana" w:eastAsia="Calibri" w:hAnsi="Verdana" w:cs="Arial"/>
                <w:sz w:val="20"/>
                <w:szCs w:val="20"/>
              </w:rPr>
            </w:pPr>
          </w:p>
          <w:p w14:paraId="18D2FBB6" w14:textId="74FEEDCC" w:rsidR="009C7B1B" w:rsidRPr="000C6101" w:rsidRDefault="009C7B1B" w:rsidP="000C6101">
            <w:pPr>
              <w:jc w:val="both"/>
              <w:rPr>
                <w:rFonts w:ascii="Verdana" w:eastAsia="Calibri" w:hAnsi="Verdana" w:cs="Arial"/>
                <w:sz w:val="20"/>
                <w:szCs w:val="20"/>
              </w:rPr>
            </w:pPr>
            <w:r w:rsidRPr="000C6101">
              <w:rPr>
                <w:rFonts w:ascii="Verdana" w:eastAsia="Calibri" w:hAnsi="Verdana" w:cs="Arial"/>
                <w:sz w:val="20"/>
                <w:szCs w:val="20"/>
              </w:rPr>
              <w:t xml:space="preserve">Une ébauche de </w:t>
            </w:r>
            <w:proofErr w:type="spellStart"/>
            <w:r w:rsidR="000C6101" w:rsidRPr="000C6101">
              <w:rPr>
                <w:rFonts w:ascii="Verdana" w:eastAsia="Calibri" w:hAnsi="Verdana" w:cs="Arial"/>
                <w:sz w:val="20"/>
                <w:szCs w:val="20"/>
              </w:rPr>
              <w:t>T</w:t>
            </w:r>
            <w:r w:rsidRPr="000C6101">
              <w:rPr>
                <w:rFonts w:ascii="Verdana" w:eastAsia="Calibri" w:hAnsi="Verdana" w:cs="Arial"/>
                <w:sz w:val="20"/>
                <w:szCs w:val="20"/>
              </w:rPr>
              <w:t>drs</w:t>
            </w:r>
            <w:proofErr w:type="spellEnd"/>
            <w:r w:rsidRPr="000C6101">
              <w:rPr>
                <w:rFonts w:ascii="Verdana" w:eastAsia="Calibri" w:hAnsi="Verdana" w:cs="Arial"/>
                <w:sz w:val="20"/>
                <w:szCs w:val="20"/>
              </w:rPr>
              <w:t xml:space="preserve"> en vue du déploiement de missions d’écoute et de dialogue a été soumise aux États membres. Un atelier de validation est prévu le 27 aout 2024 à Maurice avec les OPL.</w:t>
            </w:r>
          </w:p>
          <w:p w14:paraId="710F3DA5" w14:textId="77777777" w:rsidR="009C7B1B" w:rsidRPr="000C6101" w:rsidRDefault="009C7B1B" w:rsidP="000C6101">
            <w:pPr>
              <w:jc w:val="both"/>
              <w:rPr>
                <w:rFonts w:ascii="Verdana" w:eastAsia="Calibri" w:hAnsi="Verdana" w:cs="Arial"/>
                <w:sz w:val="20"/>
                <w:szCs w:val="20"/>
              </w:rPr>
            </w:pPr>
          </w:p>
          <w:p w14:paraId="0D4547B3" w14:textId="77777777" w:rsidR="009C7B1B" w:rsidRPr="000C6101" w:rsidRDefault="009C7B1B" w:rsidP="000C6101">
            <w:pPr>
              <w:jc w:val="both"/>
              <w:rPr>
                <w:rFonts w:ascii="Verdana" w:eastAsia="Calibri" w:hAnsi="Verdana" w:cs="Arial"/>
                <w:sz w:val="20"/>
                <w:szCs w:val="20"/>
              </w:rPr>
            </w:pPr>
          </w:p>
          <w:p w14:paraId="10692D95" w14:textId="70BCDC8C" w:rsidR="009C7B1B" w:rsidRPr="000C6101" w:rsidRDefault="009C7B1B" w:rsidP="000C6101">
            <w:pPr>
              <w:jc w:val="both"/>
              <w:rPr>
                <w:rFonts w:ascii="Verdana" w:eastAsia="Calibri" w:hAnsi="Verdana" w:cs="Arial"/>
                <w:sz w:val="20"/>
                <w:szCs w:val="20"/>
              </w:rPr>
            </w:pPr>
            <w:r w:rsidRPr="000C6101">
              <w:rPr>
                <w:rFonts w:ascii="Verdana" w:eastAsia="Calibri" w:hAnsi="Verdana" w:cs="Arial"/>
                <w:sz w:val="20"/>
                <w:szCs w:val="20"/>
              </w:rPr>
              <w:t>Le coordonnateur technique de l’Unité de Gouvernance a pris ses fonctions en juillet. Il s’attèle actuellement à l’élaboration d’un mécanisme de renforcement des partenariats techniques et financiers dans le secteur de la gouvernance ainsi que la mobilisation d’appui technique et financier en vue de la pérennisation de l’Unité et des plateformes régionales redynamisées par le projet (AP-COI/PFPOI).</w:t>
            </w:r>
          </w:p>
        </w:tc>
        <w:tc>
          <w:tcPr>
            <w:tcW w:w="1984" w:type="dxa"/>
          </w:tcPr>
          <w:p w14:paraId="2E065E5C" w14:textId="77777777" w:rsidR="009C7B1B" w:rsidRPr="000C6101" w:rsidRDefault="009C7B1B" w:rsidP="009C7B1B">
            <w:pPr>
              <w:jc w:val="center"/>
              <w:rPr>
                <w:rFonts w:ascii="Verdana" w:eastAsia="Calibri" w:hAnsi="Verdana" w:cs="Arial"/>
                <w:sz w:val="20"/>
                <w:szCs w:val="20"/>
              </w:rPr>
            </w:pPr>
          </w:p>
        </w:tc>
        <w:tc>
          <w:tcPr>
            <w:tcW w:w="1904" w:type="dxa"/>
          </w:tcPr>
          <w:p w14:paraId="455EAFDC" w14:textId="77777777" w:rsidR="009C7B1B" w:rsidRPr="000C6101" w:rsidRDefault="009C7B1B" w:rsidP="009C7B1B">
            <w:pPr>
              <w:jc w:val="center"/>
              <w:rPr>
                <w:rFonts w:ascii="Verdana" w:eastAsia="Calibri" w:hAnsi="Verdana" w:cs="Arial"/>
                <w:sz w:val="20"/>
                <w:szCs w:val="20"/>
              </w:rPr>
            </w:pPr>
          </w:p>
        </w:tc>
      </w:tr>
      <w:tr w:rsidR="000C6101" w:rsidRPr="000C6101" w14:paraId="1C33983C" w14:textId="77777777" w:rsidTr="396FCBB9">
        <w:tc>
          <w:tcPr>
            <w:tcW w:w="7230" w:type="dxa"/>
          </w:tcPr>
          <w:p w14:paraId="168C19A6" w14:textId="77777777" w:rsidR="009C7B1B" w:rsidRPr="000C6101" w:rsidRDefault="009C7B1B" w:rsidP="009C7B1B">
            <w:pPr>
              <w:spacing w:after="120" w:line="276" w:lineRule="auto"/>
              <w:jc w:val="center"/>
              <w:rPr>
                <w:rFonts w:ascii="Verdana" w:eastAsia="Calibri" w:hAnsi="Verdana" w:cs="Times New Roman"/>
                <w:spacing w:val="6"/>
                <w:kern w:val="0"/>
                <w:sz w:val="20"/>
                <w:szCs w:val="20"/>
                <w14:ligatures w14:val="none"/>
              </w:rPr>
            </w:pPr>
            <w:r w:rsidRPr="000C6101">
              <w:rPr>
                <w:rFonts w:ascii="Verdana" w:eastAsia="Calibri" w:hAnsi="Verdana" w:cs="Times New Roman"/>
                <w:b/>
                <w:bCs/>
                <w:kern w:val="0"/>
                <w:sz w:val="20"/>
                <w:szCs w:val="20"/>
                <w14:ligatures w14:val="none"/>
              </w:rPr>
              <w:lastRenderedPageBreak/>
              <w:t>Décision 11. ECOFISH – Plan régional de surveillance des pêches</w:t>
            </w:r>
          </w:p>
          <w:p w14:paraId="17C0AE67" w14:textId="77777777" w:rsidR="009C7B1B" w:rsidRPr="000C6101" w:rsidRDefault="009C7B1B" w:rsidP="009C7B1B">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Le Comité des OPL :</w:t>
            </w:r>
          </w:p>
          <w:p w14:paraId="55EF68A1" w14:textId="77777777" w:rsidR="009C7B1B" w:rsidRPr="000C6101" w:rsidRDefault="009C7B1B" w:rsidP="009C7B1B">
            <w:pPr>
              <w:numPr>
                <w:ilvl w:val="0"/>
                <w:numId w:val="11"/>
              </w:numPr>
              <w:spacing w:after="120" w:line="248" w:lineRule="auto"/>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Réitère la nécessité d’une extension du programme ECOFISH pour une période de 18 mois conformément aux recommandations du dernier comité de pilotage.</w:t>
            </w:r>
          </w:p>
          <w:p w14:paraId="5C8DBFB4" w14:textId="77777777" w:rsidR="009C7B1B" w:rsidRPr="000C6101" w:rsidRDefault="009C7B1B" w:rsidP="009C7B1B">
            <w:pPr>
              <w:numPr>
                <w:ilvl w:val="0"/>
                <w:numId w:val="11"/>
              </w:numPr>
              <w:spacing w:after="120" w:line="248" w:lineRule="auto"/>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Prend note de la réflexion et des travaux juridiques et techniques réalisés dans le cadre du processus d’institutionnalisation et de pérennisation du Plan régional de surveillance des pêches (PRSP).</w:t>
            </w:r>
          </w:p>
          <w:p w14:paraId="450046B7" w14:textId="51953D9B" w:rsidR="009C7B1B" w:rsidRPr="000C6101" w:rsidRDefault="009C7B1B" w:rsidP="009C7B1B">
            <w:pPr>
              <w:numPr>
                <w:ilvl w:val="0"/>
                <w:numId w:val="11"/>
              </w:numPr>
              <w:spacing w:after="120" w:line="248" w:lineRule="auto"/>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 xml:space="preserve">Recommande au Conseil des ministres de tenir compte des positions émises par les représentants des États membres à l’atelier juridique de Zanzibar (mars 2023) et de demander au Secrétariat général d’intégrer les commentaires des </w:t>
            </w:r>
            <w:r w:rsidR="000C6101" w:rsidRPr="000C6101">
              <w:rPr>
                <w:rFonts w:ascii="Verdana" w:eastAsia="Calibri" w:hAnsi="Verdana" w:cs="Times New Roman"/>
                <w:kern w:val="0"/>
                <w:sz w:val="20"/>
                <w:szCs w:val="20"/>
                <w14:ligatures w14:val="none"/>
              </w:rPr>
              <w:t>États</w:t>
            </w:r>
            <w:r w:rsidRPr="000C6101">
              <w:rPr>
                <w:rFonts w:ascii="Verdana" w:eastAsia="Calibri" w:hAnsi="Verdana" w:cs="Times New Roman"/>
                <w:kern w:val="0"/>
                <w:sz w:val="20"/>
                <w:szCs w:val="20"/>
                <w14:ligatures w14:val="none"/>
              </w:rPr>
              <w:t xml:space="preserve"> membres aux instruments juridiques du PRSP </w:t>
            </w:r>
            <w:r w:rsidRPr="000C6101">
              <w:rPr>
                <w:rFonts w:ascii="Verdana" w:eastAsia="Calibri" w:hAnsi="Verdana" w:cs="Segoe UI"/>
                <w:kern w:val="0"/>
                <w:sz w:val="20"/>
                <w:szCs w:val="20"/>
                <w14:ligatures w14:val="none"/>
              </w:rPr>
              <w:t>et de communiquer la version consolidée à tous les États membres puis à tous les États participants en vue de leur signature à l’occasion de la prochaine conférence ministérielle sur la pêche aux Seychelles</w:t>
            </w:r>
            <w:r w:rsidRPr="000C6101">
              <w:rPr>
                <w:rFonts w:ascii="Verdana" w:eastAsia="Calibri" w:hAnsi="Verdana" w:cs="Times New Roman"/>
                <w:kern w:val="0"/>
                <w:sz w:val="20"/>
                <w:szCs w:val="20"/>
                <w14:ligatures w14:val="none"/>
              </w:rPr>
              <w:t>, à savoir :</w:t>
            </w:r>
          </w:p>
          <w:p w14:paraId="36A5AAA8" w14:textId="77777777" w:rsidR="009C7B1B" w:rsidRPr="000C6101" w:rsidRDefault="009C7B1B" w:rsidP="009C7B1B">
            <w:pPr>
              <w:numPr>
                <w:ilvl w:val="3"/>
                <w:numId w:val="11"/>
              </w:numPr>
              <w:tabs>
                <w:tab w:val="left" w:pos="1560"/>
              </w:tabs>
              <w:spacing w:after="120" w:line="248" w:lineRule="auto"/>
              <w:ind w:left="1418" w:hanging="142"/>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L’Accord sur l'arrangement administratif entre la COI et les États participants au PRSP pour la gestion et l'opérationnalisation du PRSP, lequel remplace les arrangements administratifs de 2014 et comporte en annexes la zone de coopération définie en 2007, une déclaration de Madagascar ainsi que des addendas relatifs à son extension.</w:t>
            </w:r>
          </w:p>
          <w:p w14:paraId="0C90B026" w14:textId="77777777" w:rsidR="009C7B1B" w:rsidRPr="000C6101" w:rsidRDefault="009C7B1B" w:rsidP="009C7B1B">
            <w:pPr>
              <w:numPr>
                <w:ilvl w:val="3"/>
                <w:numId w:val="11"/>
              </w:numPr>
              <w:tabs>
                <w:tab w:val="left" w:pos="1560"/>
              </w:tabs>
              <w:spacing w:after="120" w:line="248" w:lineRule="auto"/>
              <w:ind w:left="1418" w:hanging="142"/>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Les termes de référence pour l'Unité régionale de coordination (UCR) du PRSP.</w:t>
            </w:r>
          </w:p>
          <w:p w14:paraId="25C24F5D" w14:textId="77777777" w:rsidR="009C7B1B" w:rsidRPr="000C6101" w:rsidRDefault="009C7B1B" w:rsidP="009C7B1B">
            <w:pPr>
              <w:numPr>
                <w:ilvl w:val="3"/>
                <w:numId w:val="11"/>
              </w:numPr>
              <w:tabs>
                <w:tab w:val="left" w:pos="1560"/>
              </w:tabs>
              <w:spacing w:after="120" w:line="248" w:lineRule="auto"/>
              <w:ind w:left="1418" w:hanging="142"/>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lastRenderedPageBreak/>
              <w:t>Les termes de référence pour l'Unité régionale de coordination régionale élargie (UCRE) du PRSP.</w:t>
            </w:r>
          </w:p>
          <w:p w14:paraId="2A6B670C" w14:textId="77777777" w:rsidR="009C7B1B" w:rsidRPr="000C6101" w:rsidRDefault="009C7B1B" w:rsidP="009C7B1B">
            <w:pPr>
              <w:numPr>
                <w:ilvl w:val="3"/>
                <w:numId w:val="11"/>
              </w:numPr>
              <w:tabs>
                <w:tab w:val="left" w:pos="1560"/>
              </w:tabs>
              <w:spacing w:after="120" w:line="248" w:lineRule="auto"/>
              <w:ind w:left="1418" w:hanging="142"/>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Les termes de référence pour le Groupe de travail des gestionnaires de programmes d'observateurs nationaux.</w:t>
            </w:r>
          </w:p>
          <w:p w14:paraId="755CFD0A" w14:textId="77777777" w:rsidR="009C7B1B" w:rsidRPr="000C6101" w:rsidRDefault="009C7B1B" w:rsidP="009C7B1B">
            <w:pPr>
              <w:numPr>
                <w:ilvl w:val="3"/>
                <w:numId w:val="11"/>
              </w:numPr>
              <w:tabs>
                <w:tab w:val="left" w:pos="1560"/>
              </w:tabs>
              <w:spacing w:after="120" w:line="248" w:lineRule="auto"/>
              <w:ind w:left="1418" w:hanging="142"/>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L’Accord entre les États participants au PRSP pour l'échange d'informations sur les pêches aux fins du Suivi, Contrôle et Surveillance ; la nouvelle version de l’accord remplaçant le Protocole VMS de 2014.</w:t>
            </w:r>
          </w:p>
          <w:p w14:paraId="0B6465FE" w14:textId="77777777" w:rsidR="009C7B1B" w:rsidRPr="000C6101" w:rsidRDefault="009C7B1B" w:rsidP="009C7B1B">
            <w:pPr>
              <w:numPr>
                <w:ilvl w:val="3"/>
                <w:numId w:val="11"/>
              </w:numPr>
              <w:tabs>
                <w:tab w:val="left" w:pos="1560"/>
              </w:tabs>
              <w:spacing w:after="120" w:line="248" w:lineRule="auto"/>
              <w:ind w:left="1418" w:hanging="142"/>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Le protocole d'Accord pour la certification et la coordination des observateurs scientifiques des États côtiers au niveau sous-régional et le partage des informations et des données des observateurs.</w:t>
            </w:r>
          </w:p>
          <w:p w14:paraId="25A97068" w14:textId="11502CFF" w:rsidR="009C7B1B" w:rsidRPr="000C6101" w:rsidRDefault="009C7B1B" w:rsidP="009C7B1B">
            <w:pPr>
              <w:numPr>
                <w:ilvl w:val="0"/>
                <w:numId w:val="11"/>
              </w:numPr>
              <w:spacing w:after="120" w:line="248" w:lineRule="auto"/>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 xml:space="preserve">Demande au Secrétariat général d’engager les discussions avec les </w:t>
            </w:r>
            <w:r w:rsidR="000C6101" w:rsidRPr="000C6101">
              <w:rPr>
                <w:rFonts w:ascii="Verdana" w:eastAsia="Calibri" w:hAnsi="Verdana" w:cs="Times New Roman"/>
                <w:kern w:val="0"/>
                <w:sz w:val="20"/>
                <w:szCs w:val="20"/>
                <w14:ligatures w14:val="none"/>
              </w:rPr>
              <w:t>États</w:t>
            </w:r>
            <w:r w:rsidRPr="000C6101">
              <w:rPr>
                <w:rFonts w:ascii="Verdana" w:eastAsia="Calibri" w:hAnsi="Verdana" w:cs="Times New Roman"/>
                <w:kern w:val="0"/>
                <w:sz w:val="20"/>
                <w:szCs w:val="20"/>
                <w14:ligatures w14:val="none"/>
              </w:rPr>
              <w:t xml:space="preserve"> membres en vue de l’établissement d’un Centre sous-régional de surveillance, de contrôle et d'observation des pêches auprès de l’un d’entre eux. </w:t>
            </w:r>
          </w:p>
          <w:p w14:paraId="704A02EC" w14:textId="77777777" w:rsidR="009C7B1B" w:rsidRPr="000C6101" w:rsidRDefault="009C7B1B" w:rsidP="009C7B1B">
            <w:pPr>
              <w:numPr>
                <w:ilvl w:val="0"/>
                <w:numId w:val="11"/>
              </w:numPr>
              <w:spacing w:after="120" w:line="248" w:lineRule="auto"/>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Demande aux pays participants de s’engager à mobiliser les moyens techniques, humains et financiers en vue de la pérennisation du PRSP.</w:t>
            </w:r>
          </w:p>
          <w:p w14:paraId="625EF9F7" w14:textId="77777777" w:rsidR="009C7B1B" w:rsidRPr="000C6101" w:rsidRDefault="009C7B1B" w:rsidP="009C7B1B">
            <w:pPr>
              <w:numPr>
                <w:ilvl w:val="0"/>
                <w:numId w:val="11"/>
              </w:numPr>
              <w:spacing w:after="120" w:line="248" w:lineRule="auto"/>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 xml:space="preserve">Recommande au Conseil des ministres de : </w:t>
            </w:r>
          </w:p>
          <w:p w14:paraId="70A857A9" w14:textId="77777777" w:rsidR="009C7B1B" w:rsidRPr="000C6101" w:rsidRDefault="009C7B1B" w:rsidP="009C7B1B">
            <w:pPr>
              <w:numPr>
                <w:ilvl w:val="2"/>
                <w:numId w:val="11"/>
              </w:numPr>
              <w:spacing w:after="120" w:line="248" w:lineRule="auto"/>
              <w:ind w:left="1134"/>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Rappeler que l’organe suprême décisionnel du PRSP demeure le Conseil des ministres de la COI.</w:t>
            </w:r>
          </w:p>
          <w:p w14:paraId="0537F3EC" w14:textId="2A21DC88" w:rsidR="009C7B1B" w:rsidRPr="000C6101" w:rsidRDefault="009C7B1B" w:rsidP="009C7B1B">
            <w:pPr>
              <w:numPr>
                <w:ilvl w:val="2"/>
                <w:numId w:val="11"/>
              </w:numPr>
              <w:spacing w:after="120" w:line="248" w:lineRule="auto"/>
              <w:ind w:left="1134"/>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 xml:space="preserve">Accueillir favorablement la proposition des Seychelles d’abriter la prochaine conférence ministérielle sur la pêche durant le deuxième semestre 2024 après validation des textes juridiques du PRSP par les </w:t>
            </w:r>
            <w:r w:rsidR="000C6101" w:rsidRPr="000C6101">
              <w:rPr>
                <w:rFonts w:ascii="Verdana" w:eastAsia="Calibri" w:hAnsi="Verdana" w:cs="Times New Roman"/>
                <w:kern w:val="0"/>
                <w:sz w:val="20"/>
                <w:szCs w:val="20"/>
                <w14:ligatures w14:val="none"/>
              </w:rPr>
              <w:t>États</w:t>
            </w:r>
            <w:r w:rsidRPr="000C6101">
              <w:rPr>
                <w:rFonts w:ascii="Verdana" w:eastAsia="Calibri" w:hAnsi="Verdana" w:cs="Times New Roman"/>
                <w:kern w:val="0"/>
                <w:sz w:val="20"/>
                <w:szCs w:val="20"/>
                <w14:ligatures w14:val="none"/>
              </w:rPr>
              <w:t xml:space="preserve"> membres de la COI.</w:t>
            </w:r>
          </w:p>
          <w:p w14:paraId="5BFA7D19" w14:textId="77777777" w:rsidR="009C7B1B" w:rsidRPr="000C6101" w:rsidRDefault="009C7B1B" w:rsidP="009C7B1B">
            <w:pPr>
              <w:rPr>
                <w:rFonts w:ascii="Verdana" w:eastAsia="Calibri" w:hAnsi="Verdana" w:cs="Arial"/>
                <w:sz w:val="20"/>
                <w:szCs w:val="20"/>
              </w:rPr>
            </w:pPr>
          </w:p>
        </w:tc>
        <w:tc>
          <w:tcPr>
            <w:tcW w:w="3690" w:type="dxa"/>
          </w:tcPr>
          <w:p w14:paraId="42801EA7" w14:textId="77777777" w:rsidR="009C7B1B" w:rsidRPr="000C6101" w:rsidRDefault="009C7B1B" w:rsidP="000C6101">
            <w:pPr>
              <w:jc w:val="both"/>
              <w:rPr>
                <w:rFonts w:ascii="Calibri" w:eastAsia="Calibri" w:hAnsi="Calibri" w:cs="Calibri"/>
              </w:rPr>
            </w:pPr>
          </w:p>
          <w:p w14:paraId="4824C635" w14:textId="77777777" w:rsidR="009C7B1B" w:rsidRPr="000C6101" w:rsidRDefault="009C7B1B" w:rsidP="000C6101">
            <w:pPr>
              <w:jc w:val="both"/>
              <w:rPr>
                <w:rFonts w:ascii="Calibri" w:eastAsia="Calibri" w:hAnsi="Calibri" w:cs="Calibri"/>
              </w:rPr>
            </w:pPr>
          </w:p>
          <w:p w14:paraId="45D4BB6A" w14:textId="77777777" w:rsidR="009C7B1B" w:rsidRPr="000C6101" w:rsidRDefault="009C7B1B" w:rsidP="000C6101">
            <w:pPr>
              <w:jc w:val="both"/>
              <w:rPr>
                <w:rFonts w:ascii="Calibri" w:eastAsia="Calibri" w:hAnsi="Calibri" w:cs="Calibri"/>
              </w:rPr>
            </w:pPr>
          </w:p>
          <w:p w14:paraId="0D26BB63" w14:textId="77777777" w:rsidR="009C7B1B" w:rsidRPr="000C6101" w:rsidRDefault="009C7B1B" w:rsidP="000C6101">
            <w:pPr>
              <w:jc w:val="both"/>
              <w:rPr>
                <w:rFonts w:ascii="Calibri" w:eastAsia="Calibri" w:hAnsi="Calibri" w:cs="Calibri"/>
              </w:rPr>
            </w:pPr>
          </w:p>
          <w:p w14:paraId="21EF6B55" w14:textId="77777777" w:rsidR="009C7B1B" w:rsidRPr="000C6101" w:rsidRDefault="009C7B1B" w:rsidP="000C6101">
            <w:pPr>
              <w:jc w:val="both"/>
              <w:rPr>
                <w:rFonts w:ascii="Calibri" w:eastAsia="Calibri" w:hAnsi="Calibri" w:cs="Calibri"/>
              </w:rPr>
            </w:pPr>
            <w:r w:rsidRPr="000C6101">
              <w:rPr>
                <w:rFonts w:ascii="Calibri" w:eastAsia="Calibri" w:hAnsi="Calibri" w:cs="Calibri"/>
              </w:rPr>
              <w:t xml:space="preserve">La DUE </w:t>
            </w:r>
            <w:proofErr w:type="spellStart"/>
            <w:r w:rsidRPr="000C6101">
              <w:rPr>
                <w:rFonts w:ascii="Calibri" w:eastAsia="Calibri" w:hAnsi="Calibri" w:cs="Calibri"/>
              </w:rPr>
              <w:t>a</w:t>
            </w:r>
            <w:proofErr w:type="spellEnd"/>
            <w:r w:rsidRPr="000C6101">
              <w:rPr>
                <w:rFonts w:ascii="Calibri" w:eastAsia="Calibri" w:hAnsi="Calibri" w:cs="Calibri"/>
              </w:rPr>
              <w:t xml:space="preserve"> approuvé l’extension du programme ECOFISH pour une période de 12 mois (septembre 2025).</w:t>
            </w:r>
          </w:p>
          <w:p w14:paraId="78F54F5A" w14:textId="77777777" w:rsidR="009C7B1B" w:rsidRPr="000C6101" w:rsidRDefault="009C7B1B" w:rsidP="000C6101">
            <w:pPr>
              <w:jc w:val="both"/>
              <w:rPr>
                <w:rFonts w:ascii="Calibri" w:eastAsia="Calibri" w:hAnsi="Calibri" w:cs="Calibri"/>
              </w:rPr>
            </w:pPr>
            <w:r w:rsidRPr="000C6101">
              <w:rPr>
                <w:rFonts w:ascii="Calibri" w:eastAsia="Calibri" w:hAnsi="Calibri" w:cs="Calibri"/>
              </w:rPr>
              <w:t>On s’attelle actuellement à l’établissement de l’avenant au Devis-programme marin sous la gestion de la COI.</w:t>
            </w:r>
          </w:p>
          <w:p w14:paraId="75F227BA" w14:textId="77777777" w:rsidR="009C7B1B" w:rsidRPr="000C6101" w:rsidRDefault="009C7B1B" w:rsidP="000C6101">
            <w:pPr>
              <w:jc w:val="both"/>
              <w:rPr>
                <w:rFonts w:ascii="Calibri" w:eastAsia="Calibri" w:hAnsi="Calibri" w:cs="Calibri"/>
              </w:rPr>
            </w:pPr>
          </w:p>
          <w:p w14:paraId="65EB0A79" w14:textId="77777777" w:rsidR="009C7B1B" w:rsidRPr="000C6101" w:rsidRDefault="009C7B1B" w:rsidP="000C6101">
            <w:pPr>
              <w:jc w:val="both"/>
              <w:rPr>
                <w:rFonts w:ascii="Calibri" w:eastAsia="Calibri" w:hAnsi="Calibri" w:cs="Calibri"/>
              </w:rPr>
            </w:pPr>
          </w:p>
          <w:p w14:paraId="10F768A5" w14:textId="77777777" w:rsidR="009C7B1B" w:rsidRPr="000C6101" w:rsidRDefault="009C7B1B" w:rsidP="000C6101">
            <w:pPr>
              <w:jc w:val="both"/>
              <w:rPr>
                <w:rFonts w:ascii="Calibri" w:eastAsia="Calibri" w:hAnsi="Calibri" w:cs="Calibri"/>
              </w:rPr>
            </w:pPr>
          </w:p>
          <w:p w14:paraId="7E764A8B" w14:textId="77777777" w:rsidR="009C7B1B" w:rsidRPr="000C6101" w:rsidRDefault="009C7B1B" w:rsidP="000C6101">
            <w:pPr>
              <w:jc w:val="both"/>
              <w:rPr>
                <w:rFonts w:ascii="Calibri" w:eastAsia="Calibri" w:hAnsi="Calibri" w:cs="Calibri"/>
              </w:rPr>
            </w:pPr>
          </w:p>
          <w:p w14:paraId="1B16B713" w14:textId="77777777" w:rsidR="009C7B1B" w:rsidRPr="000C6101" w:rsidRDefault="009C7B1B" w:rsidP="000C6101">
            <w:pPr>
              <w:jc w:val="both"/>
              <w:rPr>
                <w:rFonts w:ascii="Calibri" w:eastAsia="Calibri" w:hAnsi="Calibri" w:cs="Calibri"/>
              </w:rPr>
            </w:pPr>
            <w:r w:rsidRPr="000C6101">
              <w:rPr>
                <w:rFonts w:ascii="Calibri" w:eastAsia="Calibri" w:hAnsi="Calibri" w:cs="Calibri"/>
              </w:rPr>
              <w:t>La consolidation des textes juridiques est en cours à travers l’intégration des commentaires des États membres et la traduction des documents en trois versions. La version consolidée sera soumise aux États participants.</w:t>
            </w:r>
          </w:p>
          <w:p w14:paraId="339DFD20" w14:textId="77777777" w:rsidR="009C7B1B" w:rsidRPr="000C6101" w:rsidRDefault="009C7B1B" w:rsidP="000C6101">
            <w:pPr>
              <w:jc w:val="both"/>
              <w:rPr>
                <w:rFonts w:ascii="Calibri" w:eastAsia="Calibri" w:hAnsi="Calibri" w:cs="Calibri"/>
              </w:rPr>
            </w:pPr>
          </w:p>
        </w:tc>
        <w:tc>
          <w:tcPr>
            <w:tcW w:w="1984" w:type="dxa"/>
          </w:tcPr>
          <w:p w14:paraId="4F0494AF" w14:textId="77777777" w:rsidR="009C7B1B" w:rsidRPr="000C6101" w:rsidRDefault="009C7B1B" w:rsidP="009C7B1B">
            <w:pPr>
              <w:jc w:val="center"/>
              <w:rPr>
                <w:rFonts w:ascii="Verdana" w:eastAsia="Calibri" w:hAnsi="Verdana" w:cs="Arial"/>
                <w:sz w:val="20"/>
                <w:szCs w:val="20"/>
              </w:rPr>
            </w:pPr>
          </w:p>
        </w:tc>
        <w:tc>
          <w:tcPr>
            <w:tcW w:w="1904" w:type="dxa"/>
          </w:tcPr>
          <w:p w14:paraId="7DC8D22A" w14:textId="77777777" w:rsidR="009C7B1B" w:rsidRPr="000C6101" w:rsidRDefault="009C7B1B" w:rsidP="009C7B1B">
            <w:pPr>
              <w:jc w:val="center"/>
              <w:rPr>
                <w:rFonts w:ascii="Verdana" w:eastAsia="Calibri" w:hAnsi="Verdana" w:cs="Arial"/>
                <w:sz w:val="20"/>
                <w:szCs w:val="20"/>
              </w:rPr>
            </w:pPr>
          </w:p>
        </w:tc>
      </w:tr>
      <w:tr w:rsidR="000C6101" w:rsidRPr="000C6101" w14:paraId="38843E9A" w14:textId="77777777" w:rsidTr="396FCBB9">
        <w:tc>
          <w:tcPr>
            <w:tcW w:w="7230" w:type="dxa"/>
          </w:tcPr>
          <w:p w14:paraId="3A3FD83D" w14:textId="77777777" w:rsidR="009C7B1B" w:rsidRPr="000C6101" w:rsidRDefault="009C7B1B" w:rsidP="009C7B1B">
            <w:pPr>
              <w:spacing w:after="120" w:line="276" w:lineRule="auto"/>
              <w:jc w:val="center"/>
              <w:rPr>
                <w:rFonts w:ascii="Verdana" w:eastAsia="Calibri" w:hAnsi="Verdana" w:cs="Times New Roman"/>
                <w:spacing w:val="6"/>
                <w:kern w:val="0"/>
                <w:sz w:val="20"/>
                <w:szCs w:val="20"/>
                <w14:ligatures w14:val="none"/>
              </w:rPr>
            </w:pPr>
            <w:r w:rsidRPr="000C6101">
              <w:rPr>
                <w:rFonts w:ascii="Verdana" w:eastAsia="Calibri" w:hAnsi="Verdana" w:cs="Times New Roman"/>
                <w:b/>
                <w:bCs/>
                <w:kern w:val="0"/>
                <w:sz w:val="20"/>
                <w:szCs w:val="20"/>
                <w14:ligatures w14:val="none"/>
              </w:rPr>
              <w:lastRenderedPageBreak/>
              <w:t xml:space="preserve">Décision 12. Résilience climatique </w:t>
            </w:r>
          </w:p>
          <w:p w14:paraId="3E5765F7" w14:textId="77777777" w:rsidR="009C7B1B" w:rsidRPr="000C6101" w:rsidRDefault="009C7B1B" w:rsidP="009C7B1B">
            <w:pPr>
              <w:spacing w:after="120"/>
              <w:rPr>
                <w:rFonts w:ascii="Verdana" w:eastAsia="Calibri" w:hAnsi="Verdana" w:cs="Courier New"/>
                <w:kern w:val="0"/>
                <w:sz w:val="20"/>
                <w:szCs w:val="20"/>
                <w14:ligatures w14:val="none"/>
              </w:rPr>
            </w:pPr>
            <w:r w:rsidRPr="000C6101">
              <w:rPr>
                <w:rFonts w:ascii="Verdana" w:eastAsia="Calibri" w:hAnsi="Verdana" w:cs="Courier New"/>
                <w:kern w:val="0"/>
                <w:sz w:val="20"/>
                <w:szCs w:val="20"/>
                <w14:ligatures w14:val="none"/>
              </w:rPr>
              <w:t>Le Comité des OPL :</w:t>
            </w:r>
          </w:p>
          <w:p w14:paraId="39EF8B59" w14:textId="77777777" w:rsidR="009C7B1B" w:rsidRPr="000C6101" w:rsidRDefault="009C7B1B" w:rsidP="009C7B1B">
            <w:pPr>
              <w:numPr>
                <w:ilvl w:val="0"/>
                <w:numId w:val="6"/>
              </w:numPr>
              <w:pBdr>
                <w:top w:val="nil"/>
                <w:left w:val="nil"/>
                <w:bottom w:val="nil"/>
                <w:right w:val="nil"/>
                <w:between w:val="nil"/>
              </w:pBdr>
              <w:spacing w:before="120" w:after="120" w:line="249" w:lineRule="auto"/>
              <w:jc w:val="both"/>
              <w:rPr>
                <w:rFonts w:ascii="Verdana" w:eastAsia="Verdana" w:hAnsi="Verdana" w:cs="Courier New"/>
                <w:kern w:val="0"/>
                <w:sz w:val="20"/>
                <w:szCs w:val="20"/>
                <w14:ligatures w14:val="none"/>
              </w:rPr>
            </w:pPr>
            <w:r w:rsidRPr="000C6101">
              <w:rPr>
                <w:rFonts w:ascii="Verdana" w:eastAsia="Verdana" w:hAnsi="Verdana" w:cs="Courier New"/>
                <w:kern w:val="0"/>
                <w:sz w:val="20"/>
                <w:szCs w:val="20"/>
                <w14:ligatures w14:val="none"/>
              </w:rPr>
              <w:t xml:space="preserve">Exprime sa solidarité à la République de Madagascar à la suite du passage du cyclone </w:t>
            </w:r>
            <w:proofErr w:type="spellStart"/>
            <w:r w:rsidRPr="000C6101">
              <w:rPr>
                <w:rFonts w:ascii="Verdana" w:eastAsia="Verdana" w:hAnsi="Verdana" w:cs="Courier New"/>
                <w:kern w:val="0"/>
                <w:sz w:val="20"/>
                <w:szCs w:val="20"/>
                <w14:ligatures w14:val="none"/>
              </w:rPr>
              <w:t>Gamane</w:t>
            </w:r>
            <w:proofErr w:type="spellEnd"/>
            <w:r w:rsidRPr="000C6101">
              <w:rPr>
                <w:rFonts w:ascii="Verdana" w:eastAsia="Verdana" w:hAnsi="Verdana" w:cs="Courier New"/>
                <w:kern w:val="0"/>
                <w:sz w:val="20"/>
                <w:szCs w:val="20"/>
                <w14:ligatures w14:val="none"/>
              </w:rPr>
              <w:t>.</w:t>
            </w:r>
          </w:p>
          <w:p w14:paraId="35C1AE46" w14:textId="77777777" w:rsidR="009C7B1B" w:rsidRPr="000C6101" w:rsidRDefault="009C7B1B" w:rsidP="009C7B1B">
            <w:pPr>
              <w:numPr>
                <w:ilvl w:val="0"/>
                <w:numId w:val="6"/>
              </w:numPr>
              <w:pBdr>
                <w:top w:val="nil"/>
                <w:left w:val="nil"/>
                <w:bottom w:val="nil"/>
                <w:right w:val="nil"/>
                <w:between w:val="nil"/>
              </w:pBdr>
              <w:spacing w:before="120" w:after="120" w:line="249" w:lineRule="auto"/>
              <w:jc w:val="both"/>
              <w:rPr>
                <w:rFonts w:ascii="Verdana" w:eastAsia="Verdana" w:hAnsi="Verdana" w:cs="Courier New"/>
                <w:kern w:val="0"/>
                <w:sz w:val="20"/>
                <w:szCs w:val="20"/>
                <w14:ligatures w14:val="none"/>
              </w:rPr>
            </w:pPr>
            <w:r w:rsidRPr="000C6101">
              <w:rPr>
                <w:rFonts w:ascii="Verdana" w:eastAsia="Verdana" w:hAnsi="Verdana" w:cs="Courier New"/>
                <w:kern w:val="0"/>
                <w:sz w:val="20"/>
                <w:szCs w:val="20"/>
                <w14:ligatures w14:val="none"/>
              </w:rPr>
              <w:t xml:space="preserve">Prend note des informations fournies sur la mise en œuvre de la Stratégie régionale d’adaptation au changement climatique et recommande la mise à jour de la Stratégie sur le changement climatique pour prendre en compte les aspects de l’atténuation.  </w:t>
            </w:r>
          </w:p>
          <w:p w14:paraId="62477E35" w14:textId="1CEC6D90" w:rsidR="009C7B1B" w:rsidRPr="000C6101" w:rsidRDefault="009C7B1B" w:rsidP="009C7B1B">
            <w:pPr>
              <w:numPr>
                <w:ilvl w:val="0"/>
                <w:numId w:val="6"/>
              </w:numPr>
              <w:pBdr>
                <w:top w:val="nil"/>
                <w:left w:val="nil"/>
                <w:bottom w:val="nil"/>
                <w:right w:val="nil"/>
                <w:between w:val="nil"/>
              </w:pBdr>
              <w:spacing w:before="120" w:after="120" w:line="249" w:lineRule="auto"/>
              <w:jc w:val="both"/>
              <w:rPr>
                <w:rFonts w:ascii="Verdana" w:eastAsia="Verdana" w:hAnsi="Verdana" w:cs="Courier New"/>
                <w:kern w:val="0"/>
                <w:sz w:val="20"/>
                <w:szCs w:val="20"/>
                <w14:ligatures w14:val="none"/>
              </w:rPr>
            </w:pPr>
            <w:r w:rsidRPr="000C6101">
              <w:rPr>
                <w:rFonts w:ascii="Verdana" w:eastAsia="Verdana" w:hAnsi="Verdana" w:cs="Courier New"/>
                <w:kern w:val="0"/>
                <w:sz w:val="20"/>
                <w:szCs w:val="20"/>
                <w14:ligatures w14:val="none"/>
              </w:rPr>
              <w:t xml:space="preserve">Prend note des informations fournies sur les avancées des projets et réitère sa demande au Secrétariat général de veiller à la bonne mise en œuvre du projet HYDROMET en assurant une implication des </w:t>
            </w:r>
            <w:r w:rsidR="000C6101" w:rsidRPr="000C6101">
              <w:rPr>
                <w:rFonts w:ascii="Verdana" w:eastAsia="Verdana" w:hAnsi="Verdana" w:cs="Courier New"/>
                <w:kern w:val="0"/>
                <w:sz w:val="20"/>
                <w:szCs w:val="20"/>
                <w14:ligatures w14:val="none"/>
              </w:rPr>
              <w:t>États</w:t>
            </w:r>
            <w:r w:rsidRPr="000C6101">
              <w:rPr>
                <w:rFonts w:ascii="Verdana" w:eastAsia="Verdana" w:hAnsi="Verdana" w:cs="Courier New"/>
                <w:kern w:val="0"/>
                <w:sz w:val="20"/>
                <w:szCs w:val="20"/>
                <w14:ligatures w14:val="none"/>
              </w:rPr>
              <w:t xml:space="preserve"> membres ainsi qu’à la coordination avec les organisations régionales et les projets.</w:t>
            </w:r>
          </w:p>
          <w:p w14:paraId="6BC19BBB" w14:textId="77777777" w:rsidR="009C7B1B" w:rsidRPr="000C6101" w:rsidRDefault="009C7B1B" w:rsidP="009C7B1B">
            <w:pPr>
              <w:numPr>
                <w:ilvl w:val="0"/>
                <w:numId w:val="6"/>
              </w:numPr>
              <w:pBdr>
                <w:top w:val="nil"/>
                <w:left w:val="nil"/>
                <w:bottom w:val="nil"/>
                <w:right w:val="nil"/>
                <w:between w:val="nil"/>
              </w:pBdr>
              <w:spacing w:before="120" w:after="120" w:line="249" w:lineRule="auto"/>
              <w:jc w:val="both"/>
              <w:rPr>
                <w:rFonts w:ascii="Verdana" w:eastAsia="Verdana" w:hAnsi="Verdana" w:cs="Courier New"/>
                <w:kern w:val="0"/>
                <w:sz w:val="20"/>
                <w:szCs w:val="20"/>
                <w14:ligatures w14:val="none"/>
              </w:rPr>
            </w:pPr>
            <w:r w:rsidRPr="000C6101">
              <w:rPr>
                <w:rFonts w:ascii="Verdana" w:eastAsia="Verdana" w:hAnsi="Verdana" w:cs="Courier New"/>
                <w:kern w:val="0"/>
                <w:sz w:val="20"/>
                <w:szCs w:val="20"/>
                <w14:ligatures w14:val="none"/>
              </w:rPr>
              <w:t>Prend note que la France et Madagascar assurent respectivement la présidence et la coordination du groupe de travail de l’IORA sur la réduction des risques de catastrophes et de l’opportunité pour la COI d’y être associée.</w:t>
            </w:r>
          </w:p>
          <w:p w14:paraId="7D804506" w14:textId="77777777" w:rsidR="009C7B1B" w:rsidRPr="000C6101" w:rsidRDefault="009C7B1B" w:rsidP="009C7B1B">
            <w:pPr>
              <w:numPr>
                <w:ilvl w:val="0"/>
                <w:numId w:val="6"/>
              </w:numPr>
              <w:spacing w:after="120"/>
              <w:jc w:val="both"/>
              <w:rPr>
                <w:rFonts w:ascii="Verdana" w:eastAsia="Calibri" w:hAnsi="Verdana" w:cs="Courier New"/>
                <w:kern w:val="0"/>
                <w:sz w:val="20"/>
                <w:szCs w:val="20"/>
                <w14:ligatures w14:val="none"/>
              </w:rPr>
            </w:pPr>
            <w:r w:rsidRPr="000C6101">
              <w:rPr>
                <w:rFonts w:ascii="Verdana" w:eastAsia="Calibri" w:hAnsi="Verdana" w:cs="Courier New"/>
                <w:kern w:val="0"/>
                <w:sz w:val="20"/>
                <w:szCs w:val="20"/>
                <w14:ligatures w14:val="none"/>
              </w:rPr>
              <w:t>Demande au Secrétariat général de :</w:t>
            </w:r>
          </w:p>
          <w:p w14:paraId="3CE4ED31" w14:textId="2237F793" w:rsidR="009C7B1B" w:rsidRPr="000C6101" w:rsidRDefault="009C7B1B" w:rsidP="009C7B1B">
            <w:pPr>
              <w:numPr>
                <w:ilvl w:val="2"/>
                <w:numId w:val="6"/>
              </w:numPr>
              <w:spacing w:after="120"/>
              <w:ind w:left="1418"/>
              <w:jc w:val="both"/>
              <w:rPr>
                <w:rFonts w:ascii="Verdana" w:eastAsia="Verdana" w:hAnsi="Verdana" w:cs="Courier New"/>
                <w:kern w:val="0"/>
                <w:sz w:val="20"/>
                <w:szCs w:val="20"/>
                <w14:ligatures w14:val="none"/>
              </w:rPr>
            </w:pPr>
            <w:r w:rsidRPr="000C6101">
              <w:rPr>
                <w:rFonts w:ascii="Verdana" w:eastAsia="Calibri" w:hAnsi="Verdana" w:cs="Courier New"/>
                <w:kern w:val="0"/>
                <w:sz w:val="20"/>
                <w:szCs w:val="20"/>
                <w14:ligatures w14:val="none"/>
              </w:rPr>
              <w:t xml:space="preserve">Coordonner avec les </w:t>
            </w:r>
            <w:r w:rsidR="000C6101" w:rsidRPr="000C6101">
              <w:rPr>
                <w:rFonts w:ascii="Verdana" w:eastAsia="Calibri" w:hAnsi="Verdana" w:cs="Courier New"/>
                <w:kern w:val="0"/>
                <w:sz w:val="20"/>
                <w:szCs w:val="20"/>
                <w14:ligatures w14:val="none"/>
              </w:rPr>
              <w:t>États</w:t>
            </w:r>
            <w:r w:rsidRPr="000C6101">
              <w:rPr>
                <w:rFonts w:ascii="Verdana" w:eastAsia="Calibri" w:hAnsi="Verdana" w:cs="Courier New"/>
                <w:kern w:val="0"/>
                <w:sz w:val="20"/>
                <w:szCs w:val="20"/>
                <w14:ligatures w14:val="none"/>
              </w:rPr>
              <w:t xml:space="preserve"> </w:t>
            </w:r>
            <w:r w:rsidRPr="000C6101">
              <w:rPr>
                <w:rFonts w:ascii="Verdana" w:eastAsia="Verdana" w:hAnsi="Verdana" w:cs="Courier New"/>
                <w:kern w:val="0"/>
                <w:sz w:val="20"/>
                <w:szCs w:val="20"/>
                <w14:ligatures w14:val="none"/>
              </w:rPr>
              <w:t>l’acquisition et la livraison des équipements prévus dans le cadre du projet RDRM de « Renforcement de la résilience et gestion de la réponse aux catastrophes » pour éviter les retards dans le dédouanement de ces équipements.</w:t>
            </w:r>
          </w:p>
          <w:p w14:paraId="356C4DF0" w14:textId="191B2EBD" w:rsidR="009C7B1B" w:rsidRPr="000C6101" w:rsidRDefault="009C7B1B" w:rsidP="009C7B1B">
            <w:pPr>
              <w:numPr>
                <w:ilvl w:val="2"/>
                <w:numId w:val="6"/>
              </w:numPr>
              <w:spacing w:after="120"/>
              <w:ind w:left="1418"/>
              <w:jc w:val="both"/>
              <w:rPr>
                <w:rFonts w:ascii="Verdana" w:eastAsia="Verdana" w:hAnsi="Verdana" w:cs="Courier New"/>
                <w:kern w:val="0"/>
                <w:sz w:val="20"/>
                <w:szCs w:val="20"/>
                <w14:ligatures w14:val="none"/>
              </w:rPr>
            </w:pPr>
            <w:r w:rsidRPr="000C6101">
              <w:rPr>
                <w:rFonts w:ascii="Verdana" w:eastAsia="Verdana" w:hAnsi="Verdana" w:cs="Courier New"/>
                <w:kern w:val="0"/>
                <w:sz w:val="20"/>
                <w:szCs w:val="20"/>
                <w14:ligatures w14:val="none"/>
              </w:rPr>
              <w:t>Accélérer la mise en place et le déploiement du « </w:t>
            </w:r>
            <w:r w:rsidRPr="000C6101">
              <w:rPr>
                <w:rFonts w:ascii="Verdana" w:eastAsia="Verdana" w:hAnsi="Verdana" w:cs="Courier New"/>
                <w:i/>
                <w:iCs/>
                <w:kern w:val="0"/>
                <w:sz w:val="20"/>
                <w:szCs w:val="20"/>
                <w14:ligatures w14:val="none"/>
              </w:rPr>
              <w:t>Crisis Modifier</w:t>
            </w:r>
            <w:r w:rsidRPr="000C6101">
              <w:rPr>
                <w:rFonts w:ascii="Verdana" w:eastAsia="Verdana" w:hAnsi="Verdana" w:cs="Courier New"/>
                <w:kern w:val="0"/>
                <w:sz w:val="20"/>
                <w:szCs w:val="20"/>
                <w14:ligatures w14:val="none"/>
              </w:rPr>
              <w:t xml:space="preserve"> » pour appuyer les efforts des </w:t>
            </w:r>
            <w:r w:rsidR="000C6101" w:rsidRPr="000C6101">
              <w:rPr>
                <w:rFonts w:ascii="Verdana" w:eastAsia="Verdana" w:hAnsi="Verdana" w:cs="Courier New"/>
                <w:kern w:val="0"/>
                <w:sz w:val="20"/>
                <w:szCs w:val="20"/>
                <w14:ligatures w14:val="none"/>
              </w:rPr>
              <w:t>États</w:t>
            </w:r>
            <w:r w:rsidRPr="000C6101">
              <w:rPr>
                <w:rFonts w:ascii="Verdana" w:eastAsia="Verdana" w:hAnsi="Verdana" w:cs="Courier New"/>
                <w:kern w:val="0"/>
                <w:sz w:val="20"/>
                <w:szCs w:val="20"/>
                <w14:ligatures w14:val="none"/>
              </w:rPr>
              <w:t xml:space="preserve"> membres dans la gestion de la réponse aux catastrophes.</w:t>
            </w:r>
          </w:p>
          <w:p w14:paraId="16F6C190" w14:textId="77777777" w:rsidR="009C7B1B" w:rsidRPr="000C6101" w:rsidRDefault="009C7B1B" w:rsidP="009C7B1B">
            <w:pPr>
              <w:numPr>
                <w:ilvl w:val="2"/>
                <w:numId w:val="6"/>
              </w:numPr>
              <w:spacing w:after="120"/>
              <w:ind w:left="1418"/>
              <w:jc w:val="both"/>
              <w:rPr>
                <w:rFonts w:ascii="Verdana" w:eastAsia="Verdana" w:hAnsi="Verdana" w:cs="Courier New"/>
                <w:kern w:val="0"/>
                <w:sz w:val="20"/>
                <w:szCs w:val="20"/>
                <w14:ligatures w14:val="none"/>
              </w:rPr>
            </w:pPr>
            <w:r w:rsidRPr="000C6101">
              <w:rPr>
                <w:rFonts w:ascii="Verdana" w:eastAsia="Verdana" w:hAnsi="Verdana" w:cs="Courier New"/>
                <w:kern w:val="0"/>
                <w:sz w:val="20"/>
                <w:szCs w:val="20"/>
                <w14:ligatures w14:val="none"/>
              </w:rPr>
              <w:t xml:space="preserve">Entreprendre la négociation avec </w:t>
            </w:r>
            <w:proofErr w:type="spellStart"/>
            <w:r w:rsidRPr="000C6101">
              <w:rPr>
                <w:rFonts w:ascii="Verdana" w:eastAsia="Verdana" w:hAnsi="Verdana" w:cs="Courier New"/>
                <w:kern w:val="0"/>
                <w:sz w:val="20"/>
                <w:szCs w:val="20"/>
                <w14:ligatures w14:val="none"/>
              </w:rPr>
              <w:t>RedR</w:t>
            </w:r>
            <w:proofErr w:type="spellEnd"/>
            <w:r w:rsidRPr="000C6101">
              <w:rPr>
                <w:rFonts w:ascii="Verdana" w:eastAsia="Verdana" w:hAnsi="Verdana" w:cs="Courier New"/>
                <w:kern w:val="0"/>
                <w:sz w:val="20"/>
                <w:szCs w:val="20"/>
                <w14:ligatures w14:val="none"/>
              </w:rPr>
              <w:t xml:space="preserve"> </w:t>
            </w:r>
            <w:proofErr w:type="spellStart"/>
            <w:r w:rsidRPr="000C6101">
              <w:rPr>
                <w:rFonts w:ascii="Verdana" w:eastAsia="Verdana" w:hAnsi="Verdana" w:cs="Courier New"/>
                <w:kern w:val="0"/>
                <w:sz w:val="20"/>
                <w:szCs w:val="20"/>
                <w14:ligatures w14:val="none"/>
              </w:rPr>
              <w:t>Australia</w:t>
            </w:r>
            <w:proofErr w:type="spellEnd"/>
            <w:r w:rsidRPr="000C6101">
              <w:rPr>
                <w:rFonts w:ascii="Verdana" w:eastAsia="Verdana" w:hAnsi="Verdana" w:cs="Courier New"/>
                <w:kern w:val="0"/>
                <w:sz w:val="20"/>
                <w:szCs w:val="20"/>
                <w14:ligatures w14:val="none"/>
              </w:rPr>
              <w:t xml:space="preserve"> pour reconduire le déploiement d’un expert en appui au </w:t>
            </w:r>
            <w:r w:rsidRPr="000C6101">
              <w:rPr>
                <w:rFonts w:ascii="Verdana" w:eastAsia="Verdana" w:hAnsi="Verdana" w:cs="Courier New"/>
                <w:kern w:val="0"/>
                <w:sz w:val="20"/>
                <w:szCs w:val="20"/>
                <w14:ligatures w14:val="none"/>
              </w:rPr>
              <w:lastRenderedPageBreak/>
              <w:t>Secrétariat dans le domaine de la réduction des risques des catastrophes.</w:t>
            </w:r>
          </w:p>
          <w:p w14:paraId="136C6ED5" w14:textId="77777777" w:rsidR="009C7B1B" w:rsidRPr="000C6101" w:rsidRDefault="009C7B1B" w:rsidP="009C7B1B">
            <w:pPr>
              <w:numPr>
                <w:ilvl w:val="2"/>
                <w:numId w:val="6"/>
              </w:numPr>
              <w:spacing w:after="120"/>
              <w:ind w:left="1418"/>
              <w:jc w:val="both"/>
              <w:rPr>
                <w:rFonts w:ascii="Verdana" w:eastAsia="Verdana" w:hAnsi="Verdana" w:cs="Courier New"/>
                <w:kern w:val="0"/>
                <w:sz w:val="20"/>
                <w:szCs w:val="20"/>
                <w14:ligatures w14:val="none"/>
              </w:rPr>
            </w:pPr>
            <w:r w:rsidRPr="000C6101">
              <w:rPr>
                <w:rFonts w:ascii="Verdana" w:eastAsia="Verdana" w:hAnsi="Verdana" w:cs="Courier New"/>
                <w:kern w:val="0"/>
                <w:sz w:val="20"/>
                <w:szCs w:val="20"/>
                <w14:ligatures w14:val="none"/>
              </w:rPr>
              <w:t xml:space="preserve">Entamer les échanges avec </w:t>
            </w:r>
            <w:r w:rsidRPr="000C6101">
              <w:rPr>
                <w:rFonts w:ascii="Verdana" w:eastAsia="Calibri" w:hAnsi="Verdana" w:cs="Courier New"/>
                <w:kern w:val="0"/>
                <w:sz w:val="20"/>
                <w:szCs w:val="20"/>
                <w14:ligatures w14:val="none"/>
              </w:rPr>
              <w:t>la Fédération Internationale des sociétés de la Croix Rouge et du Croissant Rouge en vue</w:t>
            </w:r>
            <w:r w:rsidRPr="000C6101">
              <w:rPr>
                <w:rFonts w:ascii="Verdana" w:eastAsia="Verdana" w:hAnsi="Verdana" w:cs="Courier New"/>
                <w:kern w:val="0"/>
                <w:sz w:val="20"/>
                <w:szCs w:val="20"/>
                <w14:ligatures w14:val="none"/>
              </w:rPr>
              <w:t xml:space="preserve"> d’un protocole d’accord.</w:t>
            </w:r>
          </w:p>
          <w:p w14:paraId="41E499BA" w14:textId="292A5C63" w:rsidR="009C7B1B" w:rsidRPr="000C6101" w:rsidRDefault="009C7B1B" w:rsidP="009C7B1B">
            <w:pPr>
              <w:numPr>
                <w:ilvl w:val="0"/>
                <w:numId w:val="6"/>
              </w:numPr>
              <w:pBdr>
                <w:top w:val="nil"/>
                <w:left w:val="nil"/>
                <w:bottom w:val="nil"/>
                <w:right w:val="nil"/>
                <w:between w:val="nil"/>
              </w:pBdr>
              <w:spacing w:after="120" w:line="249" w:lineRule="auto"/>
              <w:jc w:val="both"/>
              <w:rPr>
                <w:rFonts w:ascii="Verdana" w:eastAsia="Verdana" w:hAnsi="Verdana" w:cs="Courier New"/>
                <w:kern w:val="0"/>
                <w:sz w:val="20"/>
                <w:szCs w:val="20"/>
                <w14:ligatures w14:val="none"/>
              </w:rPr>
            </w:pPr>
            <w:r w:rsidRPr="000C6101">
              <w:rPr>
                <w:rFonts w:ascii="Verdana" w:eastAsia="Verdana" w:hAnsi="Verdana" w:cs="Courier New"/>
                <w:kern w:val="0"/>
                <w:sz w:val="20"/>
                <w:szCs w:val="20"/>
                <w14:ligatures w14:val="none"/>
              </w:rPr>
              <w:t xml:space="preserve">Propose au Conseil des ministres d’exprimer sa solidarité à la République de Madagascar qui a été durement touchée par le passage du cyclone </w:t>
            </w:r>
            <w:proofErr w:type="spellStart"/>
            <w:r w:rsidRPr="000C6101">
              <w:rPr>
                <w:rFonts w:ascii="Verdana" w:eastAsia="Verdana" w:hAnsi="Verdana" w:cs="Courier New"/>
                <w:kern w:val="0"/>
                <w:sz w:val="20"/>
                <w:szCs w:val="20"/>
                <w14:ligatures w14:val="none"/>
              </w:rPr>
              <w:t>Gamane</w:t>
            </w:r>
            <w:proofErr w:type="spellEnd"/>
            <w:r w:rsidRPr="000C6101">
              <w:rPr>
                <w:rFonts w:ascii="Verdana" w:eastAsia="Verdana" w:hAnsi="Verdana" w:cs="Courier New"/>
                <w:kern w:val="0"/>
                <w:sz w:val="20"/>
                <w:szCs w:val="20"/>
                <w14:ligatures w14:val="none"/>
              </w:rPr>
              <w:t xml:space="preserve"> ainsi qu’aux autres </w:t>
            </w:r>
            <w:r w:rsidR="000C6101" w:rsidRPr="000C6101">
              <w:rPr>
                <w:rFonts w:ascii="Verdana" w:eastAsia="Verdana" w:hAnsi="Verdana" w:cs="Courier New"/>
                <w:kern w:val="0"/>
                <w:sz w:val="20"/>
                <w:szCs w:val="20"/>
                <w14:ligatures w14:val="none"/>
              </w:rPr>
              <w:t>États</w:t>
            </w:r>
            <w:r w:rsidRPr="000C6101">
              <w:rPr>
                <w:rFonts w:ascii="Verdana" w:eastAsia="Verdana" w:hAnsi="Verdana" w:cs="Courier New"/>
                <w:kern w:val="0"/>
                <w:sz w:val="20"/>
                <w:szCs w:val="20"/>
                <w14:ligatures w14:val="none"/>
              </w:rPr>
              <w:t xml:space="preserve"> membres ayant subi des pertes et dommages importants à la suite d’évènements climatiques extrêmes. </w:t>
            </w:r>
          </w:p>
          <w:p w14:paraId="79EA3ED2" w14:textId="4C514049" w:rsidR="009C7B1B" w:rsidRPr="000C6101" w:rsidRDefault="009C7B1B" w:rsidP="009C7B1B">
            <w:pPr>
              <w:numPr>
                <w:ilvl w:val="0"/>
                <w:numId w:val="6"/>
              </w:numPr>
              <w:pBdr>
                <w:top w:val="nil"/>
                <w:left w:val="nil"/>
                <w:bottom w:val="nil"/>
                <w:right w:val="nil"/>
                <w:between w:val="nil"/>
              </w:pBdr>
              <w:spacing w:after="120" w:line="249" w:lineRule="auto"/>
              <w:jc w:val="both"/>
              <w:rPr>
                <w:rFonts w:ascii="Verdana" w:eastAsia="Verdana" w:hAnsi="Verdana" w:cs="Courier New"/>
                <w:kern w:val="0"/>
                <w:sz w:val="20"/>
                <w:szCs w:val="20"/>
                <w14:ligatures w14:val="none"/>
              </w:rPr>
            </w:pPr>
            <w:r w:rsidRPr="000C6101">
              <w:rPr>
                <w:rFonts w:ascii="Verdana" w:eastAsia="Verdana" w:hAnsi="Verdana" w:cs="Courier New"/>
                <w:kern w:val="0"/>
                <w:sz w:val="20"/>
                <w:szCs w:val="20"/>
                <w14:ligatures w14:val="none"/>
              </w:rPr>
              <w:t xml:space="preserve">Recommande au Conseil des ministres de prendre note des actions de renforcement de capacités des institutions nationales pour la prévention et la réduction des risques de catastrophes et d’inviter le Secrétariat général à conduire une réflexion avec les </w:t>
            </w:r>
            <w:r w:rsidR="000C6101" w:rsidRPr="000C6101">
              <w:rPr>
                <w:rFonts w:ascii="Verdana" w:eastAsia="Verdana" w:hAnsi="Verdana" w:cs="Courier New"/>
                <w:kern w:val="0"/>
                <w:sz w:val="20"/>
                <w:szCs w:val="20"/>
                <w14:ligatures w14:val="none"/>
              </w:rPr>
              <w:t>États</w:t>
            </w:r>
            <w:r w:rsidRPr="000C6101">
              <w:rPr>
                <w:rFonts w:ascii="Verdana" w:eastAsia="Verdana" w:hAnsi="Verdana" w:cs="Courier New"/>
                <w:kern w:val="0"/>
                <w:sz w:val="20"/>
                <w:szCs w:val="20"/>
                <w14:ligatures w14:val="none"/>
              </w:rPr>
              <w:t xml:space="preserve"> membres sur les mécanismes de soutien envisageables en réponse aux situations d’urgence et de reconstruction post-catastrophes. </w:t>
            </w:r>
          </w:p>
          <w:p w14:paraId="2A78FEB8" w14:textId="20A9D569" w:rsidR="009C7B1B" w:rsidRPr="000C6101" w:rsidRDefault="009C7B1B" w:rsidP="009C7B1B">
            <w:pPr>
              <w:numPr>
                <w:ilvl w:val="0"/>
                <w:numId w:val="6"/>
              </w:numPr>
              <w:pBdr>
                <w:top w:val="nil"/>
                <w:left w:val="nil"/>
                <w:bottom w:val="nil"/>
                <w:right w:val="nil"/>
                <w:between w:val="nil"/>
              </w:pBdr>
              <w:spacing w:after="120" w:line="249" w:lineRule="auto"/>
              <w:jc w:val="both"/>
              <w:rPr>
                <w:rFonts w:ascii="Verdana" w:eastAsia="Verdana" w:hAnsi="Verdana" w:cs="Courier New"/>
                <w:kern w:val="0"/>
                <w:sz w:val="20"/>
                <w:szCs w:val="20"/>
                <w14:ligatures w14:val="none"/>
              </w:rPr>
            </w:pPr>
            <w:r w:rsidRPr="000C6101">
              <w:rPr>
                <w:rFonts w:ascii="Verdana" w:eastAsia="Verdana" w:hAnsi="Verdana" w:cs="Courier New"/>
                <w:kern w:val="0"/>
                <w:sz w:val="20"/>
                <w:szCs w:val="20"/>
                <w14:ligatures w14:val="none"/>
              </w:rPr>
              <w:t xml:space="preserve">Recommande au Conseil des ministres de donner mandat au Secrétariat général pour assurer pleinement le rôle de secrétariat de la Commission des </w:t>
            </w:r>
            <w:r w:rsidR="000C6101" w:rsidRPr="000C6101">
              <w:rPr>
                <w:rFonts w:ascii="Verdana" w:eastAsia="Verdana" w:hAnsi="Verdana" w:cs="Courier New"/>
                <w:kern w:val="0"/>
                <w:sz w:val="20"/>
                <w:szCs w:val="20"/>
                <w14:ligatures w14:val="none"/>
              </w:rPr>
              <w:t>États</w:t>
            </w:r>
            <w:r w:rsidRPr="000C6101">
              <w:rPr>
                <w:rFonts w:ascii="Verdana" w:eastAsia="Verdana" w:hAnsi="Verdana" w:cs="Courier New"/>
                <w:kern w:val="0"/>
                <w:sz w:val="20"/>
                <w:szCs w:val="20"/>
                <w14:ligatures w14:val="none"/>
              </w:rPr>
              <w:t xml:space="preserve"> insulaires d’Afrique sur le climat (AISCC) et de se positionner pour assurer la coordination du groupe Atlantique, océan Indien et mer de Chine (AIS).</w:t>
            </w:r>
          </w:p>
          <w:p w14:paraId="1BBDB6CA" w14:textId="77777777" w:rsidR="009C7B1B" w:rsidRPr="000C6101" w:rsidRDefault="009C7B1B" w:rsidP="009C7B1B">
            <w:pPr>
              <w:rPr>
                <w:rFonts w:ascii="Verdana" w:eastAsia="Calibri" w:hAnsi="Verdana" w:cs="Arial"/>
                <w:sz w:val="20"/>
                <w:szCs w:val="20"/>
              </w:rPr>
            </w:pPr>
          </w:p>
        </w:tc>
        <w:tc>
          <w:tcPr>
            <w:tcW w:w="3690" w:type="dxa"/>
          </w:tcPr>
          <w:p w14:paraId="581A34AE" w14:textId="77777777" w:rsidR="009C7B1B" w:rsidRPr="000C6101" w:rsidRDefault="009C7B1B" w:rsidP="000C6101">
            <w:pPr>
              <w:jc w:val="both"/>
              <w:rPr>
                <w:rFonts w:ascii="Verdana" w:eastAsia="Calibri" w:hAnsi="Verdana" w:cs="Arial"/>
                <w:sz w:val="20"/>
                <w:szCs w:val="20"/>
              </w:rPr>
            </w:pPr>
          </w:p>
        </w:tc>
        <w:tc>
          <w:tcPr>
            <w:tcW w:w="1984" w:type="dxa"/>
          </w:tcPr>
          <w:p w14:paraId="0063D420" w14:textId="77777777" w:rsidR="009C7B1B" w:rsidRPr="000C6101" w:rsidRDefault="009C7B1B" w:rsidP="009C7B1B">
            <w:pPr>
              <w:jc w:val="center"/>
              <w:rPr>
                <w:rFonts w:ascii="Verdana" w:eastAsia="Calibri" w:hAnsi="Verdana" w:cs="Arial"/>
                <w:sz w:val="20"/>
                <w:szCs w:val="20"/>
              </w:rPr>
            </w:pPr>
          </w:p>
        </w:tc>
        <w:tc>
          <w:tcPr>
            <w:tcW w:w="1904" w:type="dxa"/>
          </w:tcPr>
          <w:p w14:paraId="10CD8C18" w14:textId="77777777" w:rsidR="009C7B1B" w:rsidRPr="000C6101" w:rsidRDefault="009C7B1B" w:rsidP="009C7B1B">
            <w:pPr>
              <w:jc w:val="center"/>
              <w:rPr>
                <w:rFonts w:ascii="Verdana" w:eastAsia="Calibri" w:hAnsi="Verdana" w:cs="Arial"/>
                <w:sz w:val="20"/>
                <w:szCs w:val="20"/>
              </w:rPr>
            </w:pPr>
          </w:p>
        </w:tc>
      </w:tr>
      <w:tr w:rsidR="000C6101" w:rsidRPr="000C6101" w14:paraId="30E38288" w14:textId="77777777" w:rsidTr="396FCBB9">
        <w:tc>
          <w:tcPr>
            <w:tcW w:w="7230" w:type="dxa"/>
          </w:tcPr>
          <w:p w14:paraId="1BC3EED7" w14:textId="77777777" w:rsidR="009C7B1B" w:rsidRPr="000C6101" w:rsidRDefault="009C7B1B" w:rsidP="009C7B1B">
            <w:pPr>
              <w:spacing w:after="120" w:line="276" w:lineRule="auto"/>
              <w:ind w:left="720"/>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 xml:space="preserve">Décision 13. </w:t>
            </w:r>
            <w:r w:rsidRPr="000C6101">
              <w:rPr>
                <w:rFonts w:ascii="Verdana" w:eastAsia="Times New Roman" w:hAnsi="Verdana" w:cs="Times New Roman"/>
                <w:b/>
                <w:bCs/>
                <w:kern w:val="0"/>
                <w:sz w:val="20"/>
                <w:szCs w:val="20"/>
                <w14:ligatures w14:val="none"/>
              </w:rPr>
              <w:t>Biodiversité</w:t>
            </w:r>
          </w:p>
          <w:p w14:paraId="46AE5DFC" w14:textId="77777777" w:rsidR="009C7B1B" w:rsidRPr="000C6101" w:rsidRDefault="009C7B1B" w:rsidP="009C7B1B">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Le Comité des OPL : </w:t>
            </w:r>
          </w:p>
          <w:p w14:paraId="2A586903" w14:textId="209A6947" w:rsidR="009C7B1B" w:rsidRPr="000C6101" w:rsidRDefault="009C7B1B" w:rsidP="009C7B1B">
            <w:pPr>
              <w:numPr>
                <w:ilvl w:val="0"/>
                <w:numId w:val="20"/>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Invite le Secrétariat général à élaborer, en concertation avec les </w:t>
            </w:r>
            <w:r w:rsidR="000C6101" w:rsidRPr="000C6101">
              <w:rPr>
                <w:rFonts w:ascii="Verdana" w:eastAsia="Calibri" w:hAnsi="Verdana" w:cs="Calibri"/>
                <w:kern w:val="0"/>
                <w:sz w:val="20"/>
                <w:szCs w:val="20"/>
                <w14:ligatures w14:val="none"/>
              </w:rPr>
              <w:t>États</w:t>
            </w:r>
            <w:r w:rsidRPr="000C6101">
              <w:rPr>
                <w:rFonts w:ascii="Verdana" w:eastAsia="Calibri" w:hAnsi="Verdana" w:cs="Calibri"/>
                <w:kern w:val="0"/>
                <w:sz w:val="20"/>
                <w:szCs w:val="20"/>
                <w14:ligatures w14:val="none"/>
              </w:rPr>
              <w:t xml:space="preserve"> membres, une stratégie régionale sur la biodiversité et de poursuivre la réflexion sur la mise en place d’un mécanisme régional de préservation et de gestion de la </w:t>
            </w:r>
            <w:r w:rsidRPr="000C6101">
              <w:rPr>
                <w:rFonts w:ascii="Verdana" w:eastAsia="Calibri" w:hAnsi="Verdana" w:cs="Calibri"/>
                <w:kern w:val="0"/>
                <w:sz w:val="20"/>
                <w:szCs w:val="20"/>
                <w14:ligatures w14:val="none"/>
              </w:rPr>
              <w:lastRenderedPageBreak/>
              <w:t>biodiversité sous l’impulsion de la future présidence seychelloise de la COI.</w:t>
            </w:r>
          </w:p>
          <w:p w14:paraId="1CC1511D" w14:textId="77777777" w:rsidR="009C7B1B" w:rsidRPr="000C6101" w:rsidRDefault="009C7B1B" w:rsidP="009C7B1B">
            <w:pPr>
              <w:numPr>
                <w:ilvl w:val="0"/>
                <w:numId w:val="20"/>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Encourage le Secrétariat général à poursuivre sa collaboration avec le Secrétariat de la Convention de Nairobi et à tenir les instances informées de l’évolution de la stratégie régionale sur la gouvernance de l’océan, plus particulièrement sur l’implication du Secrétariat général de la COI dans la structure de gouvernance. </w:t>
            </w:r>
          </w:p>
          <w:p w14:paraId="3F5181C7" w14:textId="21FEE58F" w:rsidR="009C7B1B" w:rsidRPr="000C6101" w:rsidRDefault="009C7B1B" w:rsidP="009C7B1B">
            <w:pPr>
              <w:numPr>
                <w:ilvl w:val="0"/>
                <w:numId w:val="20"/>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Invite le Secrétariat général à poursuivre les discussions avec le PNUD (New York) et à établir une lettre d’entente sur une collaboration dans le cadre du programme </w:t>
            </w:r>
            <w:r w:rsidRPr="000C6101">
              <w:rPr>
                <w:rFonts w:ascii="Verdana" w:eastAsia="+mn-ea" w:hAnsi="Verdana" w:cs="+mn-cs"/>
                <w:kern w:val="24"/>
                <w:sz w:val="20"/>
                <w:szCs w:val="20"/>
                <w14:ligatures w14:val="none"/>
              </w:rPr>
              <w:t xml:space="preserve">« Blue and Green ISLANDS Integrated Program », tout en veillant à associer l’ensemble des </w:t>
            </w:r>
            <w:r w:rsidR="000C6101" w:rsidRPr="000C6101">
              <w:rPr>
                <w:rFonts w:ascii="Verdana" w:eastAsia="+mn-ea" w:hAnsi="Verdana" w:cs="+mn-cs"/>
                <w:kern w:val="24"/>
                <w:sz w:val="20"/>
                <w:szCs w:val="20"/>
                <w14:ligatures w14:val="none"/>
              </w:rPr>
              <w:t xml:space="preserve">États </w:t>
            </w:r>
            <w:r w:rsidRPr="000C6101">
              <w:rPr>
                <w:rFonts w:ascii="Verdana" w:eastAsia="+mn-ea" w:hAnsi="Verdana" w:cs="+mn-cs"/>
                <w:kern w:val="24"/>
                <w:sz w:val="20"/>
                <w:szCs w:val="20"/>
                <w14:ligatures w14:val="none"/>
              </w:rPr>
              <w:t xml:space="preserve">membres aux activités, et à informer les </w:t>
            </w:r>
            <w:r w:rsidR="000C6101" w:rsidRPr="000C6101">
              <w:rPr>
                <w:rFonts w:ascii="Verdana" w:eastAsia="+mn-ea" w:hAnsi="Verdana" w:cs="+mn-cs"/>
                <w:kern w:val="24"/>
                <w:sz w:val="20"/>
                <w:szCs w:val="20"/>
                <w14:ligatures w14:val="none"/>
              </w:rPr>
              <w:t xml:space="preserve">États </w:t>
            </w:r>
            <w:r w:rsidRPr="000C6101">
              <w:rPr>
                <w:rFonts w:ascii="Verdana" w:eastAsia="+mn-ea" w:hAnsi="Verdana" w:cs="+mn-cs"/>
                <w:kern w:val="24"/>
                <w:sz w:val="20"/>
                <w:szCs w:val="20"/>
                <w14:ligatures w14:val="none"/>
              </w:rPr>
              <w:t xml:space="preserve">membres sur l’évolution du dossier.  </w:t>
            </w:r>
          </w:p>
          <w:p w14:paraId="34EC8AA2" w14:textId="77777777" w:rsidR="009C7B1B" w:rsidRPr="000C6101" w:rsidRDefault="009C7B1B" w:rsidP="009C7B1B">
            <w:pPr>
              <w:numPr>
                <w:ilvl w:val="0"/>
                <w:numId w:val="20"/>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Approuve la négociation d’un accord spécifique entre la COI, à travers son projet RECOS, et l’Unité « PEID » de l’UNESCO afin d’intégrer le programme </w:t>
            </w:r>
            <w:proofErr w:type="spellStart"/>
            <w:r w:rsidRPr="000C6101">
              <w:rPr>
                <w:rFonts w:ascii="Verdana" w:eastAsia="Calibri" w:hAnsi="Verdana" w:cs="Calibri"/>
                <w:kern w:val="0"/>
                <w:sz w:val="20"/>
                <w:szCs w:val="20"/>
                <w14:ligatures w14:val="none"/>
              </w:rPr>
              <w:t>IslandWatch</w:t>
            </w:r>
            <w:proofErr w:type="spellEnd"/>
            <w:r w:rsidRPr="000C6101">
              <w:rPr>
                <w:rFonts w:ascii="Verdana" w:eastAsia="Calibri" w:hAnsi="Verdana" w:cs="Calibri"/>
                <w:kern w:val="0"/>
                <w:sz w:val="20"/>
                <w:szCs w:val="20"/>
                <w14:ligatures w14:val="none"/>
              </w:rPr>
              <w:t xml:space="preserve"> de l’UNESCO, si les besoins opérationnels l’exigent.</w:t>
            </w:r>
          </w:p>
          <w:p w14:paraId="718F2C6F" w14:textId="4AB9732B" w:rsidR="009C7B1B" w:rsidRPr="000C6101" w:rsidRDefault="009C7B1B" w:rsidP="009C7B1B">
            <w:pPr>
              <w:numPr>
                <w:ilvl w:val="0"/>
                <w:numId w:val="20"/>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Propose au Conseil des ministres de demander au Secrétariat général de soumettre dans les meilleurs délais une mise à jour de l’accord de partenariat global avec l’UNESCO en veillant à prendre en compte dans les domaines de coopération : les sciences marines, les priorités globales « Afrique » et « Egalité des genres », le groupe prioritaire « PEID » ainsi que la valorisation du patrimoine matériel et immatériel de l’UNESCO des </w:t>
            </w:r>
            <w:r w:rsidR="000C6101" w:rsidRPr="000C6101">
              <w:rPr>
                <w:rFonts w:ascii="Verdana" w:eastAsia="Calibri" w:hAnsi="Verdana" w:cs="Calibri"/>
                <w:kern w:val="0"/>
                <w:sz w:val="20"/>
                <w:szCs w:val="20"/>
                <w14:ligatures w14:val="none"/>
              </w:rPr>
              <w:t xml:space="preserve">États </w:t>
            </w:r>
            <w:r w:rsidRPr="000C6101">
              <w:rPr>
                <w:rFonts w:ascii="Verdana" w:eastAsia="Calibri" w:hAnsi="Verdana" w:cs="Calibri"/>
                <w:kern w:val="0"/>
                <w:sz w:val="20"/>
                <w:szCs w:val="20"/>
                <w14:ligatures w14:val="none"/>
              </w:rPr>
              <w:t xml:space="preserve">membres.  </w:t>
            </w:r>
          </w:p>
          <w:p w14:paraId="1CA89863" w14:textId="77777777" w:rsidR="009C7B1B" w:rsidRPr="000C6101" w:rsidRDefault="009C7B1B" w:rsidP="009C7B1B">
            <w:pPr>
              <w:numPr>
                <w:ilvl w:val="0"/>
                <w:numId w:val="20"/>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Propose au Conseil des ministres de prendre note de la tenue de la COP11 de la Convention de Nairobi à Madagascar au mois d’août 2024 et d’inviter le Secrétariat général à y mobiliser ses projets.</w:t>
            </w:r>
          </w:p>
          <w:p w14:paraId="48DAD69D" w14:textId="77777777" w:rsidR="009C7B1B" w:rsidRPr="000C6101" w:rsidRDefault="009C7B1B" w:rsidP="009C7B1B">
            <w:pPr>
              <w:rPr>
                <w:rFonts w:ascii="Verdana" w:eastAsia="Calibri" w:hAnsi="Verdana" w:cs="Arial"/>
                <w:sz w:val="20"/>
                <w:szCs w:val="20"/>
              </w:rPr>
            </w:pPr>
          </w:p>
        </w:tc>
        <w:tc>
          <w:tcPr>
            <w:tcW w:w="3690" w:type="dxa"/>
          </w:tcPr>
          <w:p w14:paraId="0E681D9B" w14:textId="77777777" w:rsidR="009C7B1B" w:rsidRPr="000C6101" w:rsidRDefault="009C7B1B" w:rsidP="000C6101">
            <w:pPr>
              <w:jc w:val="both"/>
              <w:rPr>
                <w:rFonts w:ascii="Verdana" w:eastAsia="Verdana" w:hAnsi="Verdana" w:cs="Verdana"/>
                <w:sz w:val="20"/>
                <w:szCs w:val="20"/>
              </w:rPr>
            </w:pPr>
          </w:p>
        </w:tc>
        <w:tc>
          <w:tcPr>
            <w:tcW w:w="1984" w:type="dxa"/>
          </w:tcPr>
          <w:p w14:paraId="4B446B3F" w14:textId="77777777" w:rsidR="009C7B1B" w:rsidRPr="000C6101" w:rsidRDefault="009C7B1B" w:rsidP="009C7B1B">
            <w:pPr>
              <w:jc w:val="center"/>
              <w:rPr>
                <w:rFonts w:ascii="Verdana" w:eastAsia="Calibri" w:hAnsi="Verdana" w:cs="Arial"/>
                <w:sz w:val="20"/>
                <w:szCs w:val="20"/>
              </w:rPr>
            </w:pPr>
          </w:p>
        </w:tc>
        <w:tc>
          <w:tcPr>
            <w:tcW w:w="1904" w:type="dxa"/>
          </w:tcPr>
          <w:p w14:paraId="1AD3229C" w14:textId="77777777" w:rsidR="009C7B1B" w:rsidRPr="000C6101" w:rsidRDefault="009C7B1B" w:rsidP="009C7B1B">
            <w:pPr>
              <w:jc w:val="center"/>
              <w:rPr>
                <w:rFonts w:ascii="Verdana" w:eastAsia="Calibri" w:hAnsi="Verdana" w:cs="Arial"/>
                <w:sz w:val="20"/>
                <w:szCs w:val="20"/>
              </w:rPr>
            </w:pPr>
          </w:p>
        </w:tc>
      </w:tr>
      <w:tr w:rsidR="000C6101" w:rsidRPr="000C6101" w14:paraId="622AF50F" w14:textId="77777777" w:rsidTr="396FCBB9">
        <w:tc>
          <w:tcPr>
            <w:tcW w:w="7230" w:type="dxa"/>
          </w:tcPr>
          <w:p w14:paraId="3CB6C6B1" w14:textId="77777777" w:rsidR="009C7B1B" w:rsidRPr="000C6101" w:rsidRDefault="009C7B1B" w:rsidP="009C7B1B">
            <w:pPr>
              <w:spacing w:after="120" w:line="276" w:lineRule="auto"/>
              <w:ind w:left="720"/>
              <w:jc w:val="center"/>
              <w:rPr>
                <w:rFonts w:ascii="Verdana" w:eastAsia="Times New Roman"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lastRenderedPageBreak/>
              <w:t xml:space="preserve">Décision 14. </w:t>
            </w:r>
            <w:r w:rsidRPr="000C6101">
              <w:rPr>
                <w:rFonts w:ascii="Verdana" w:eastAsia="Times New Roman" w:hAnsi="Verdana" w:cs="Times New Roman"/>
                <w:b/>
                <w:bCs/>
                <w:kern w:val="0"/>
                <w:sz w:val="20"/>
                <w:szCs w:val="20"/>
                <w14:ligatures w14:val="none"/>
              </w:rPr>
              <w:t>Formation professionnelle</w:t>
            </w:r>
          </w:p>
          <w:p w14:paraId="4AF14C6B" w14:textId="77777777" w:rsidR="009C7B1B" w:rsidRPr="000C6101" w:rsidRDefault="009C7B1B" w:rsidP="009C7B1B">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Le Comité des OPL : </w:t>
            </w:r>
          </w:p>
          <w:p w14:paraId="260D6FBA" w14:textId="77777777" w:rsidR="009C7B1B" w:rsidRPr="000C6101" w:rsidRDefault="009C7B1B" w:rsidP="009C7B1B">
            <w:pPr>
              <w:numPr>
                <w:ilvl w:val="0"/>
                <w:numId w:val="21"/>
              </w:numPr>
              <w:spacing w:after="120"/>
              <w:jc w:val="both"/>
              <w:rPr>
                <w:rFonts w:ascii="Verdana" w:eastAsia="Calibri" w:hAnsi="Verdana" w:cs="Calibri"/>
                <w:kern w:val="0"/>
                <w:sz w:val="20"/>
                <w:szCs w:val="20"/>
                <w14:ligatures w14:val="none"/>
              </w:rPr>
            </w:pPr>
            <w:r w:rsidRPr="000C6101">
              <w:rPr>
                <w:rFonts w:ascii="Verdana" w:eastAsia="Calibri" w:hAnsi="Verdana" w:cs="Verdana"/>
                <w:bCs/>
                <w:kern w:val="0"/>
                <w:sz w:val="20"/>
                <w:szCs w:val="20"/>
                <w14:ligatures w14:val="none"/>
              </w:rPr>
              <w:t>Prend note de la tenue prochaine d’une mission de configuration de l’AFD sur les mécanismes de financement proposés par l’AFD et demande au Secrétariat général d’en soumettre les recommandations aux prochaines instances pour décision.</w:t>
            </w:r>
            <w:r w:rsidRPr="000C6101">
              <w:rPr>
                <w:rFonts w:ascii="Verdana" w:eastAsia="Calibri" w:hAnsi="Verdana" w:cs="Calibri"/>
                <w:kern w:val="0"/>
                <w:sz w:val="20"/>
                <w:szCs w:val="20"/>
                <w14:ligatures w14:val="none"/>
              </w:rPr>
              <w:t xml:space="preserve"> </w:t>
            </w:r>
          </w:p>
          <w:p w14:paraId="6C83F7A7" w14:textId="478418C1" w:rsidR="009C7B1B" w:rsidRPr="000C6101" w:rsidRDefault="009C7B1B" w:rsidP="009C7B1B">
            <w:pPr>
              <w:numPr>
                <w:ilvl w:val="0"/>
                <w:numId w:val="21"/>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Demande au Secrétariat général de fournir aux </w:t>
            </w:r>
            <w:r w:rsidR="000C6101" w:rsidRPr="000C6101">
              <w:rPr>
                <w:rFonts w:ascii="Verdana" w:eastAsia="Calibri" w:hAnsi="Verdana" w:cs="Calibri"/>
                <w:kern w:val="0"/>
                <w:sz w:val="20"/>
                <w:szCs w:val="20"/>
                <w14:ligatures w14:val="none"/>
              </w:rPr>
              <w:t xml:space="preserve">États </w:t>
            </w:r>
            <w:r w:rsidRPr="000C6101">
              <w:rPr>
                <w:rFonts w:ascii="Verdana" w:eastAsia="Calibri" w:hAnsi="Verdana" w:cs="Calibri"/>
                <w:kern w:val="0"/>
                <w:sz w:val="20"/>
                <w:szCs w:val="20"/>
                <w14:ligatures w14:val="none"/>
              </w:rPr>
              <w:t>membres la version consolidée du document de programme tenant compte des commentaires ainsi que les documents techniques pour approbation.</w:t>
            </w:r>
          </w:p>
          <w:p w14:paraId="1DC0ADA4" w14:textId="77777777" w:rsidR="009C7B1B" w:rsidRPr="000C6101" w:rsidRDefault="009C7B1B" w:rsidP="009C7B1B">
            <w:pPr>
              <w:numPr>
                <w:ilvl w:val="0"/>
                <w:numId w:val="21"/>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Recommande au Conseil des ministres de : </w:t>
            </w:r>
          </w:p>
          <w:p w14:paraId="03D23CAE" w14:textId="77777777" w:rsidR="009C7B1B" w:rsidRPr="000C6101" w:rsidRDefault="009C7B1B" w:rsidP="009C7B1B">
            <w:pPr>
              <w:numPr>
                <w:ilvl w:val="0"/>
                <w:numId w:val="8"/>
              </w:numPr>
              <w:spacing w:after="120"/>
              <w:ind w:left="1134"/>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Valider les grands axes du programme régional de coopération et de mobilité en formation technique, technologique et professionnelle (PRMCTTP) dans l’océan Indien décliné en projets sectoriels, intersectoriels et de mobilité professionnelle. </w:t>
            </w:r>
          </w:p>
          <w:p w14:paraId="336E995B" w14:textId="3E7A18F0" w:rsidR="009C7B1B" w:rsidRPr="000C6101" w:rsidRDefault="009C7B1B" w:rsidP="009C7B1B">
            <w:pPr>
              <w:numPr>
                <w:ilvl w:val="0"/>
                <w:numId w:val="8"/>
              </w:numPr>
              <w:spacing w:after="120"/>
              <w:ind w:left="1134"/>
              <w:jc w:val="both"/>
              <w:rPr>
                <w:rFonts w:ascii="Verdana" w:eastAsia="Calibri" w:hAnsi="Verdana" w:cs="Calibri"/>
                <w:kern w:val="0"/>
                <w:sz w:val="20"/>
                <w:szCs w:val="20"/>
                <w14:ligatures w14:val="none"/>
              </w:rPr>
            </w:pPr>
            <w:r w:rsidRPr="000C6101">
              <w:rPr>
                <w:rFonts w:ascii="Verdana" w:eastAsia="Calibri" w:hAnsi="Verdana" w:cs="Verdana"/>
                <w:bCs/>
                <w:kern w:val="0"/>
                <w:sz w:val="20"/>
                <w:szCs w:val="20"/>
                <w14:ligatures w14:val="none"/>
              </w:rPr>
              <w:t xml:space="preserve">Remercier l’Agence française de développement (AFD) et l’Union européenne pour l’expression de leur disponibilité à financer des activités du programme PRCMTTP et demander au Secrétariat général de la COI de transmettre aux </w:t>
            </w:r>
            <w:r w:rsidR="000C6101" w:rsidRPr="000C6101">
              <w:rPr>
                <w:rFonts w:ascii="Verdana" w:eastAsia="Calibri" w:hAnsi="Verdana" w:cs="Verdana"/>
                <w:bCs/>
                <w:kern w:val="0"/>
                <w:sz w:val="20"/>
                <w:szCs w:val="20"/>
                <w14:ligatures w14:val="none"/>
              </w:rPr>
              <w:t>États</w:t>
            </w:r>
            <w:r w:rsidRPr="000C6101">
              <w:rPr>
                <w:rFonts w:ascii="Verdana" w:eastAsia="Calibri" w:hAnsi="Verdana" w:cs="Verdana"/>
                <w:bCs/>
                <w:kern w:val="0"/>
                <w:sz w:val="20"/>
                <w:szCs w:val="20"/>
                <w14:ligatures w14:val="none"/>
              </w:rPr>
              <w:t xml:space="preserve"> membres les informations y afférentes pour approbation puis signature des conventions de financement.</w:t>
            </w:r>
          </w:p>
          <w:p w14:paraId="34FE101A" w14:textId="77777777" w:rsidR="009C7B1B" w:rsidRPr="000C6101" w:rsidRDefault="009C7B1B" w:rsidP="009C7B1B">
            <w:pPr>
              <w:numPr>
                <w:ilvl w:val="0"/>
                <w:numId w:val="8"/>
              </w:numPr>
              <w:spacing w:before="120" w:after="120"/>
              <w:ind w:left="1134"/>
              <w:jc w:val="both"/>
              <w:rPr>
                <w:rFonts w:ascii="Verdana" w:eastAsia="Calibri" w:hAnsi="Verdana" w:cs="Verdana"/>
                <w:bCs/>
                <w:kern w:val="0"/>
                <w:sz w:val="20"/>
                <w:szCs w:val="20"/>
                <w14:ligatures w14:val="none"/>
              </w:rPr>
            </w:pPr>
            <w:r w:rsidRPr="000C6101">
              <w:rPr>
                <w:rFonts w:ascii="Verdana" w:eastAsia="Calibri" w:hAnsi="Verdana" w:cs="Verdana"/>
                <w:bCs/>
                <w:kern w:val="0"/>
                <w:sz w:val="20"/>
                <w:szCs w:val="20"/>
                <w14:ligatures w14:val="none"/>
              </w:rPr>
              <w:t xml:space="preserve">Encourager le Secrétariat général à mobiliser des financements complémentaires pour la mise en œuvre du programme PRCMTTP dans son intégralité. </w:t>
            </w:r>
          </w:p>
          <w:p w14:paraId="11BC7955" w14:textId="6D1B8607" w:rsidR="009C7B1B" w:rsidRPr="000C6101" w:rsidRDefault="009C7B1B" w:rsidP="009C7B1B">
            <w:pPr>
              <w:numPr>
                <w:ilvl w:val="0"/>
                <w:numId w:val="8"/>
              </w:numPr>
              <w:spacing w:after="120"/>
              <w:ind w:left="1134"/>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Valider le projet d’accord-cadre renouvelé avec l’Agence Universitaire de la Francophonie (AUF), incluant les amendements apportés par les </w:t>
            </w:r>
            <w:r w:rsidR="000C6101" w:rsidRPr="000C6101">
              <w:rPr>
                <w:rFonts w:ascii="Verdana" w:eastAsia="Calibri" w:hAnsi="Verdana" w:cs="Calibri"/>
                <w:kern w:val="0"/>
                <w:sz w:val="20"/>
                <w:szCs w:val="20"/>
                <w14:ligatures w14:val="none"/>
              </w:rPr>
              <w:t>États</w:t>
            </w:r>
            <w:r w:rsidRPr="000C6101">
              <w:rPr>
                <w:rFonts w:ascii="Verdana" w:eastAsia="Calibri" w:hAnsi="Verdana" w:cs="Calibri"/>
                <w:kern w:val="0"/>
                <w:sz w:val="20"/>
                <w:szCs w:val="20"/>
                <w14:ligatures w14:val="none"/>
              </w:rPr>
              <w:t xml:space="preserve"> membres, et donner </w:t>
            </w:r>
            <w:r w:rsidRPr="000C6101">
              <w:rPr>
                <w:rFonts w:ascii="Verdana" w:eastAsia="Calibri" w:hAnsi="Verdana" w:cs="Calibri"/>
                <w:kern w:val="0"/>
                <w:sz w:val="20"/>
                <w:szCs w:val="20"/>
                <w14:ligatures w14:val="none"/>
              </w:rPr>
              <w:lastRenderedPageBreak/>
              <w:t>mandat au Secrétariat général de procéder à la signature dudit accord-cadre.</w:t>
            </w:r>
          </w:p>
          <w:p w14:paraId="06877B16" w14:textId="77777777" w:rsidR="009C7B1B" w:rsidRPr="000C6101" w:rsidRDefault="009C7B1B" w:rsidP="009C7B1B">
            <w:pPr>
              <w:numPr>
                <w:ilvl w:val="0"/>
                <w:numId w:val="8"/>
              </w:numPr>
              <w:spacing w:after="120"/>
              <w:ind w:left="1134"/>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Remercier l’AFD pour son soutien à la préparation d’un programme en formation professionnelle et mobilité, ainsi que l’Union européenne pour la mise à disposition d’un expert pour l’instruction du projet.</w:t>
            </w:r>
          </w:p>
          <w:p w14:paraId="04B2C0FD" w14:textId="77777777" w:rsidR="009C7B1B" w:rsidRPr="000C6101" w:rsidRDefault="009C7B1B" w:rsidP="009C7B1B">
            <w:pPr>
              <w:rPr>
                <w:rFonts w:ascii="Verdana" w:eastAsia="Calibri" w:hAnsi="Verdana" w:cs="Arial"/>
                <w:sz w:val="20"/>
                <w:szCs w:val="20"/>
              </w:rPr>
            </w:pPr>
          </w:p>
        </w:tc>
        <w:tc>
          <w:tcPr>
            <w:tcW w:w="3690" w:type="dxa"/>
          </w:tcPr>
          <w:p w14:paraId="0DB38699" w14:textId="5C15D28C" w:rsidR="009C7B1B" w:rsidRPr="000C6101" w:rsidRDefault="009C7B1B" w:rsidP="000C6101">
            <w:pPr>
              <w:jc w:val="both"/>
              <w:rPr>
                <w:rFonts w:ascii="Verdana" w:eastAsia="Verdana" w:hAnsi="Verdana" w:cs="Verdana"/>
                <w:sz w:val="20"/>
                <w:szCs w:val="20"/>
              </w:rPr>
            </w:pPr>
          </w:p>
          <w:p w14:paraId="25E1EDAF" w14:textId="09300484" w:rsidR="009C7B1B" w:rsidRPr="000C6101" w:rsidRDefault="009C7B1B" w:rsidP="000C6101">
            <w:pPr>
              <w:jc w:val="both"/>
              <w:rPr>
                <w:rFonts w:ascii="Verdana" w:eastAsia="Verdana" w:hAnsi="Verdana" w:cs="Verdana"/>
                <w:sz w:val="20"/>
                <w:szCs w:val="20"/>
              </w:rPr>
            </w:pPr>
          </w:p>
          <w:p w14:paraId="4711689C" w14:textId="420FCF9F" w:rsidR="009C7B1B" w:rsidRPr="000C6101" w:rsidRDefault="009C7B1B" w:rsidP="396FCBB9">
            <w:pPr>
              <w:jc w:val="both"/>
              <w:rPr>
                <w:rFonts w:ascii="Verdana" w:eastAsia="Verdana" w:hAnsi="Verdana" w:cs="Verdana"/>
                <w:color w:val="215E99" w:themeColor="text2" w:themeTint="BF"/>
                <w:sz w:val="20"/>
                <w:szCs w:val="20"/>
              </w:rPr>
            </w:pPr>
            <w:r w:rsidRPr="396FCBB9">
              <w:rPr>
                <w:rFonts w:ascii="Verdana" w:eastAsia="Verdana" w:hAnsi="Verdana" w:cs="Verdana"/>
                <w:color w:val="215E99" w:themeColor="text2" w:themeTint="BF"/>
                <w:sz w:val="20"/>
                <w:szCs w:val="20"/>
              </w:rPr>
              <w:t xml:space="preserve">14 a) La mission de configuration de l’AFD </w:t>
            </w:r>
            <w:r w:rsidR="1B50A408" w:rsidRPr="396FCBB9">
              <w:rPr>
                <w:rFonts w:ascii="Verdana" w:eastAsia="Verdana" w:hAnsi="Verdana" w:cs="Verdana"/>
                <w:color w:val="215E99" w:themeColor="text2" w:themeTint="BF"/>
                <w:sz w:val="20"/>
                <w:szCs w:val="20"/>
              </w:rPr>
              <w:t>a été déployée</w:t>
            </w:r>
            <w:r w:rsidRPr="396FCBB9">
              <w:rPr>
                <w:rFonts w:ascii="Verdana" w:eastAsia="Verdana" w:hAnsi="Verdana" w:cs="Verdana"/>
                <w:color w:val="215E99" w:themeColor="text2" w:themeTint="BF"/>
                <w:sz w:val="20"/>
                <w:szCs w:val="20"/>
              </w:rPr>
              <w:t xml:space="preserve"> fin aout avec des missions </w:t>
            </w:r>
            <w:r w:rsidR="6704282A" w:rsidRPr="396FCBB9">
              <w:rPr>
                <w:rFonts w:ascii="Verdana" w:eastAsia="Verdana" w:hAnsi="Verdana" w:cs="Verdana"/>
                <w:color w:val="215E99" w:themeColor="text2" w:themeTint="BF"/>
                <w:sz w:val="20"/>
                <w:szCs w:val="20"/>
              </w:rPr>
              <w:t xml:space="preserve">à Madagascar, aux Comores, à Maurice et en </w:t>
            </w:r>
            <w:proofErr w:type="spellStart"/>
            <w:r w:rsidR="6704282A" w:rsidRPr="396FCBB9">
              <w:rPr>
                <w:rFonts w:ascii="Verdana" w:eastAsia="Verdana" w:hAnsi="Verdana" w:cs="Verdana"/>
                <w:color w:val="215E99" w:themeColor="text2" w:themeTint="BF"/>
                <w:sz w:val="20"/>
                <w:szCs w:val="20"/>
              </w:rPr>
              <w:t>visio</w:t>
            </w:r>
            <w:proofErr w:type="spellEnd"/>
            <w:r w:rsidR="6704282A" w:rsidRPr="396FCBB9">
              <w:rPr>
                <w:rFonts w:ascii="Verdana" w:eastAsia="Verdana" w:hAnsi="Verdana" w:cs="Verdana"/>
                <w:color w:val="215E99" w:themeColor="text2" w:themeTint="BF"/>
                <w:sz w:val="20"/>
                <w:szCs w:val="20"/>
              </w:rPr>
              <w:t xml:space="preserve"> avec les Seychelles et la Réunion.</w:t>
            </w:r>
            <w:r w:rsidRPr="396FCBB9">
              <w:rPr>
                <w:rFonts w:ascii="Verdana" w:eastAsia="Verdana" w:hAnsi="Verdana" w:cs="Verdana"/>
                <w:color w:val="215E99" w:themeColor="text2" w:themeTint="BF"/>
                <w:sz w:val="20"/>
                <w:szCs w:val="20"/>
              </w:rPr>
              <w:t xml:space="preserve"> </w:t>
            </w:r>
            <w:r w:rsidR="285D21F1" w:rsidRPr="396FCBB9">
              <w:rPr>
                <w:rFonts w:ascii="Verdana" w:eastAsia="Verdana" w:hAnsi="Verdana" w:cs="Verdana"/>
                <w:color w:val="215E99" w:themeColor="text2" w:themeTint="BF"/>
                <w:sz w:val="20"/>
                <w:szCs w:val="20"/>
              </w:rPr>
              <w:t xml:space="preserve">Les livrables de la mission ont été transmis au Secrétariat </w:t>
            </w:r>
            <w:r w:rsidR="765ABC50" w:rsidRPr="396FCBB9">
              <w:rPr>
                <w:rFonts w:ascii="Verdana" w:eastAsia="Verdana" w:hAnsi="Verdana" w:cs="Verdana"/>
                <w:color w:val="215E99" w:themeColor="text2" w:themeTint="BF"/>
                <w:sz w:val="20"/>
                <w:szCs w:val="20"/>
              </w:rPr>
              <w:t xml:space="preserve">exécutif </w:t>
            </w:r>
            <w:r w:rsidR="285D21F1" w:rsidRPr="396FCBB9">
              <w:rPr>
                <w:rFonts w:ascii="Verdana" w:eastAsia="Verdana" w:hAnsi="Verdana" w:cs="Verdana"/>
                <w:color w:val="215E99" w:themeColor="text2" w:themeTint="BF"/>
                <w:sz w:val="20"/>
                <w:szCs w:val="20"/>
              </w:rPr>
              <w:t xml:space="preserve">le 13 </w:t>
            </w:r>
            <w:proofErr w:type="gramStart"/>
            <w:r w:rsidR="285D21F1" w:rsidRPr="396FCBB9">
              <w:rPr>
                <w:rFonts w:ascii="Verdana" w:eastAsia="Verdana" w:hAnsi="Verdana" w:cs="Verdana"/>
                <w:color w:val="215E99" w:themeColor="text2" w:themeTint="BF"/>
                <w:sz w:val="20"/>
                <w:szCs w:val="20"/>
              </w:rPr>
              <w:t>Novembre</w:t>
            </w:r>
            <w:proofErr w:type="gramEnd"/>
            <w:r w:rsidR="285D21F1" w:rsidRPr="396FCBB9">
              <w:rPr>
                <w:rFonts w:ascii="Verdana" w:eastAsia="Verdana" w:hAnsi="Verdana" w:cs="Verdana"/>
                <w:color w:val="215E99" w:themeColor="text2" w:themeTint="BF"/>
                <w:sz w:val="20"/>
                <w:szCs w:val="20"/>
              </w:rPr>
              <w:t xml:space="preserve"> 2024.</w:t>
            </w:r>
            <w:r w:rsidR="3898C33F" w:rsidRPr="396FCBB9">
              <w:rPr>
                <w:rFonts w:ascii="Verdana" w:eastAsia="Verdana" w:hAnsi="Verdana" w:cs="Verdana"/>
                <w:color w:val="215E99" w:themeColor="text2" w:themeTint="BF"/>
                <w:sz w:val="20"/>
                <w:szCs w:val="20"/>
              </w:rPr>
              <w:t xml:space="preserve"> Les recommandations sont soumises aux instances. </w:t>
            </w:r>
            <w:r w:rsidR="285D21F1" w:rsidRPr="396FCBB9">
              <w:rPr>
                <w:rFonts w:ascii="Verdana" w:eastAsia="Verdana" w:hAnsi="Verdana" w:cs="Verdana"/>
                <w:color w:val="215E99" w:themeColor="text2" w:themeTint="BF"/>
                <w:sz w:val="20"/>
                <w:szCs w:val="20"/>
              </w:rPr>
              <w:t xml:space="preserve"> </w:t>
            </w:r>
            <w:r>
              <w:br/>
            </w:r>
            <w:r w:rsidRPr="396FCBB9">
              <w:rPr>
                <w:rFonts w:ascii="Verdana" w:eastAsia="Verdana" w:hAnsi="Verdana" w:cs="Verdana"/>
                <w:color w:val="215E99" w:themeColor="text2" w:themeTint="BF"/>
                <w:sz w:val="20"/>
                <w:szCs w:val="20"/>
              </w:rPr>
              <w:t>Une mission d’instruction d</w:t>
            </w:r>
            <w:r w:rsidR="05129E00" w:rsidRPr="396FCBB9">
              <w:rPr>
                <w:rFonts w:ascii="Verdana" w:eastAsia="Verdana" w:hAnsi="Verdana" w:cs="Verdana"/>
                <w:color w:val="215E99" w:themeColor="text2" w:themeTint="BF"/>
                <w:sz w:val="20"/>
                <w:szCs w:val="20"/>
              </w:rPr>
              <w:t>u projet d’amorçage du programme par</w:t>
            </w:r>
            <w:r w:rsidRPr="396FCBB9">
              <w:rPr>
                <w:rFonts w:ascii="Verdana" w:eastAsia="Verdana" w:hAnsi="Verdana" w:cs="Verdana"/>
                <w:color w:val="215E99" w:themeColor="text2" w:themeTint="BF"/>
                <w:sz w:val="20"/>
                <w:szCs w:val="20"/>
              </w:rPr>
              <w:t xml:space="preserve"> l’AFD</w:t>
            </w:r>
            <w:r w:rsidR="25D84EBC" w:rsidRPr="396FCBB9">
              <w:rPr>
                <w:rFonts w:ascii="Verdana" w:eastAsia="Verdana" w:hAnsi="Verdana" w:cs="Verdana"/>
                <w:color w:val="215E99" w:themeColor="text2" w:themeTint="BF"/>
                <w:sz w:val="20"/>
                <w:szCs w:val="20"/>
              </w:rPr>
              <w:t xml:space="preserve"> s’est tenue à Maurice et à la Réunion du 18 au 22 Novembre</w:t>
            </w:r>
            <w:r w:rsidRPr="396FCBB9">
              <w:rPr>
                <w:rFonts w:ascii="Verdana" w:eastAsia="Verdana" w:hAnsi="Verdana" w:cs="Verdana"/>
                <w:color w:val="215E99" w:themeColor="text2" w:themeTint="BF"/>
                <w:sz w:val="20"/>
                <w:szCs w:val="20"/>
              </w:rPr>
              <w:t>.</w:t>
            </w:r>
            <w:r w:rsidR="2A27473F" w:rsidRPr="396FCBB9">
              <w:rPr>
                <w:rFonts w:ascii="Verdana" w:eastAsia="Verdana" w:hAnsi="Verdana" w:cs="Verdana"/>
                <w:color w:val="215E99" w:themeColor="text2" w:themeTint="BF"/>
                <w:sz w:val="20"/>
                <w:szCs w:val="20"/>
              </w:rPr>
              <w:t xml:space="preserve"> </w:t>
            </w:r>
          </w:p>
          <w:p w14:paraId="73B6BCE1" w14:textId="6AD2078B" w:rsidR="009C7B1B" w:rsidRPr="000C6101" w:rsidRDefault="009C7B1B" w:rsidP="000C6101">
            <w:pPr>
              <w:jc w:val="both"/>
            </w:pPr>
          </w:p>
          <w:p w14:paraId="58A24B1A" w14:textId="4AB70C42" w:rsidR="009C7B1B" w:rsidRPr="000C6101" w:rsidRDefault="6B89FC58" w:rsidP="396FCBB9">
            <w:pPr>
              <w:jc w:val="both"/>
              <w:rPr>
                <w:rFonts w:ascii="Verdana" w:eastAsia="Verdana" w:hAnsi="Verdana" w:cs="Verdana"/>
                <w:color w:val="215E99" w:themeColor="text2" w:themeTint="BF"/>
                <w:sz w:val="20"/>
                <w:szCs w:val="20"/>
              </w:rPr>
            </w:pPr>
            <w:r>
              <w:t xml:space="preserve">B) la version consolidée du programme </w:t>
            </w:r>
            <w:r w:rsidR="19EE012B">
              <w:t>est soumise au comité des OPL</w:t>
            </w:r>
            <w:r w:rsidR="009C7B1B">
              <w:br/>
            </w:r>
            <w:r w:rsidR="009C7B1B">
              <w:br/>
            </w:r>
          </w:p>
        </w:tc>
        <w:tc>
          <w:tcPr>
            <w:tcW w:w="1984" w:type="dxa"/>
          </w:tcPr>
          <w:p w14:paraId="66F2C612" w14:textId="78F8F170" w:rsidR="009C7B1B" w:rsidRPr="000C6101" w:rsidRDefault="009C7B1B" w:rsidP="009C7B1B">
            <w:pPr>
              <w:jc w:val="center"/>
              <w:rPr>
                <w:rFonts w:ascii="Verdana" w:eastAsia="Calibri" w:hAnsi="Verdana" w:cs="Arial"/>
                <w:sz w:val="20"/>
                <w:szCs w:val="20"/>
              </w:rPr>
            </w:pPr>
          </w:p>
          <w:p w14:paraId="755A1D89" w14:textId="1BFC39AF" w:rsidR="009C7B1B" w:rsidRPr="000C6101" w:rsidRDefault="009C7B1B" w:rsidP="009C7B1B">
            <w:pPr>
              <w:jc w:val="center"/>
              <w:rPr>
                <w:rFonts w:ascii="Verdana" w:eastAsia="Calibri" w:hAnsi="Verdana" w:cs="Arial"/>
                <w:sz w:val="20"/>
                <w:szCs w:val="20"/>
              </w:rPr>
            </w:pPr>
          </w:p>
          <w:p w14:paraId="16361003" w14:textId="35114489" w:rsidR="009C7B1B" w:rsidRPr="000C6101" w:rsidRDefault="009C7B1B" w:rsidP="009C7B1B">
            <w:pPr>
              <w:jc w:val="center"/>
              <w:rPr>
                <w:rFonts w:ascii="Verdana" w:eastAsia="Calibri" w:hAnsi="Verdana" w:cs="Arial"/>
                <w:sz w:val="20"/>
                <w:szCs w:val="20"/>
              </w:rPr>
            </w:pPr>
          </w:p>
          <w:p w14:paraId="0F55E2E6" w14:textId="44873189" w:rsidR="009C7B1B" w:rsidRPr="000C6101" w:rsidRDefault="009C7B1B" w:rsidP="009C7B1B">
            <w:pPr>
              <w:jc w:val="center"/>
              <w:rPr>
                <w:rFonts w:ascii="Verdana" w:eastAsia="Calibri" w:hAnsi="Verdana" w:cs="Arial"/>
                <w:sz w:val="20"/>
                <w:szCs w:val="20"/>
              </w:rPr>
            </w:pPr>
          </w:p>
          <w:p w14:paraId="45BD80D4" w14:textId="2E7B62B9" w:rsidR="009C7B1B" w:rsidRPr="000C6101" w:rsidRDefault="009C7B1B" w:rsidP="009C7B1B">
            <w:pPr>
              <w:jc w:val="center"/>
              <w:rPr>
                <w:rFonts w:ascii="Verdana" w:eastAsia="Calibri" w:hAnsi="Verdana" w:cs="Arial"/>
                <w:sz w:val="20"/>
                <w:szCs w:val="20"/>
              </w:rPr>
            </w:pPr>
          </w:p>
          <w:p w14:paraId="3E8E4892" w14:textId="41C0DD88" w:rsidR="009C7B1B" w:rsidRPr="000C6101" w:rsidRDefault="009C7B1B" w:rsidP="009C7B1B">
            <w:pPr>
              <w:jc w:val="center"/>
              <w:rPr>
                <w:rFonts w:ascii="Verdana" w:eastAsia="Calibri" w:hAnsi="Verdana" w:cs="Arial"/>
                <w:sz w:val="20"/>
                <w:szCs w:val="20"/>
              </w:rPr>
            </w:pPr>
          </w:p>
          <w:p w14:paraId="0C70CD95" w14:textId="1384DE92" w:rsidR="009C7B1B" w:rsidRPr="000C6101" w:rsidRDefault="009C7B1B" w:rsidP="009C7B1B">
            <w:pPr>
              <w:jc w:val="center"/>
              <w:rPr>
                <w:rFonts w:ascii="Verdana" w:eastAsia="Calibri" w:hAnsi="Verdana" w:cs="Arial"/>
                <w:sz w:val="20"/>
                <w:szCs w:val="20"/>
              </w:rPr>
            </w:pPr>
          </w:p>
          <w:p w14:paraId="2F3D28B6" w14:textId="16BC17DC" w:rsidR="009C7B1B" w:rsidRPr="000C6101" w:rsidRDefault="009C7B1B" w:rsidP="009C7B1B">
            <w:pPr>
              <w:jc w:val="center"/>
              <w:rPr>
                <w:rFonts w:ascii="Verdana" w:eastAsia="Calibri" w:hAnsi="Verdana" w:cs="Arial"/>
                <w:sz w:val="20"/>
                <w:szCs w:val="20"/>
              </w:rPr>
            </w:pPr>
          </w:p>
          <w:p w14:paraId="16AF7337" w14:textId="469047E8" w:rsidR="009C7B1B" w:rsidRPr="000C6101" w:rsidRDefault="009C7B1B" w:rsidP="009C7B1B">
            <w:pPr>
              <w:jc w:val="center"/>
              <w:rPr>
                <w:rFonts w:ascii="Verdana" w:eastAsia="Calibri" w:hAnsi="Verdana" w:cs="Arial"/>
                <w:sz w:val="20"/>
                <w:szCs w:val="20"/>
              </w:rPr>
            </w:pPr>
          </w:p>
          <w:p w14:paraId="12939F58" w14:textId="292C7147" w:rsidR="009C7B1B" w:rsidRPr="000C6101" w:rsidRDefault="009C7B1B" w:rsidP="009C7B1B">
            <w:pPr>
              <w:jc w:val="center"/>
              <w:rPr>
                <w:rFonts w:ascii="Verdana" w:eastAsia="Calibri" w:hAnsi="Verdana" w:cs="Arial"/>
                <w:sz w:val="20"/>
                <w:szCs w:val="20"/>
              </w:rPr>
            </w:pPr>
          </w:p>
          <w:p w14:paraId="083C6D89" w14:textId="273DF254" w:rsidR="009C7B1B" w:rsidRPr="000C6101" w:rsidRDefault="009C7B1B" w:rsidP="009C7B1B">
            <w:pPr>
              <w:jc w:val="center"/>
              <w:rPr>
                <w:rFonts w:ascii="Verdana" w:eastAsia="Calibri" w:hAnsi="Verdana" w:cs="Arial"/>
                <w:sz w:val="20"/>
                <w:szCs w:val="20"/>
              </w:rPr>
            </w:pPr>
          </w:p>
          <w:p w14:paraId="351D0B99" w14:textId="581C121F" w:rsidR="009C7B1B" w:rsidRPr="000C6101" w:rsidRDefault="009C7B1B" w:rsidP="009C7B1B">
            <w:pPr>
              <w:jc w:val="center"/>
              <w:rPr>
                <w:rFonts w:ascii="Verdana" w:eastAsia="Calibri" w:hAnsi="Verdana" w:cs="Arial"/>
                <w:sz w:val="20"/>
                <w:szCs w:val="20"/>
              </w:rPr>
            </w:pPr>
          </w:p>
          <w:p w14:paraId="40D1FB57" w14:textId="1CF5D664" w:rsidR="009C7B1B" w:rsidRPr="000C6101" w:rsidRDefault="009C7B1B" w:rsidP="009C7B1B">
            <w:pPr>
              <w:jc w:val="center"/>
              <w:rPr>
                <w:rFonts w:ascii="Verdana" w:eastAsia="Calibri" w:hAnsi="Verdana" w:cs="Arial"/>
                <w:sz w:val="20"/>
                <w:szCs w:val="20"/>
              </w:rPr>
            </w:pPr>
          </w:p>
          <w:p w14:paraId="5B0E544B" w14:textId="5127DC93" w:rsidR="009C7B1B" w:rsidRPr="000C6101" w:rsidRDefault="009C7B1B" w:rsidP="009C7B1B">
            <w:pPr>
              <w:jc w:val="center"/>
              <w:rPr>
                <w:rFonts w:ascii="Verdana" w:eastAsia="Calibri" w:hAnsi="Verdana" w:cs="Arial"/>
                <w:sz w:val="20"/>
                <w:szCs w:val="20"/>
              </w:rPr>
            </w:pPr>
          </w:p>
          <w:p w14:paraId="190414B5" w14:textId="02458000" w:rsidR="009C7B1B" w:rsidRPr="000C6101" w:rsidRDefault="009C7B1B" w:rsidP="009C7B1B">
            <w:pPr>
              <w:jc w:val="center"/>
              <w:rPr>
                <w:rFonts w:ascii="Verdana" w:eastAsia="Calibri" w:hAnsi="Verdana" w:cs="Arial"/>
                <w:sz w:val="20"/>
                <w:szCs w:val="20"/>
              </w:rPr>
            </w:pPr>
          </w:p>
          <w:p w14:paraId="0F42C4FA" w14:textId="6DCADDAC" w:rsidR="009C7B1B" w:rsidRPr="000C6101" w:rsidRDefault="009C7B1B" w:rsidP="396FCBB9">
            <w:pPr>
              <w:jc w:val="center"/>
              <w:rPr>
                <w:rFonts w:ascii="Verdana" w:eastAsia="Calibri" w:hAnsi="Verdana" w:cs="Arial"/>
                <w:sz w:val="20"/>
                <w:szCs w:val="20"/>
              </w:rPr>
            </w:pPr>
            <w:r w:rsidRPr="396FCBB9">
              <w:rPr>
                <w:rFonts w:ascii="Verdana" w:eastAsia="Calibri" w:hAnsi="Verdana" w:cs="Arial"/>
                <w:sz w:val="20"/>
                <w:szCs w:val="20"/>
              </w:rPr>
              <w:t>CM JJ</w:t>
            </w:r>
          </w:p>
          <w:p w14:paraId="4973C4D9" w14:textId="3C6F8B2C" w:rsidR="009C7B1B" w:rsidRPr="000C6101" w:rsidRDefault="009C7B1B" w:rsidP="396FCBB9">
            <w:pPr>
              <w:jc w:val="center"/>
              <w:rPr>
                <w:rFonts w:ascii="Verdana" w:eastAsia="Calibri" w:hAnsi="Verdana" w:cs="Arial"/>
                <w:sz w:val="20"/>
                <w:szCs w:val="20"/>
              </w:rPr>
            </w:pPr>
          </w:p>
          <w:p w14:paraId="5BA9F428" w14:textId="6C23AC06" w:rsidR="009C7B1B" w:rsidRPr="000C6101" w:rsidRDefault="009C7B1B" w:rsidP="396FCBB9">
            <w:pPr>
              <w:jc w:val="center"/>
              <w:rPr>
                <w:rFonts w:ascii="Verdana" w:eastAsia="Calibri" w:hAnsi="Verdana" w:cs="Arial"/>
                <w:sz w:val="20"/>
                <w:szCs w:val="20"/>
              </w:rPr>
            </w:pPr>
          </w:p>
          <w:p w14:paraId="00E22108" w14:textId="501A4694" w:rsidR="009C7B1B" w:rsidRPr="000C6101" w:rsidRDefault="009C7B1B" w:rsidP="396FCBB9">
            <w:pPr>
              <w:jc w:val="center"/>
              <w:rPr>
                <w:rFonts w:ascii="Verdana" w:eastAsia="Calibri" w:hAnsi="Verdana" w:cs="Arial"/>
                <w:sz w:val="20"/>
                <w:szCs w:val="20"/>
              </w:rPr>
            </w:pPr>
          </w:p>
          <w:p w14:paraId="65281031" w14:textId="55ABBEBB" w:rsidR="009C7B1B" w:rsidRPr="000C6101" w:rsidRDefault="27E2EDE2" w:rsidP="009C7B1B">
            <w:pPr>
              <w:jc w:val="center"/>
              <w:rPr>
                <w:rFonts w:ascii="Verdana" w:eastAsia="Calibri" w:hAnsi="Verdana" w:cs="Arial"/>
                <w:sz w:val="20"/>
                <w:szCs w:val="20"/>
              </w:rPr>
            </w:pPr>
            <w:r w:rsidRPr="396FCBB9">
              <w:rPr>
                <w:rFonts w:ascii="Verdana" w:eastAsia="Calibri" w:hAnsi="Verdana" w:cs="Arial"/>
                <w:sz w:val="20"/>
                <w:szCs w:val="20"/>
              </w:rPr>
              <w:t>OPL</w:t>
            </w:r>
          </w:p>
        </w:tc>
        <w:tc>
          <w:tcPr>
            <w:tcW w:w="1904" w:type="dxa"/>
          </w:tcPr>
          <w:p w14:paraId="44373BF6" w14:textId="15099930" w:rsidR="009C7B1B" w:rsidRPr="000C6101" w:rsidRDefault="009C7B1B" w:rsidP="009C7B1B">
            <w:pPr>
              <w:jc w:val="center"/>
              <w:rPr>
                <w:rFonts w:ascii="Verdana" w:eastAsia="Calibri" w:hAnsi="Verdana" w:cs="Arial"/>
                <w:sz w:val="20"/>
                <w:szCs w:val="20"/>
              </w:rPr>
            </w:pPr>
          </w:p>
          <w:p w14:paraId="1FD8761B" w14:textId="25B017D4" w:rsidR="009C7B1B" w:rsidRPr="000C6101" w:rsidRDefault="009C7B1B" w:rsidP="009C7B1B">
            <w:pPr>
              <w:jc w:val="center"/>
              <w:rPr>
                <w:rFonts w:ascii="Verdana" w:eastAsia="Calibri" w:hAnsi="Verdana" w:cs="Arial"/>
                <w:sz w:val="20"/>
                <w:szCs w:val="20"/>
              </w:rPr>
            </w:pPr>
          </w:p>
          <w:p w14:paraId="4D020948" w14:textId="673F079B" w:rsidR="009C7B1B" w:rsidRPr="000C6101" w:rsidRDefault="009C7B1B" w:rsidP="009C7B1B">
            <w:pPr>
              <w:jc w:val="center"/>
              <w:rPr>
                <w:rFonts w:ascii="Verdana" w:eastAsia="Calibri" w:hAnsi="Verdana" w:cs="Arial"/>
                <w:sz w:val="20"/>
                <w:szCs w:val="20"/>
              </w:rPr>
            </w:pPr>
            <w:r w:rsidRPr="000C6101">
              <w:rPr>
                <w:rFonts w:ascii="Verdana" w:eastAsia="Calibri" w:hAnsi="Verdana" w:cs="Arial"/>
                <w:sz w:val="20"/>
                <w:szCs w:val="20"/>
              </w:rPr>
              <w:t>Fin août-début septembre</w:t>
            </w:r>
          </w:p>
        </w:tc>
      </w:tr>
      <w:tr w:rsidR="000C6101" w:rsidRPr="000C6101" w14:paraId="24F74BCB" w14:textId="77777777" w:rsidTr="396FCBB9">
        <w:tc>
          <w:tcPr>
            <w:tcW w:w="7230" w:type="dxa"/>
          </w:tcPr>
          <w:p w14:paraId="1DF227FA" w14:textId="77777777" w:rsidR="009C7B1B" w:rsidRPr="000C6101" w:rsidRDefault="009C7B1B" w:rsidP="009C7B1B">
            <w:pPr>
              <w:spacing w:after="120" w:line="276" w:lineRule="auto"/>
              <w:ind w:left="720"/>
              <w:jc w:val="center"/>
              <w:rPr>
                <w:rFonts w:ascii="Verdana" w:eastAsia="Times New Roman"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 xml:space="preserve">Décision 15. </w:t>
            </w:r>
            <w:r w:rsidRPr="000C6101">
              <w:rPr>
                <w:rFonts w:ascii="Verdana" w:eastAsia="Times New Roman" w:hAnsi="Verdana" w:cs="Times New Roman"/>
                <w:b/>
                <w:bCs/>
                <w:kern w:val="0"/>
                <w:sz w:val="20"/>
                <w:szCs w:val="20"/>
                <w14:ligatures w14:val="none"/>
              </w:rPr>
              <w:t>Santé – réseau SEGA – One Health</w:t>
            </w:r>
          </w:p>
          <w:p w14:paraId="6DF45F09" w14:textId="77777777" w:rsidR="009C7B1B" w:rsidRPr="000C6101" w:rsidRDefault="009C7B1B" w:rsidP="009C7B1B">
            <w:pPr>
              <w:spacing w:after="120"/>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 xml:space="preserve">Le Comité des OPL : </w:t>
            </w:r>
          </w:p>
          <w:p w14:paraId="52EEC578" w14:textId="53F1A863" w:rsidR="009C7B1B" w:rsidRPr="000C6101" w:rsidRDefault="009C7B1B" w:rsidP="009C7B1B">
            <w:pPr>
              <w:numPr>
                <w:ilvl w:val="0"/>
                <w:numId w:val="22"/>
              </w:numPr>
              <w:spacing w:after="120"/>
              <w:ind w:left="567" w:hanging="357"/>
              <w:jc w:val="both"/>
              <w:rPr>
                <w:rFonts w:ascii="Verdana" w:eastAsia="Calibri" w:hAnsi="Verdana" w:cs="Verdana"/>
                <w:kern w:val="0"/>
                <w:sz w:val="20"/>
                <w:szCs w:val="20"/>
                <w14:ligatures w14:val="none"/>
              </w:rPr>
            </w:pPr>
            <w:r w:rsidRPr="000C6101">
              <w:rPr>
                <w:rFonts w:ascii="Verdana" w:eastAsia="Calibri" w:hAnsi="Verdana" w:cs="Times New Roman"/>
                <w:kern w:val="0"/>
                <w:sz w:val="20"/>
                <w:szCs w:val="20"/>
                <w14:ligatures w14:val="none"/>
              </w:rPr>
              <w:t xml:space="preserve">Demande au Secrétariat général de transmettre les documents de </w:t>
            </w:r>
            <w:r w:rsidRPr="000C6101">
              <w:rPr>
                <w:rFonts w:ascii="Verdana" w:eastAsia="Calibri" w:hAnsi="Verdana" w:cs="Verdana"/>
                <w:bCs/>
                <w:kern w:val="0"/>
                <w:sz w:val="20"/>
                <w:szCs w:val="20"/>
                <w14:ligatures w14:val="none"/>
              </w:rPr>
              <w:t>Statuts du Fonds SEGA-One Health et de</w:t>
            </w:r>
            <w:r w:rsidRPr="000C6101">
              <w:rPr>
                <w:rFonts w:ascii="Verdana" w:eastAsia="Calibri" w:hAnsi="Verdana" w:cs="Times New Roman"/>
                <w:kern w:val="0"/>
                <w:sz w:val="20"/>
                <w:szCs w:val="20"/>
                <w14:ligatures w14:val="none"/>
              </w:rPr>
              <w:t xml:space="preserve"> Charte du réseau SEGA-One Health tenant compte des amendements proposés par les </w:t>
            </w:r>
            <w:r w:rsidR="000C6101" w:rsidRPr="000C6101">
              <w:rPr>
                <w:rFonts w:ascii="Verdana" w:eastAsia="Calibri" w:hAnsi="Verdana" w:cs="Times New Roman"/>
                <w:kern w:val="0"/>
                <w:sz w:val="20"/>
                <w:szCs w:val="20"/>
                <w14:ligatures w14:val="none"/>
              </w:rPr>
              <w:t xml:space="preserve">États </w:t>
            </w:r>
            <w:r w:rsidRPr="000C6101">
              <w:rPr>
                <w:rFonts w:ascii="Verdana" w:eastAsia="Calibri" w:hAnsi="Verdana" w:cs="Times New Roman"/>
                <w:kern w:val="0"/>
                <w:sz w:val="20"/>
                <w:szCs w:val="20"/>
                <w14:ligatures w14:val="none"/>
              </w:rPr>
              <w:t>membres en vue de consultations nationales dans un délai de deux semaines puis de leur soumission à l’adoption du Conseil des ministres par procédure écrite.</w:t>
            </w:r>
          </w:p>
          <w:p w14:paraId="2D1A6755" w14:textId="77777777" w:rsidR="009C7B1B" w:rsidRPr="000C6101" w:rsidRDefault="009C7B1B" w:rsidP="009C7B1B">
            <w:pPr>
              <w:numPr>
                <w:ilvl w:val="0"/>
                <w:numId w:val="22"/>
              </w:numPr>
              <w:spacing w:after="120"/>
              <w:ind w:left="567"/>
              <w:jc w:val="both"/>
              <w:rPr>
                <w:rFonts w:ascii="Verdana" w:eastAsia="Calibri" w:hAnsi="Verdana" w:cs="Verdana"/>
                <w:bCs/>
                <w:kern w:val="0"/>
                <w:sz w:val="20"/>
                <w:szCs w:val="20"/>
                <w14:ligatures w14:val="none"/>
              </w:rPr>
            </w:pPr>
            <w:r w:rsidRPr="000C6101">
              <w:rPr>
                <w:rFonts w:ascii="Verdana" w:eastAsia="Calibri" w:hAnsi="Verdana" w:cs="Verdana"/>
                <w:bCs/>
                <w:kern w:val="0"/>
                <w:sz w:val="20"/>
                <w:szCs w:val="20"/>
                <w14:ligatures w14:val="none"/>
              </w:rPr>
              <w:t xml:space="preserve">Demande au Secrétariat général d’intégrer les commentaires sur les documents concernant le « Campus Régional des Métiers et des Qualifications d'Excellence One Health et Action Sociale » ainsi que les termes de références et documentations complémentaires sur les implications de l’adhésion de la COI au « One </w:t>
            </w:r>
            <w:proofErr w:type="spellStart"/>
            <w:r w:rsidRPr="000C6101">
              <w:rPr>
                <w:rFonts w:ascii="Verdana" w:eastAsia="Calibri" w:hAnsi="Verdana" w:cs="Verdana"/>
                <w:bCs/>
                <w:kern w:val="0"/>
                <w:sz w:val="20"/>
                <w:szCs w:val="20"/>
                <w14:ligatures w14:val="none"/>
              </w:rPr>
              <w:t>Sustainable</w:t>
            </w:r>
            <w:proofErr w:type="spellEnd"/>
            <w:r w:rsidRPr="000C6101">
              <w:rPr>
                <w:rFonts w:ascii="Verdana" w:eastAsia="Calibri" w:hAnsi="Verdana" w:cs="Verdana"/>
                <w:bCs/>
                <w:kern w:val="0"/>
                <w:sz w:val="20"/>
                <w:szCs w:val="20"/>
                <w14:ligatures w14:val="none"/>
              </w:rPr>
              <w:t xml:space="preserve"> Health Forum » en vue d’une décision des instances. </w:t>
            </w:r>
          </w:p>
          <w:p w14:paraId="68FB0071" w14:textId="77777777" w:rsidR="009C7B1B" w:rsidRPr="000C6101" w:rsidRDefault="009C7B1B" w:rsidP="009C7B1B">
            <w:pPr>
              <w:numPr>
                <w:ilvl w:val="0"/>
                <w:numId w:val="22"/>
              </w:numPr>
              <w:spacing w:after="120"/>
              <w:ind w:left="567"/>
              <w:jc w:val="both"/>
              <w:rPr>
                <w:rFonts w:ascii="Verdana" w:eastAsia="Calibri" w:hAnsi="Verdana" w:cs="Times New Roman"/>
                <w:kern w:val="0"/>
                <w:sz w:val="20"/>
                <w:szCs w:val="20"/>
                <w14:ligatures w14:val="none"/>
              </w:rPr>
            </w:pPr>
            <w:r w:rsidRPr="000C6101">
              <w:rPr>
                <w:rFonts w:ascii="Verdana" w:eastAsia="Calibri" w:hAnsi="Verdana" w:cs="Times New Roman"/>
                <w:kern w:val="0"/>
                <w:sz w:val="20"/>
                <w:szCs w:val="20"/>
                <w14:ligatures w14:val="none"/>
              </w:rPr>
              <w:t>Recommande au Conseil de ministres de :</w:t>
            </w:r>
          </w:p>
          <w:p w14:paraId="004CE3B8" w14:textId="77777777" w:rsidR="009C7B1B" w:rsidRPr="000C6101" w:rsidRDefault="009C7B1B" w:rsidP="009C7B1B">
            <w:pPr>
              <w:numPr>
                <w:ilvl w:val="0"/>
                <w:numId w:val="23"/>
              </w:numPr>
              <w:spacing w:after="120"/>
              <w:ind w:left="1276" w:hanging="283"/>
              <w:jc w:val="both"/>
              <w:rPr>
                <w:rFonts w:ascii="Verdana" w:eastAsia="Calibri" w:hAnsi="Verdana" w:cs="Verdana"/>
                <w:bCs/>
                <w:kern w:val="0"/>
                <w:sz w:val="20"/>
                <w:szCs w:val="20"/>
                <w14:ligatures w14:val="none"/>
              </w:rPr>
            </w:pPr>
            <w:r w:rsidRPr="000C6101">
              <w:rPr>
                <w:rFonts w:ascii="Verdana" w:eastAsia="Calibri" w:hAnsi="Verdana" w:cs="Verdana"/>
                <w:bCs/>
                <w:kern w:val="0"/>
                <w:sz w:val="20"/>
                <w:szCs w:val="20"/>
                <w14:ligatures w14:val="none"/>
              </w:rPr>
              <w:t>Remercier l’AFD pour son soutien continu depuis la création du réseau SEGA-One Health et pour la signature de la convention de financement du projet santé sur la « sécurité sanitaire en Indopacifique », par lequel la COI bénéficie de 6.5 millions d’euros, incluant 556 000 euros pour le Fonds SEGA-One Health.</w:t>
            </w:r>
          </w:p>
          <w:p w14:paraId="20C8B634" w14:textId="77777777" w:rsidR="009C7B1B" w:rsidRPr="000C6101" w:rsidRDefault="009C7B1B" w:rsidP="009C7B1B">
            <w:pPr>
              <w:numPr>
                <w:ilvl w:val="0"/>
                <w:numId w:val="23"/>
              </w:numPr>
              <w:spacing w:after="120"/>
              <w:ind w:left="1276" w:hanging="283"/>
              <w:jc w:val="both"/>
              <w:rPr>
                <w:rFonts w:ascii="Verdana" w:eastAsia="Calibri" w:hAnsi="Verdana" w:cs="Verdana"/>
                <w:bCs/>
                <w:kern w:val="0"/>
                <w:sz w:val="20"/>
                <w:szCs w:val="20"/>
                <w14:ligatures w14:val="none"/>
              </w:rPr>
            </w:pPr>
            <w:r w:rsidRPr="000C6101">
              <w:rPr>
                <w:rFonts w:ascii="Verdana" w:eastAsia="Calibri" w:hAnsi="Verdana" w:cs="Verdana"/>
                <w:bCs/>
                <w:kern w:val="0"/>
                <w:sz w:val="20"/>
                <w:szCs w:val="20"/>
                <w14:ligatures w14:val="none"/>
              </w:rPr>
              <w:t xml:space="preserve">Féliciter le Secrétariat général pour l’organisation de la </w:t>
            </w:r>
            <w:r w:rsidRPr="000C6101">
              <w:rPr>
                <w:rFonts w:ascii="Verdana" w:eastAsia="Calibri" w:hAnsi="Verdana" w:cs="Verdana"/>
                <w:bCs/>
                <w:kern w:val="0"/>
                <w:sz w:val="20"/>
                <w:szCs w:val="20"/>
                <w14:ligatures w14:val="none"/>
              </w:rPr>
              <w:lastRenderedPageBreak/>
              <w:t xml:space="preserve">conférence ministérielle sur la sécurité sanitaire dans l’océan Indien et pour les retombées y afférentes. </w:t>
            </w:r>
          </w:p>
          <w:p w14:paraId="4F02B0BF" w14:textId="77777777" w:rsidR="009C7B1B" w:rsidRPr="000C6101" w:rsidRDefault="009C7B1B" w:rsidP="009C7B1B">
            <w:pPr>
              <w:numPr>
                <w:ilvl w:val="0"/>
                <w:numId w:val="23"/>
              </w:numPr>
              <w:spacing w:after="120"/>
              <w:ind w:left="1276" w:hanging="283"/>
              <w:jc w:val="both"/>
              <w:rPr>
                <w:rFonts w:ascii="Verdana" w:eastAsia="Calibri" w:hAnsi="Verdana" w:cs="Verdana"/>
                <w:bCs/>
                <w:kern w:val="0"/>
                <w:sz w:val="20"/>
                <w:szCs w:val="20"/>
                <w14:ligatures w14:val="none"/>
              </w:rPr>
            </w:pPr>
            <w:r w:rsidRPr="000C6101">
              <w:rPr>
                <w:rFonts w:ascii="Verdana" w:eastAsia="Calibri" w:hAnsi="Verdana" w:cs="Verdana"/>
                <w:bCs/>
                <w:kern w:val="0"/>
                <w:sz w:val="20"/>
                <w:szCs w:val="20"/>
                <w14:ligatures w14:val="none"/>
              </w:rPr>
              <w:t>Prendre acte de la Déclaration pour la sécurité sanitaire dans l’océan Indien, issue de cette conférence ministérielle.</w:t>
            </w:r>
          </w:p>
          <w:p w14:paraId="35437F08" w14:textId="77777777" w:rsidR="009C7B1B" w:rsidRPr="000C6101" w:rsidRDefault="009C7B1B" w:rsidP="009C7B1B">
            <w:pPr>
              <w:numPr>
                <w:ilvl w:val="0"/>
                <w:numId w:val="23"/>
              </w:numPr>
              <w:spacing w:after="120"/>
              <w:ind w:left="1276" w:hanging="283"/>
              <w:jc w:val="both"/>
              <w:rPr>
                <w:rFonts w:ascii="Verdana" w:eastAsia="Calibri" w:hAnsi="Verdana" w:cs="Verdana"/>
                <w:bCs/>
                <w:kern w:val="0"/>
                <w:sz w:val="20"/>
                <w:szCs w:val="20"/>
                <w14:ligatures w14:val="none"/>
              </w:rPr>
            </w:pPr>
            <w:r w:rsidRPr="000C6101">
              <w:rPr>
                <w:rFonts w:ascii="Verdana" w:eastAsia="Calibri" w:hAnsi="Verdana" w:cs="Verdana"/>
                <w:bCs/>
                <w:kern w:val="0"/>
                <w:sz w:val="20"/>
                <w:szCs w:val="20"/>
                <w14:ligatures w14:val="none"/>
              </w:rPr>
              <w:t>Encourager le Secrétariat général et les États membres ainsi que l’ensemble du réseau SEGA-One Health à mettre en œuvre la Stratégie régionale de sécurité sanitaire adoptée durant la conférence ministérielle de septembre 2023.</w:t>
            </w:r>
          </w:p>
          <w:p w14:paraId="796D221B" w14:textId="77777777" w:rsidR="009C7B1B" w:rsidRPr="000C6101" w:rsidRDefault="009C7B1B" w:rsidP="009C7B1B">
            <w:pPr>
              <w:numPr>
                <w:ilvl w:val="0"/>
                <w:numId w:val="23"/>
              </w:numPr>
              <w:spacing w:after="120"/>
              <w:ind w:left="1276" w:hanging="283"/>
              <w:jc w:val="both"/>
              <w:rPr>
                <w:rFonts w:ascii="Verdana" w:eastAsia="Calibri" w:hAnsi="Verdana" w:cs="Verdana"/>
                <w:bCs/>
                <w:kern w:val="0"/>
                <w:sz w:val="20"/>
                <w:szCs w:val="20"/>
                <w14:ligatures w14:val="none"/>
              </w:rPr>
            </w:pPr>
            <w:r w:rsidRPr="000C6101">
              <w:rPr>
                <w:rFonts w:ascii="Verdana" w:eastAsia="Calibri" w:hAnsi="Verdana" w:cs="Verdana"/>
                <w:bCs/>
                <w:kern w:val="0"/>
                <w:sz w:val="20"/>
                <w:szCs w:val="20"/>
                <w14:ligatures w14:val="none"/>
              </w:rPr>
              <w:t xml:space="preserve">Prendre note du changement de nom de l’Unité de Veille Sanitaire en </w:t>
            </w:r>
            <w:r w:rsidRPr="000C6101">
              <w:rPr>
                <w:rFonts w:ascii="Verdana" w:eastAsia="Calibri" w:hAnsi="Verdana" w:cs="Times New Roman"/>
                <w:kern w:val="0"/>
                <w:sz w:val="20"/>
                <w:szCs w:val="20"/>
                <w14:ligatures w14:val="none"/>
              </w:rPr>
              <w:t>« Centre de contrôle et de prévention des maladies - One Health de l’océan Indien » ou son équivalent en anglais « </w:t>
            </w:r>
            <w:r w:rsidRPr="000C6101">
              <w:rPr>
                <w:rFonts w:ascii="Verdana" w:eastAsia="Calibri" w:hAnsi="Verdana" w:cs="Times New Roman"/>
                <w:i/>
                <w:iCs/>
                <w:kern w:val="0"/>
                <w:sz w:val="20"/>
                <w:szCs w:val="20"/>
                <w14:ligatures w14:val="none"/>
              </w:rPr>
              <w:t xml:space="preserve">Centre for </w:t>
            </w:r>
            <w:proofErr w:type="spellStart"/>
            <w:r w:rsidRPr="000C6101">
              <w:rPr>
                <w:rFonts w:ascii="Verdana" w:eastAsia="Calibri" w:hAnsi="Verdana" w:cs="Times New Roman"/>
                <w:i/>
                <w:iCs/>
                <w:kern w:val="0"/>
                <w:sz w:val="20"/>
                <w:szCs w:val="20"/>
                <w14:ligatures w14:val="none"/>
              </w:rPr>
              <w:t>Disease</w:t>
            </w:r>
            <w:proofErr w:type="spellEnd"/>
            <w:r w:rsidRPr="000C6101">
              <w:rPr>
                <w:rFonts w:ascii="Verdana" w:eastAsia="Calibri" w:hAnsi="Verdana" w:cs="Times New Roman"/>
                <w:i/>
                <w:iCs/>
                <w:kern w:val="0"/>
                <w:sz w:val="20"/>
                <w:szCs w:val="20"/>
                <w14:ligatures w14:val="none"/>
              </w:rPr>
              <w:t xml:space="preserve"> Control and Prevention – One Health of the </w:t>
            </w:r>
            <w:proofErr w:type="spellStart"/>
            <w:r w:rsidRPr="000C6101">
              <w:rPr>
                <w:rFonts w:ascii="Verdana" w:eastAsia="Calibri" w:hAnsi="Verdana" w:cs="Times New Roman"/>
                <w:i/>
                <w:iCs/>
                <w:kern w:val="0"/>
                <w:sz w:val="20"/>
                <w:szCs w:val="20"/>
                <w14:ligatures w14:val="none"/>
              </w:rPr>
              <w:t>Indian</w:t>
            </w:r>
            <w:proofErr w:type="spellEnd"/>
            <w:r w:rsidRPr="000C6101">
              <w:rPr>
                <w:rFonts w:ascii="Verdana" w:eastAsia="Calibri" w:hAnsi="Verdana" w:cs="Times New Roman"/>
                <w:i/>
                <w:iCs/>
                <w:kern w:val="0"/>
                <w:sz w:val="20"/>
                <w:szCs w:val="20"/>
                <w14:ligatures w14:val="none"/>
              </w:rPr>
              <w:t xml:space="preserve"> </w:t>
            </w:r>
            <w:proofErr w:type="spellStart"/>
            <w:r w:rsidRPr="000C6101">
              <w:rPr>
                <w:rFonts w:ascii="Verdana" w:eastAsia="Calibri" w:hAnsi="Verdana" w:cs="Times New Roman"/>
                <w:i/>
                <w:iCs/>
                <w:kern w:val="0"/>
                <w:sz w:val="20"/>
                <w:szCs w:val="20"/>
                <w14:ligatures w14:val="none"/>
              </w:rPr>
              <w:t>Ocean</w:t>
            </w:r>
            <w:proofErr w:type="spellEnd"/>
            <w:r w:rsidRPr="000C6101">
              <w:rPr>
                <w:rFonts w:ascii="Verdana" w:eastAsia="Calibri" w:hAnsi="Verdana" w:cs="Times New Roman"/>
                <w:kern w:val="0"/>
                <w:sz w:val="20"/>
                <w:szCs w:val="20"/>
                <w14:ligatures w14:val="none"/>
              </w:rPr>
              <w:t> », sous le sigle CDC-One Health-</w:t>
            </w:r>
            <w:proofErr w:type="spellStart"/>
            <w:r w:rsidRPr="000C6101">
              <w:rPr>
                <w:rFonts w:ascii="Verdana" w:eastAsia="Calibri" w:hAnsi="Verdana" w:cs="Times New Roman"/>
                <w:kern w:val="0"/>
                <w:sz w:val="20"/>
                <w:szCs w:val="20"/>
                <w14:ligatures w14:val="none"/>
              </w:rPr>
              <w:t>Indian</w:t>
            </w:r>
            <w:proofErr w:type="spellEnd"/>
            <w:r w:rsidRPr="000C6101">
              <w:rPr>
                <w:rFonts w:ascii="Verdana" w:eastAsia="Calibri" w:hAnsi="Verdana" w:cs="Times New Roman"/>
                <w:kern w:val="0"/>
                <w:sz w:val="20"/>
                <w:szCs w:val="20"/>
                <w14:ligatures w14:val="none"/>
              </w:rPr>
              <w:t xml:space="preserve"> </w:t>
            </w:r>
            <w:proofErr w:type="spellStart"/>
            <w:r w:rsidRPr="000C6101">
              <w:rPr>
                <w:rFonts w:ascii="Verdana" w:eastAsia="Calibri" w:hAnsi="Verdana" w:cs="Times New Roman"/>
                <w:kern w:val="0"/>
                <w:sz w:val="20"/>
                <w:szCs w:val="20"/>
                <w14:ligatures w14:val="none"/>
              </w:rPr>
              <w:t>Ocean</w:t>
            </w:r>
            <w:proofErr w:type="spellEnd"/>
            <w:r w:rsidRPr="000C6101">
              <w:rPr>
                <w:rFonts w:ascii="Verdana" w:eastAsia="Calibri" w:hAnsi="Verdana" w:cs="Times New Roman"/>
                <w:kern w:val="0"/>
                <w:sz w:val="20"/>
                <w:szCs w:val="20"/>
                <w14:ligatures w14:val="none"/>
              </w:rPr>
              <w:t>.</w:t>
            </w:r>
          </w:p>
          <w:p w14:paraId="6AC25B98" w14:textId="77777777" w:rsidR="009C7B1B" w:rsidRPr="000C6101" w:rsidRDefault="009C7B1B" w:rsidP="009C7B1B">
            <w:pPr>
              <w:numPr>
                <w:ilvl w:val="0"/>
                <w:numId w:val="23"/>
              </w:numPr>
              <w:spacing w:after="120"/>
              <w:ind w:left="1276" w:hanging="283"/>
              <w:jc w:val="both"/>
              <w:rPr>
                <w:rFonts w:ascii="Verdana" w:eastAsia="Calibri" w:hAnsi="Verdana" w:cs="Verdana"/>
                <w:bCs/>
                <w:kern w:val="0"/>
                <w:sz w:val="20"/>
                <w:szCs w:val="20"/>
                <w14:ligatures w14:val="none"/>
              </w:rPr>
            </w:pPr>
            <w:r w:rsidRPr="000C6101">
              <w:rPr>
                <w:rFonts w:ascii="Verdana" w:eastAsia="Calibri" w:hAnsi="Verdana" w:cs="Verdana"/>
                <w:bCs/>
                <w:kern w:val="0"/>
                <w:sz w:val="20"/>
                <w:szCs w:val="20"/>
                <w14:ligatures w14:val="none"/>
              </w:rPr>
              <w:t xml:space="preserve">Féliciter le Secrétariat général pour l’avancement du programme FETP, notamment pour l’obtention de l’accréditation du Master en épidémiologie de terrain (« Field </w:t>
            </w:r>
            <w:proofErr w:type="spellStart"/>
            <w:r w:rsidRPr="000C6101">
              <w:rPr>
                <w:rFonts w:ascii="Verdana" w:eastAsia="Calibri" w:hAnsi="Verdana" w:cs="Verdana"/>
                <w:bCs/>
                <w:kern w:val="0"/>
                <w:sz w:val="20"/>
                <w:szCs w:val="20"/>
                <w14:ligatures w14:val="none"/>
              </w:rPr>
              <w:t>Epidemiology</w:t>
            </w:r>
            <w:proofErr w:type="spellEnd"/>
            <w:r w:rsidRPr="000C6101">
              <w:rPr>
                <w:rFonts w:ascii="Verdana" w:eastAsia="Calibri" w:hAnsi="Verdana" w:cs="Verdana"/>
                <w:bCs/>
                <w:kern w:val="0"/>
                <w:sz w:val="20"/>
                <w:szCs w:val="20"/>
                <w14:ligatures w14:val="none"/>
              </w:rPr>
              <w:t> »).</w:t>
            </w:r>
          </w:p>
          <w:p w14:paraId="3D40C4BD" w14:textId="77777777" w:rsidR="009C7B1B" w:rsidRPr="000C6101" w:rsidRDefault="009C7B1B" w:rsidP="009C7B1B">
            <w:pPr>
              <w:numPr>
                <w:ilvl w:val="0"/>
                <w:numId w:val="23"/>
              </w:numPr>
              <w:spacing w:after="120"/>
              <w:ind w:left="1276" w:hanging="283"/>
              <w:jc w:val="both"/>
              <w:rPr>
                <w:rFonts w:ascii="Verdana" w:eastAsia="Calibri" w:hAnsi="Verdana" w:cs="Verdana"/>
                <w:bCs/>
                <w:kern w:val="0"/>
                <w:sz w:val="20"/>
                <w:szCs w:val="20"/>
                <w14:ligatures w14:val="none"/>
              </w:rPr>
            </w:pPr>
            <w:r w:rsidRPr="000C6101">
              <w:rPr>
                <w:rFonts w:ascii="Verdana" w:eastAsia="Calibri" w:hAnsi="Verdana" w:cs="Verdana"/>
                <w:bCs/>
                <w:kern w:val="0"/>
                <w:sz w:val="20"/>
                <w:szCs w:val="20"/>
                <w14:ligatures w14:val="none"/>
              </w:rPr>
              <w:t>Autoriser le Secrétariat général de la COI à intégrer les initiatives déployées par les partenaires internationaux tels que la SADC et l’</w:t>
            </w:r>
            <w:proofErr w:type="spellStart"/>
            <w:r w:rsidRPr="000C6101">
              <w:rPr>
                <w:rFonts w:ascii="Verdana" w:eastAsia="Calibri" w:hAnsi="Verdana" w:cs="Verdana"/>
                <w:bCs/>
                <w:kern w:val="0"/>
                <w:sz w:val="20"/>
                <w:szCs w:val="20"/>
                <w14:ligatures w14:val="none"/>
              </w:rPr>
              <w:t>Africa</w:t>
            </w:r>
            <w:proofErr w:type="spellEnd"/>
            <w:r w:rsidRPr="000C6101">
              <w:rPr>
                <w:rFonts w:ascii="Verdana" w:eastAsia="Calibri" w:hAnsi="Verdana" w:cs="Verdana"/>
                <w:bCs/>
                <w:kern w:val="0"/>
                <w:sz w:val="20"/>
                <w:szCs w:val="20"/>
                <w14:ligatures w14:val="none"/>
              </w:rPr>
              <w:t xml:space="preserve"> CDC pour une meilleure collaboration et synergie des actions en cas d’épidémie.</w:t>
            </w:r>
          </w:p>
          <w:p w14:paraId="78C85D6D" w14:textId="78D5C2E4" w:rsidR="009C7B1B" w:rsidRPr="000C6101" w:rsidRDefault="009C7B1B" w:rsidP="009C7B1B">
            <w:pPr>
              <w:numPr>
                <w:ilvl w:val="0"/>
                <w:numId w:val="23"/>
              </w:numPr>
              <w:spacing w:after="120"/>
              <w:ind w:left="1276" w:hanging="283"/>
              <w:jc w:val="both"/>
              <w:rPr>
                <w:rFonts w:ascii="Verdana" w:eastAsia="Calibri" w:hAnsi="Verdana" w:cs="Verdana"/>
                <w:bCs/>
                <w:kern w:val="0"/>
                <w:sz w:val="20"/>
                <w:szCs w:val="20"/>
                <w14:ligatures w14:val="none"/>
              </w:rPr>
            </w:pPr>
            <w:r w:rsidRPr="000C6101">
              <w:rPr>
                <w:rFonts w:ascii="Verdana" w:eastAsia="Calibri" w:hAnsi="Verdana" w:cs="Verdana"/>
                <w:bCs/>
                <w:kern w:val="0"/>
                <w:sz w:val="20"/>
                <w:szCs w:val="20"/>
                <w14:ligatures w14:val="none"/>
              </w:rPr>
              <w:t>Encourager le Secrétariat général de la COI à finaliser dans les meilleurs délais le Mémorandum d’entente (</w:t>
            </w:r>
            <w:proofErr w:type="spellStart"/>
            <w:r w:rsidRPr="000C6101">
              <w:rPr>
                <w:rFonts w:ascii="Verdana" w:eastAsia="Calibri" w:hAnsi="Verdana" w:cs="Verdana"/>
                <w:bCs/>
                <w:kern w:val="0"/>
                <w:sz w:val="20"/>
                <w:szCs w:val="20"/>
                <w14:ligatures w14:val="none"/>
              </w:rPr>
              <w:t>MoU</w:t>
            </w:r>
            <w:proofErr w:type="spellEnd"/>
            <w:r w:rsidRPr="000C6101">
              <w:rPr>
                <w:rFonts w:ascii="Verdana" w:eastAsia="Calibri" w:hAnsi="Verdana" w:cs="Verdana"/>
                <w:bCs/>
                <w:kern w:val="0"/>
                <w:sz w:val="20"/>
                <w:szCs w:val="20"/>
                <w14:ligatures w14:val="none"/>
              </w:rPr>
              <w:t>) avec l’</w:t>
            </w:r>
            <w:proofErr w:type="spellStart"/>
            <w:r w:rsidRPr="000C6101">
              <w:rPr>
                <w:rFonts w:ascii="Verdana" w:eastAsia="Calibri" w:hAnsi="Verdana" w:cs="Verdana"/>
                <w:bCs/>
                <w:kern w:val="0"/>
                <w:sz w:val="20"/>
                <w:szCs w:val="20"/>
                <w14:ligatures w14:val="none"/>
              </w:rPr>
              <w:t>Africa</w:t>
            </w:r>
            <w:proofErr w:type="spellEnd"/>
            <w:r w:rsidRPr="000C6101">
              <w:rPr>
                <w:rFonts w:ascii="Verdana" w:eastAsia="Calibri" w:hAnsi="Verdana" w:cs="Verdana"/>
                <w:bCs/>
                <w:kern w:val="0"/>
                <w:sz w:val="20"/>
                <w:szCs w:val="20"/>
                <w14:ligatures w14:val="none"/>
              </w:rPr>
              <w:t xml:space="preserve">-CDC pour soumission aux </w:t>
            </w:r>
            <w:r w:rsidR="000C6101" w:rsidRPr="000C6101">
              <w:rPr>
                <w:rFonts w:ascii="Verdana" w:eastAsia="Calibri" w:hAnsi="Verdana" w:cs="Verdana"/>
                <w:bCs/>
                <w:kern w:val="0"/>
                <w:sz w:val="20"/>
                <w:szCs w:val="20"/>
                <w14:ligatures w14:val="none"/>
              </w:rPr>
              <w:t>États</w:t>
            </w:r>
            <w:r w:rsidRPr="000C6101">
              <w:rPr>
                <w:rFonts w:ascii="Verdana" w:eastAsia="Calibri" w:hAnsi="Verdana" w:cs="Verdana"/>
                <w:bCs/>
                <w:kern w:val="0"/>
                <w:sz w:val="20"/>
                <w:szCs w:val="20"/>
                <w14:ligatures w14:val="none"/>
              </w:rPr>
              <w:t xml:space="preserve"> membres et approbation en vue de sa signature.</w:t>
            </w:r>
          </w:p>
          <w:p w14:paraId="2303E68D" w14:textId="120D51BD" w:rsidR="009C7B1B" w:rsidRPr="000C6101" w:rsidRDefault="009C7B1B" w:rsidP="000C6101">
            <w:pPr>
              <w:numPr>
                <w:ilvl w:val="0"/>
                <w:numId w:val="23"/>
              </w:numPr>
              <w:spacing w:after="120"/>
              <w:ind w:left="1276" w:hanging="283"/>
              <w:jc w:val="both"/>
              <w:rPr>
                <w:rFonts w:ascii="Verdana" w:eastAsia="Calibri" w:hAnsi="Verdana" w:cs="Verdana"/>
                <w:bCs/>
                <w:kern w:val="0"/>
                <w:sz w:val="20"/>
                <w:szCs w:val="20"/>
                <w14:ligatures w14:val="none"/>
              </w:rPr>
            </w:pPr>
            <w:r w:rsidRPr="000C6101">
              <w:rPr>
                <w:rFonts w:ascii="Verdana" w:eastAsia="Calibri" w:hAnsi="Verdana" w:cs="Verdana"/>
                <w:bCs/>
                <w:kern w:val="0"/>
                <w:sz w:val="20"/>
                <w:szCs w:val="20"/>
                <w14:ligatures w14:val="none"/>
              </w:rPr>
              <w:t xml:space="preserve">Approuver le principe de la mise en place d’un « Campus Régional des Métiers et des Qualifications d'Excellence One Health et Action Sociale » dans le </w:t>
            </w:r>
            <w:r w:rsidRPr="000C6101">
              <w:rPr>
                <w:rFonts w:ascii="Verdana" w:eastAsia="Calibri" w:hAnsi="Verdana" w:cs="Verdana"/>
                <w:bCs/>
                <w:kern w:val="0"/>
                <w:sz w:val="20"/>
                <w:szCs w:val="20"/>
                <w14:ligatures w14:val="none"/>
              </w:rPr>
              <w:lastRenderedPageBreak/>
              <w:t xml:space="preserve">cadre du programme </w:t>
            </w:r>
            <w:r w:rsidRPr="000C6101">
              <w:rPr>
                <w:rFonts w:ascii="Verdana" w:eastAsia="Calibri" w:hAnsi="Verdana" w:cs="Times New Roman"/>
                <w:kern w:val="0"/>
                <w:sz w:val="20"/>
                <w:szCs w:val="20"/>
                <w14:ligatures w14:val="none"/>
              </w:rPr>
              <w:t>régional de coopération et de mobilité en formation technique, technologique et professionnelle (PRMCTTP)</w:t>
            </w:r>
            <w:r w:rsidRPr="000C6101">
              <w:rPr>
                <w:rFonts w:ascii="Verdana" w:eastAsia="Calibri" w:hAnsi="Verdana" w:cs="Verdana"/>
                <w:bCs/>
                <w:kern w:val="0"/>
                <w:sz w:val="20"/>
                <w:szCs w:val="20"/>
                <w14:ligatures w14:val="none"/>
              </w:rPr>
              <w:t>.</w:t>
            </w:r>
          </w:p>
        </w:tc>
        <w:tc>
          <w:tcPr>
            <w:tcW w:w="3690" w:type="dxa"/>
          </w:tcPr>
          <w:p w14:paraId="7515368A" w14:textId="4A56E2AC" w:rsidR="009C7B1B" w:rsidRPr="000C6101" w:rsidRDefault="009C7B1B" w:rsidP="000C6101">
            <w:pPr>
              <w:jc w:val="both"/>
              <w:rPr>
                <w:rFonts w:ascii="Verdana" w:eastAsia="Verdana" w:hAnsi="Verdana" w:cs="Verdana"/>
                <w:sz w:val="20"/>
                <w:szCs w:val="20"/>
              </w:rPr>
            </w:pPr>
          </w:p>
          <w:p w14:paraId="0AC5F338" w14:textId="51A27D85" w:rsidR="009C7B1B" w:rsidRPr="000C6101" w:rsidRDefault="009C7B1B" w:rsidP="000C6101">
            <w:pPr>
              <w:jc w:val="both"/>
              <w:rPr>
                <w:rFonts w:ascii="Verdana" w:eastAsia="Verdana" w:hAnsi="Verdana" w:cs="Verdana"/>
                <w:sz w:val="20"/>
                <w:szCs w:val="20"/>
              </w:rPr>
            </w:pPr>
          </w:p>
          <w:p w14:paraId="615F2F8F" w14:textId="79A8145F" w:rsidR="009C7B1B" w:rsidRPr="00AC0141" w:rsidRDefault="009C7B1B" w:rsidP="000C6101">
            <w:pPr>
              <w:jc w:val="both"/>
            </w:pPr>
            <w:r w:rsidRPr="396FCBB9">
              <w:rPr>
                <w:rFonts w:ascii="Verdana" w:eastAsia="Verdana" w:hAnsi="Verdana" w:cs="Verdana"/>
                <w:color w:val="215E99" w:themeColor="text2" w:themeTint="BF"/>
                <w:sz w:val="20"/>
                <w:szCs w:val="20"/>
              </w:rPr>
              <w:t xml:space="preserve">15 a) </w:t>
            </w:r>
            <w:r w:rsidR="09C85DC6" w:rsidRPr="396FCBB9">
              <w:rPr>
                <w:rFonts w:ascii="Verdana" w:eastAsia="Verdana" w:hAnsi="Verdana" w:cs="Verdana"/>
                <w:color w:val="215E99" w:themeColor="text2" w:themeTint="BF"/>
                <w:sz w:val="20"/>
                <w:szCs w:val="20"/>
              </w:rPr>
              <w:t>Plusieurs réunions de concertation entre OPL</w:t>
            </w:r>
            <w:r w:rsidR="46EEB50A" w:rsidRPr="396FCBB9">
              <w:rPr>
                <w:rFonts w:ascii="Verdana" w:eastAsia="Verdana" w:hAnsi="Verdana" w:cs="Verdana"/>
                <w:color w:val="215E99" w:themeColor="text2" w:themeTint="BF"/>
                <w:sz w:val="20"/>
                <w:szCs w:val="20"/>
              </w:rPr>
              <w:t xml:space="preserve"> ont eu lieu ces derniers mois</w:t>
            </w:r>
            <w:r w:rsidR="09C85DC6" w:rsidRPr="396FCBB9">
              <w:rPr>
                <w:rFonts w:ascii="Verdana" w:eastAsia="Verdana" w:hAnsi="Verdana" w:cs="Verdana"/>
                <w:color w:val="215E99" w:themeColor="text2" w:themeTint="BF"/>
                <w:sz w:val="20"/>
                <w:szCs w:val="20"/>
              </w:rPr>
              <w:t>. Dernière version</w:t>
            </w:r>
            <w:r w:rsidR="1BE92094" w:rsidRPr="396FCBB9">
              <w:rPr>
                <w:rFonts w:ascii="Verdana" w:eastAsia="Verdana" w:hAnsi="Verdana" w:cs="Verdana"/>
                <w:color w:val="215E99" w:themeColor="text2" w:themeTint="BF"/>
                <w:sz w:val="20"/>
                <w:szCs w:val="20"/>
              </w:rPr>
              <w:t xml:space="preserve"> des Statuts</w:t>
            </w:r>
            <w:r w:rsidR="09C85DC6" w:rsidRPr="396FCBB9">
              <w:rPr>
                <w:rFonts w:ascii="Verdana" w:eastAsia="Verdana" w:hAnsi="Verdana" w:cs="Verdana"/>
                <w:color w:val="215E99" w:themeColor="text2" w:themeTint="BF"/>
                <w:sz w:val="20"/>
                <w:szCs w:val="20"/>
              </w:rPr>
              <w:t xml:space="preserve"> transmise au Secrétariat début novembre et </w:t>
            </w:r>
            <w:r w:rsidR="01E3D3DD" w:rsidRPr="396FCBB9">
              <w:rPr>
                <w:rFonts w:ascii="Verdana" w:eastAsia="Verdana" w:hAnsi="Verdana" w:cs="Verdana"/>
                <w:color w:val="215E99" w:themeColor="text2" w:themeTint="BF"/>
                <w:sz w:val="20"/>
                <w:szCs w:val="20"/>
              </w:rPr>
              <w:t>le Secrétariat a envoyé une</w:t>
            </w:r>
            <w:r w:rsidR="09C85DC6" w:rsidRPr="396FCBB9">
              <w:rPr>
                <w:rFonts w:ascii="Verdana" w:eastAsia="Verdana" w:hAnsi="Verdana" w:cs="Verdana"/>
                <w:color w:val="215E99" w:themeColor="text2" w:themeTint="BF"/>
                <w:sz w:val="20"/>
                <w:szCs w:val="20"/>
              </w:rPr>
              <w:t xml:space="preserve"> version révisée le 1</w:t>
            </w:r>
            <w:r w:rsidR="65B700BB" w:rsidRPr="396FCBB9">
              <w:rPr>
                <w:rFonts w:ascii="Verdana" w:eastAsia="Verdana" w:hAnsi="Verdana" w:cs="Verdana"/>
                <w:color w:val="215E99" w:themeColor="text2" w:themeTint="BF"/>
                <w:sz w:val="20"/>
                <w:szCs w:val="20"/>
              </w:rPr>
              <w:t xml:space="preserve">2 </w:t>
            </w:r>
            <w:proofErr w:type="gramStart"/>
            <w:r w:rsidR="65B700BB" w:rsidRPr="396FCBB9">
              <w:rPr>
                <w:rFonts w:ascii="Verdana" w:eastAsia="Verdana" w:hAnsi="Verdana" w:cs="Verdana"/>
                <w:color w:val="215E99" w:themeColor="text2" w:themeTint="BF"/>
                <w:sz w:val="20"/>
                <w:szCs w:val="20"/>
              </w:rPr>
              <w:t>Novembre</w:t>
            </w:r>
            <w:proofErr w:type="gramEnd"/>
            <w:r w:rsidR="63109CC9" w:rsidRPr="396FCBB9">
              <w:rPr>
                <w:rFonts w:ascii="Verdana" w:eastAsia="Verdana" w:hAnsi="Verdana" w:cs="Verdana"/>
                <w:color w:val="215E99" w:themeColor="text2" w:themeTint="BF"/>
                <w:sz w:val="20"/>
                <w:szCs w:val="20"/>
              </w:rPr>
              <w:t xml:space="preserve"> aux Etats répondant aux commentaires des Etats, ainsi que les termes de référence de l’unité de coordination.</w:t>
            </w:r>
            <w:r w:rsidR="6E8FDDDA" w:rsidRPr="396FCBB9">
              <w:rPr>
                <w:rFonts w:ascii="Verdana" w:eastAsia="Verdana" w:hAnsi="Verdana" w:cs="Verdana"/>
                <w:color w:val="215E99" w:themeColor="text2" w:themeTint="BF"/>
                <w:sz w:val="20"/>
                <w:szCs w:val="20"/>
              </w:rPr>
              <w:t xml:space="preserve"> Les Statuts sont soumis à la validation du COPL. </w:t>
            </w:r>
            <w:r>
              <w:br/>
            </w:r>
          </w:p>
          <w:p w14:paraId="0292990C" w14:textId="77EE029D" w:rsidR="009C7B1B" w:rsidRPr="00AC0141" w:rsidRDefault="009C7B1B" w:rsidP="000C6101">
            <w:pPr>
              <w:jc w:val="both"/>
              <w:rPr>
                <w:rFonts w:ascii="Verdana" w:eastAsia="Verdana" w:hAnsi="Verdana" w:cs="Verdana"/>
                <w:color w:val="215E99" w:themeColor="text2" w:themeTint="BF"/>
                <w:sz w:val="20"/>
                <w:szCs w:val="20"/>
              </w:rPr>
            </w:pPr>
          </w:p>
          <w:p w14:paraId="3FCB094E" w14:textId="4C8EB496" w:rsidR="009C7B1B" w:rsidRPr="000C6101" w:rsidRDefault="009C7B1B" w:rsidP="396FCBB9">
            <w:pPr>
              <w:jc w:val="both"/>
              <w:rPr>
                <w:rFonts w:ascii="Verdana" w:eastAsia="Verdana" w:hAnsi="Verdana" w:cs="Verdana"/>
                <w:color w:val="215E99" w:themeColor="text2" w:themeTint="BF"/>
                <w:sz w:val="20"/>
                <w:szCs w:val="20"/>
              </w:rPr>
            </w:pPr>
            <w:r w:rsidRPr="396FCBB9">
              <w:rPr>
                <w:rFonts w:ascii="Verdana" w:eastAsia="Verdana" w:hAnsi="Verdana" w:cs="Verdana"/>
                <w:color w:val="215E99" w:themeColor="text2" w:themeTint="BF"/>
                <w:sz w:val="20"/>
                <w:szCs w:val="20"/>
              </w:rPr>
              <w:t xml:space="preserve">15b) Commentaires intégrés et document sur le CRMQE Santé </w:t>
            </w:r>
            <w:r w:rsidR="4A08FD04" w:rsidRPr="396FCBB9">
              <w:rPr>
                <w:rFonts w:ascii="Verdana" w:eastAsia="Verdana" w:hAnsi="Verdana" w:cs="Verdana"/>
                <w:color w:val="215E99" w:themeColor="text2" w:themeTint="BF"/>
                <w:sz w:val="20"/>
                <w:szCs w:val="20"/>
              </w:rPr>
              <w:t xml:space="preserve">adopté </w:t>
            </w:r>
            <w:r w:rsidRPr="396FCBB9">
              <w:rPr>
                <w:rFonts w:ascii="Verdana" w:eastAsia="Verdana" w:hAnsi="Verdana" w:cs="Verdana"/>
                <w:color w:val="215E99" w:themeColor="text2" w:themeTint="BF"/>
                <w:sz w:val="20"/>
                <w:szCs w:val="20"/>
              </w:rPr>
              <w:t xml:space="preserve">durant le Conseil des ministres. </w:t>
            </w:r>
          </w:p>
          <w:p w14:paraId="67B07E45" w14:textId="39BB3139" w:rsidR="009C7B1B" w:rsidRPr="000C6101" w:rsidRDefault="009C7B1B" w:rsidP="396FCBB9">
            <w:pPr>
              <w:jc w:val="both"/>
              <w:rPr>
                <w:rFonts w:ascii="Verdana" w:eastAsia="Verdana" w:hAnsi="Verdana" w:cs="Verdana"/>
                <w:color w:val="215E99" w:themeColor="text2" w:themeTint="BF"/>
                <w:sz w:val="20"/>
                <w:szCs w:val="20"/>
              </w:rPr>
            </w:pPr>
            <w:r>
              <w:br/>
            </w:r>
            <w:r w:rsidRPr="396FCBB9">
              <w:rPr>
                <w:rFonts w:ascii="Verdana" w:eastAsia="Verdana" w:hAnsi="Verdana" w:cs="Verdana"/>
                <w:color w:val="215E99" w:themeColor="text2" w:themeTint="BF"/>
                <w:sz w:val="20"/>
                <w:szCs w:val="20"/>
              </w:rPr>
              <w:t xml:space="preserve">S’agissant du One </w:t>
            </w:r>
            <w:proofErr w:type="spellStart"/>
            <w:r w:rsidRPr="396FCBB9">
              <w:rPr>
                <w:rFonts w:ascii="Verdana" w:eastAsia="Verdana" w:hAnsi="Verdana" w:cs="Verdana"/>
                <w:color w:val="215E99" w:themeColor="text2" w:themeTint="BF"/>
                <w:sz w:val="20"/>
                <w:szCs w:val="20"/>
              </w:rPr>
              <w:t>Sustainable</w:t>
            </w:r>
            <w:proofErr w:type="spellEnd"/>
            <w:r w:rsidRPr="396FCBB9">
              <w:rPr>
                <w:rFonts w:ascii="Verdana" w:eastAsia="Verdana" w:hAnsi="Verdana" w:cs="Verdana"/>
                <w:color w:val="215E99" w:themeColor="text2" w:themeTint="BF"/>
                <w:sz w:val="20"/>
                <w:szCs w:val="20"/>
              </w:rPr>
              <w:t xml:space="preserve"> Health Forum, </w:t>
            </w:r>
            <w:r w:rsidR="1B351CE2" w:rsidRPr="396FCBB9">
              <w:rPr>
                <w:rFonts w:ascii="Verdana" w:eastAsia="Verdana" w:hAnsi="Verdana" w:cs="Verdana"/>
                <w:color w:val="215E99" w:themeColor="text2" w:themeTint="BF"/>
                <w:sz w:val="20"/>
                <w:szCs w:val="20"/>
              </w:rPr>
              <w:t xml:space="preserve">présentation au comité des OPL pour validation. </w:t>
            </w:r>
          </w:p>
        </w:tc>
        <w:tc>
          <w:tcPr>
            <w:tcW w:w="1984" w:type="dxa"/>
          </w:tcPr>
          <w:p w14:paraId="0BF6379A" w14:textId="144C11E4" w:rsidR="009C7B1B" w:rsidRPr="000C6101" w:rsidRDefault="009C7B1B" w:rsidP="009C7B1B">
            <w:pPr>
              <w:jc w:val="center"/>
              <w:rPr>
                <w:rFonts w:ascii="Verdana" w:eastAsia="Calibri" w:hAnsi="Verdana" w:cs="Arial"/>
                <w:sz w:val="20"/>
                <w:szCs w:val="20"/>
              </w:rPr>
            </w:pPr>
          </w:p>
          <w:p w14:paraId="2B7F4371" w14:textId="35585F6D" w:rsidR="009C7B1B" w:rsidRPr="000C6101" w:rsidRDefault="009C7B1B" w:rsidP="009C7B1B">
            <w:pPr>
              <w:jc w:val="center"/>
              <w:rPr>
                <w:rFonts w:ascii="Verdana" w:eastAsia="Calibri" w:hAnsi="Verdana" w:cs="Arial"/>
                <w:sz w:val="20"/>
                <w:szCs w:val="20"/>
              </w:rPr>
            </w:pPr>
          </w:p>
          <w:p w14:paraId="03CA6E6A" w14:textId="663A0546" w:rsidR="396FCBB9" w:rsidRDefault="396FCBB9" w:rsidP="396FCBB9">
            <w:pPr>
              <w:jc w:val="center"/>
              <w:rPr>
                <w:rFonts w:ascii="Verdana" w:eastAsia="Calibri" w:hAnsi="Verdana" w:cs="Arial"/>
                <w:sz w:val="20"/>
                <w:szCs w:val="20"/>
              </w:rPr>
            </w:pPr>
          </w:p>
          <w:p w14:paraId="09BA1942" w14:textId="6B0A0A27" w:rsidR="396FCBB9" w:rsidRDefault="396FCBB9" w:rsidP="396FCBB9">
            <w:pPr>
              <w:jc w:val="center"/>
              <w:rPr>
                <w:rFonts w:ascii="Verdana" w:eastAsia="Calibri" w:hAnsi="Verdana" w:cs="Arial"/>
                <w:sz w:val="20"/>
                <w:szCs w:val="20"/>
              </w:rPr>
            </w:pPr>
          </w:p>
          <w:p w14:paraId="25CFD2CC" w14:textId="54514B0F" w:rsidR="45DCE5BF" w:rsidRDefault="45DCE5BF" w:rsidP="396FCBB9">
            <w:pPr>
              <w:jc w:val="center"/>
              <w:rPr>
                <w:rFonts w:ascii="Verdana" w:eastAsia="Calibri" w:hAnsi="Verdana" w:cs="Arial"/>
                <w:sz w:val="20"/>
                <w:szCs w:val="20"/>
              </w:rPr>
            </w:pPr>
            <w:r w:rsidRPr="396FCBB9">
              <w:rPr>
                <w:rFonts w:ascii="Verdana" w:eastAsia="Calibri" w:hAnsi="Verdana" w:cs="Arial"/>
                <w:sz w:val="20"/>
                <w:szCs w:val="20"/>
              </w:rPr>
              <w:t>OPL</w:t>
            </w:r>
          </w:p>
          <w:p w14:paraId="41118974" w14:textId="7F9A53AC" w:rsidR="009C7B1B" w:rsidRPr="000C6101" w:rsidRDefault="009C7B1B" w:rsidP="009C7B1B">
            <w:pPr>
              <w:jc w:val="center"/>
              <w:rPr>
                <w:rFonts w:ascii="Verdana" w:eastAsia="Calibri" w:hAnsi="Verdana" w:cs="Arial"/>
                <w:sz w:val="20"/>
                <w:szCs w:val="20"/>
              </w:rPr>
            </w:pPr>
          </w:p>
          <w:p w14:paraId="618BD8B3" w14:textId="4659C9CD" w:rsidR="009C7B1B" w:rsidRPr="000C6101" w:rsidRDefault="009C7B1B" w:rsidP="009C7B1B">
            <w:pPr>
              <w:jc w:val="center"/>
              <w:rPr>
                <w:rFonts w:ascii="Verdana" w:eastAsia="Calibri" w:hAnsi="Verdana" w:cs="Arial"/>
                <w:sz w:val="20"/>
                <w:szCs w:val="20"/>
              </w:rPr>
            </w:pPr>
          </w:p>
          <w:p w14:paraId="25307715" w14:textId="4D8FF2B8" w:rsidR="009C7B1B" w:rsidRPr="000C6101" w:rsidRDefault="009C7B1B" w:rsidP="009C7B1B">
            <w:pPr>
              <w:jc w:val="center"/>
              <w:rPr>
                <w:rFonts w:ascii="Verdana" w:eastAsia="Calibri" w:hAnsi="Verdana" w:cs="Arial"/>
                <w:sz w:val="20"/>
                <w:szCs w:val="20"/>
              </w:rPr>
            </w:pPr>
          </w:p>
          <w:p w14:paraId="0BAE9A7C" w14:textId="3B7E73BD" w:rsidR="009C7B1B" w:rsidRPr="000C6101" w:rsidRDefault="009C7B1B" w:rsidP="009C7B1B">
            <w:pPr>
              <w:jc w:val="center"/>
              <w:rPr>
                <w:rFonts w:ascii="Verdana" w:eastAsia="Calibri" w:hAnsi="Verdana" w:cs="Arial"/>
                <w:sz w:val="20"/>
                <w:szCs w:val="20"/>
              </w:rPr>
            </w:pPr>
          </w:p>
          <w:p w14:paraId="1F21CEFE" w14:textId="209429B3" w:rsidR="009C7B1B" w:rsidRPr="000C6101" w:rsidRDefault="009C7B1B" w:rsidP="009C7B1B">
            <w:pPr>
              <w:jc w:val="center"/>
              <w:rPr>
                <w:rFonts w:ascii="Verdana" w:eastAsia="Calibri" w:hAnsi="Verdana" w:cs="Arial"/>
                <w:sz w:val="20"/>
                <w:szCs w:val="20"/>
              </w:rPr>
            </w:pPr>
          </w:p>
          <w:p w14:paraId="07F4EE7F" w14:textId="0BA52A23" w:rsidR="009C7B1B" w:rsidRPr="000C6101" w:rsidRDefault="009C7B1B" w:rsidP="009C7B1B">
            <w:pPr>
              <w:jc w:val="center"/>
              <w:rPr>
                <w:rFonts w:ascii="Verdana" w:eastAsia="Calibri" w:hAnsi="Verdana" w:cs="Arial"/>
                <w:sz w:val="20"/>
                <w:szCs w:val="20"/>
              </w:rPr>
            </w:pPr>
          </w:p>
          <w:p w14:paraId="1D252507" w14:textId="7A7C1935" w:rsidR="009C7B1B" w:rsidRPr="000C6101" w:rsidRDefault="009C7B1B" w:rsidP="009C7B1B">
            <w:pPr>
              <w:jc w:val="center"/>
              <w:rPr>
                <w:rFonts w:ascii="Verdana" w:eastAsia="Calibri" w:hAnsi="Verdana" w:cs="Arial"/>
                <w:sz w:val="20"/>
                <w:szCs w:val="20"/>
              </w:rPr>
            </w:pPr>
          </w:p>
          <w:p w14:paraId="01C5B184" w14:textId="0E57975B" w:rsidR="009C7B1B" w:rsidRPr="000C6101" w:rsidRDefault="009C7B1B" w:rsidP="396FCBB9">
            <w:pPr>
              <w:jc w:val="center"/>
              <w:rPr>
                <w:rFonts w:ascii="Verdana" w:eastAsia="Calibri" w:hAnsi="Verdana" w:cs="Arial"/>
                <w:sz w:val="20"/>
                <w:szCs w:val="20"/>
              </w:rPr>
            </w:pPr>
          </w:p>
          <w:p w14:paraId="66481322" w14:textId="113C8CFB" w:rsidR="009C7B1B" w:rsidRPr="000C6101" w:rsidRDefault="009C7B1B" w:rsidP="396FCBB9">
            <w:pPr>
              <w:jc w:val="center"/>
              <w:rPr>
                <w:rFonts w:ascii="Verdana" w:eastAsia="Calibri" w:hAnsi="Verdana" w:cs="Arial"/>
                <w:sz w:val="20"/>
                <w:szCs w:val="20"/>
              </w:rPr>
            </w:pPr>
          </w:p>
          <w:p w14:paraId="5249E680" w14:textId="1EB20E14" w:rsidR="009C7B1B" w:rsidRPr="000C6101" w:rsidRDefault="009C7B1B" w:rsidP="396FCBB9">
            <w:pPr>
              <w:jc w:val="center"/>
              <w:rPr>
                <w:rFonts w:ascii="Verdana" w:eastAsia="Calibri" w:hAnsi="Verdana" w:cs="Arial"/>
                <w:sz w:val="20"/>
                <w:szCs w:val="20"/>
              </w:rPr>
            </w:pPr>
          </w:p>
          <w:p w14:paraId="508D9F15" w14:textId="783AEE3D" w:rsidR="009C7B1B" w:rsidRPr="000C6101" w:rsidRDefault="009C7B1B" w:rsidP="396FCBB9">
            <w:pPr>
              <w:jc w:val="center"/>
              <w:rPr>
                <w:rFonts w:ascii="Verdana" w:eastAsia="Calibri" w:hAnsi="Verdana" w:cs="Arial"/>
                <w:sz w:val="20"/>
                <w:szCs w:val="20"/>
              </w:rPr>
            </w:pPr>
          </w:p>
          <w:p w14:paraId="17398CE9" w14:textId="76706D64" w:rsidR="009C7B1B" w:rsidRPr="000C6101" w:rsidRDefault="009C7B1B" w:rsidP="396FCBB9">
            <w:pPr>
              <w:jc w:val="center"/>
              <w:rPr>
                <w:rFonts w:ascii="Verdana" w:eastAsia="Calibri" w:hAnsi="Verdana" w:cs="Arial"/>
                <w:sz w:val="20"/>
                <w:szCs w:val="20"/>
              </w:rPr>
            </w:pPr>
          </w:p>
          <w:p w14:paraId="41920EC7" w14:textId="5CC26B5A" w:rsidR="009C7B1B" w:rsidRPr="000C6101" w:rsidRDefault="009C7B1B" w:rsidP="396FCBB9">
            <w:pPr>
              <w:jc w:val="center"/>
              <w:rPr>
                <w:rFonts w:ascii="Verdana" w:eastAsia="Calibri" w:hAnsi="Verdana" w:cs="Arial"/>
                <w:sz w:val="20"/>
                <w:szCs w:val="20"/>
              </w:rPr>
            </w:pPr>
          </w:p>
          <w:p w14:paraId="2B2D4ADA" w14:textId="0CB6D4DE" w:rsidR="009C7B1B" w:rsidRPr="000C6101" w:rsidRDefault="009C7B1B" w:rsidP="396FCBB9">
            <w:pPr>
              <w:jc w:val="center"/>
              <w:rPr>
                <w:rFonts w:ascii="Verdana" w:eastAsia="Calibri" w:hAnsi="Verdana" w:cs="Arial"/>
                <w:sz w:val="20"/>
                <w:szCs w:val="20"/>
              </w:rPr>
            </w:pPr>
          </w:p>
          <w:p w14:paraId="37C4D078" w14:textId="713790A0" w:rsidR="009C7B1B" w:rsidRPr="000C6101" w:rsidRDefault="009C7B1B" w:rsidP="396FCBB9">
            <w:pPr>
              <w:jc w:val="center"/>
              <w:rPr>
                <w:rFonts w:ascii="Verdana" w:eastAsia="Calibri" w:hAnsi="Verdana" w:cs="Arial"/>
                <w:sz w:val="20"/>
                <w:szCs w:val="20"/>
              </w:rPr>
            </w:pPr>
          </w:p>
          <w:p w14:paraId="0D7A7CE5" w14:textId="7E87DC15" w:rsidR="009C7B1B" w:rsidRPr="000C6101" w:rsidRDefault="009C7B1B" w:rsidP="396FCBB9">
            <w:pPr>
              <w:jc w:val="center"/>
              <w:rPr>
                <w:rFonts w:ascii="Verdana" w:eastAsia="Calibri" w:hAnsi="Verdana" w:cs="Arial"/>
                <w:sz w:val="20"/>
                <w:szCs w:val="20"/>
              </w:rPr>
            </w:pPr>
          </w:p>
          <w:p w14:paraId="02D1EE0B" w14:textId="58341FC6" w:rsidR="009C7B1B" w:rsidRPr="000C6101" w:rsidRDefault="009C7B1B" w:rsidP="396FCBB9">
            <w:pPr>
              <w:jc w:val="center"/>
              <w:rPr>
                <w:rFonts w:ascii="Verdana" w:eastAsia="Calibri" w:hAnsi="Verdana" w:cs="Arial"/>
                <w:sz w:val="20"/>
                <w:szCs w:val="20"/>
              </w:rPr>
            </w:pPr>
          </w:p>
          <w:p w14:paraId="78E90F1B" w14:textId="4508E290" w:rsidR="009C7B1B" w:rsidRPr="000C6101" w:rsidRDefault="16FD718F" w:rsidP="009C7B1B">
            <w:pPr>
              <w:jc w:val="center"/>
              <w:rPr>
                <w:rFonts w:ascii="Verdana" w:eastAsia="Calibri" w:hAnsi="Verdana" w:cs="Arial"/>
                <w:sz w:val="20"/>
                <w:szCs w:val="20"/>
              </w:rPr>
            </w:pPr>
            <w:r w:rsidRPr="396FCBB9">
              <w:rPr>
                <w:rFonts w:ascii="Verdana" w:eastAsia="Calibri" w:hAnsi="Verdana" w:cs="Arial"/>
                <w:sz w:val="20"/>
                <w:szCs w:val="20"/>
              </w:rPr>
              <w:t>OPL</w:t>
            </w:r>
          </w:p>
        </w:tc>
        <w:tc>
          <w:tcPr>
            <w:tcW w:w="1904" w:type="dxa"/>
          </w:tcPr>
          <w:p w14:paraId="2DF1127D" w14:textId="4DC3473F" w:rsidR="009C7B1B" w:rsidRPr="000C6101" w:rsidRDefault="009C7B1B" w:rsidP="009C7B1B">
            <w:pPr>
              <w:jc w:val="center"/>
              <w:rPr>
                <w:rFonts w:ascii="Verdana" w:eastAsia="Calibri" w:hAnsi="Verdana" w:cs="Arial"/>
                <w:sz w:val="20"/>
                <w:szCs w:val="20"/>
              </w:rPr>
            </w:pPr>
          </w:p>
          <w:p w14:paraId="28D98B99" w14:textId="784C7944" w:rsidR="009C7B1B" w:rsidRPr="000C6101" w:rsidRDefault="009C7B1B" w:rsidP="009C7B1B">
            <w:pPr>
              <w:jc w:val="center"/>
              <w:rPr>
                <w:rFonts w:ascii="Verdana" w:eastAsia="Calibri" w:hAnsi="Verdana" w:cs="Arial"/>
                <w:sz w:val="20"/>
                <w:szCs w:val="20"/>
              </w:rPr>
            </w:pPr>
          </w:p>
          <w:p w14:paraId="4CD5455C" w14:textId="6A7CF07D" w:rsidR="009C7B1B" w:rsidRPr="000C6101" w:rsidRDefault="009C7B1B" w:rsidP="009C7B1B">
            <w:pPr>
              <w:jc w:val="center"/>
              <w:rPr>
                <w:rFonts w:ascii="Verdana" w:eastAsia="Calibri" w:hAnsi="Verdana" w:cs="Arial"/>
                <w:sz w:val="20"/>
                <w:szCs w:val="20"/>
              </w:rPr>
            </w:pPr>
          </w:p>
          <w:p w14:paraId="1CDABDE4" w14:textId="59665FA9" w:rsidR="009C7B1B" w:rsidRPr="000C6101" w:rsidRDefault="009C7B1B" w:rsidP="009C7B1B">
            <w:pPr>
              <w:jc w:val="center"/>
              <w:rPr>
                <w:rFonts w:ascii="Verdana" w:eastAsia="Calibri" w:hAnsi="Verdana" w:cs="Arial"/>
                <w:sz w:val="20"/>
                <w:szCs w:val="20"/>
              </w:rPr>
            </w:pPr>
          </w:p>
          <w:p w14:paraId="512D89FD" w14:textId="4C1A9A2F" w:rsidR="009C7B1B" w:rsidRPr="000C6101" w:rsidRDefault="009C7B1B" w:rsidP="009C7B1B">
            <w:pPr>
              <w:jc w:val="center"/>
              <w:rPr>
                <w:rFonts w:ascii="Verdana" w:eastAsia="Calibri" w:hAnsi="Verdana" w:cs="Arial"/>
                <w:sz w:val="20"/>
                <w:szCs w:val="20"/>
              </w:rPr>
            </w:pPr>
          </w:p>
          <w:p w14:paraId="17213846" w14:textId="128840E4" w:rsidR="009C7B1B" w:rsidRPr="000C6101" w:rsidRDefault="009C7B1B" w:rsidP="009C7B1B">
            <w:pPr>
              <w:jc w:val="center"/>
              <w:rPr>
                <w:rFonts w:ascii="Verdana" w:eastAsia="Calibri" w:hAnsi="Verdana" w:cs="Arial"/>
                <w:sz w:val="20"/>
                <w:szCs w:val="20"/>
              </w:rPr>
            </w:pPr>
          </w:p>
          <w:p w14:paraId="08CACB5A" w14:textId="6E543779" w:rsidR="009C7B1B" w:rsidRPr="000C6101" w:rsidRDefault="009C7B1B" w:rsidP="009C7B1B">
            <w:pPr>
              <w:jc w:val="center"/>
              <w:rPr>
                <w:rFonts w:ascii="Verdana" w:eastAsia="Calibri" w:hAnsi="Verdana" w:cs="Arial"/>
                <w:sz w:val="20"/>
                <w:szCs w:val="20"/>
              </w:rPr>
            </w:pPr>
          </w:p>
          <w:p w14:paraId="5D063318" w14:textId="752EB809" w:rsidR="009C7B1B" w:rsidRPr="000C6101" w:rsidRDefault="009C7B1B" w:rsidP="009C7B1B">
            <w:pPr>
              <w:jc w:val="center"/>
              <w:rPr>
                <w:rFonts w:ascii="Verdana" w:eastAsia="Calibri" w:hAnsi="Verdana" w:cs="Arial"/>
                <w:sz w:val="20"/>
                <w:szCs w:val="20"/>
              </w:rPr>
            </w:pPr>
          </w:p>
          <w:p w14:paraId="1D78D851" w14:textId="3611477E" w:rsidR="009C7B1B" w:rsidRPr="000C6101" w:rsidRDefault="009C7B1B" w:rsidP="009C7B1B">
            <w:pPr>
              <w:jc w:val="center"/>
              <w:rPr>
                <w:rFonts w:ascii="Verdana" w:eastAsia="Calibri" w:hAnsi="Verdana" w:cs="Arial"/>
                <w:sz w:val="20"/>
                <w:szCs w:val="20"/>
              </w:rPr>
            </w:pPr>
          </w:p>
          <w:p w14:paraId="1D7CAC98" w14:textId="62F2DE4E" w:rsidR="009C7B1B" w:rsidRPr="000C6101" w:rsidRDefault="009C7B1B" w:rsidP="009C7B1B">
            <w:pPr>
              <w:jc w:val="center"/>
              <w:rPr>
                <w:rFonts w:ascii="Verdana" w:eastAsia="Calibri" w:hAnsi="Verdana" w:cs="Arial"/>
                <w:sz w:val="20"/>
                <w:szCs w:val="20"/>
              </w:rPr>
            </w:pPr>
          </w:p>
          <w:p w14:paraId="1FF56A2F" w14:textId="2429DCAA" w:rsidR="009C7B1B" w:rsidRPr="000C6101" w:rsidRDefault="16FD718F" w:rsidP="396FCBB9">
            <w:pPr>
              <w:jc w:val="center"/>
            </w:pPr>
            <w:r w:rsidRPr="396FCBB9">
              <w:rPr>
                <w:rFonts w:ascii="Verdana" w:eastAsia="Calibri" w:hAnsi="Verdana" w:cs="Arial"/>
                <w:sz w:val="20"/>
                <w:szCs w:val="20"/>
              </w:rPr>
              <w:t>Décembre 2024</w:t>
            </w:r>
          </w:p>
        </w:tc>
      </w:tr>
      <w:tr w:rsidR="000C6101" w:rsidRPr="000C6101" w14:paraId="7736D92E" w14:textId="77777777" w:rsidTr="396FCBB9">
        <w:tc>
          <w:tcPr>
            <w:tcW w:w="7230" w:type="dxa"/>
          </w:tcPr>
          <w:p w14:paraId="7135422E" w14:textId="77777777" w:rsidR="009C7B1B" w:rsidRPr="000C6101" w:rsidRDefault="009C7B1B" w:rsidP="009C7B1B">
            <w:pPr>
              <w:spacing w:after="120" w:line="276" w:lineRule="auto"/>
              <w:ind w:left="720"/>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lastRenderedPageBreak/>
              <w:t xml:space="preserve">Décision 16. </w:t>
            </w:r>
            <w:r w:rsidRPr="000C6101">
              <w:rPr>
                <w:rFonts w:ascii="Verdana" w:eastAsia="Times New Roman" w:hAnsi="Verdana" w:cs="Times New Roman"/>
                <w:b/>
                <w:bCs/>
                <w:kern w:val="0"/>
                <w:sz w:val="20"/>
                <w:szCs w:val="20"/>
                <w14:ligatures w14:val="none"/>
              </w:rPr>
              <w:t>Culture</w:t>
            </w:r>
          </w:p>
          <w:p w14:paraId="2338D0C1" w14:textId="77777777" w:rsidR="009C7B1B" w:rsidRPr="000C6101" w:rsidRDefault="009C7B1B" w:rsidP="009C7B1B">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Le Comité des OPL :</w:t>
            </w:r>
          </w:p>
          <w:p w14:paraId="55AD4145" w14:textId="24058785" w:rsidR="009C7B1B" w:rsidRPr="000C6101" w:rsidRDefault="009C7B1B" w:rsidP="009C7B1B">
            <w:pPr>
              <w:numPr>
                <w:ilvl w:val="0"/>
                <w:numId w:val="24"/>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Demande au Secrétariat général de renforcer le plaidoyer auprès des </w:t>
            </w:r>
            <w:r w:rsidR="000C6101" w:rsidRPr="000C6101">
              <w:rPr>
                <w:rFonts w:ascii="Verdana" w:eastAsia="Calibri" w:hAnsi="Verdana" w:cs="Calibri"/>
                <w:kern w:val="0"/>
                <w:sz w:val="20"/>
                <w:szCs w:val="20"/>
                <w14:ligatures w14:val="none"/>
              </w:rPr>
              <w:t xml:space="preserve">États </w:t>
            </w:r>
            <w:r w:rsidRPr="000C6101">
              <w:rPr>
                <w:rFonts w:ascii="Verdana" w:eastAsia="Calibri" w:hAnsi="Verdana" w:cs="Calibri"/>
                <w:kern w:val="0"/>
                <w:sz w:val="20"/>
                <w:szCs w:val="20"/>
                <w14:ligatures w14:val="none"/>
              </w:rPr>
              <w:t xml:space="preserve">membres pour les droits d’auteurs et l’intégration des industries culturelles et créatives (ICC) dans les politiques publiques. </w:t>
            </w:r>
          </w:p>
          <w:p w14:paraId="72ADE701" w14:textId="77777777" w:rsidR="009C7B1B" w:rsidRPr="000C6101" w:rsidRDefault="009C7B1B" w:rsidP="009C7B1B">
            <w:pPr>
              <w:numPr>
                <w:ilvl w:val="0"/>
                <w:numId w:val="24"/>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Recommande au Conseil des ministres de : </w:t>
            </w:r>
          </w:p>
          <w:p w14:paraId="148403A2" w14:textId="77777777" w:rsidR="009C7B1B" w:rsidRPr="000C6101" w:rsidRDefault="009C7B1B" w:rsidP="009C7B1B">
            <w:pPr>
              <w:numPr>
                <w:ilvl w:val="2"/>
                <w:numId w:val="24"/>
              </w:numPr>
              <w:spacing w:after="120"/>
              <w:ind w:left="993"/>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Saluer l’initiative « </w:t>
            </w:r>
            <w:r w:rsidRPr="000C6101">
              <w:rPr>
                <w:rFonts w:ascii="Verdana" w:eastAsia="Calibri" w:hAnsi="Verdana" w:cs="Calibri"/>
                <w:i/>
                <w:iCs/>
                <w:kern w:val="0"/>
                <w:sz w:val="20"/>
                <w:szCs w:val="20"/>
                <w14:ligatures w14:val="none"/>
              </w:rPr>
              <w:t>2024 | Année culturelle de la COI</w:t>
            </w:r>
            <w:r w:rsidRPr="000C6101">
              <w:rPr>
                <w:rFonts w:ascii="Verdana" w:eastAsia="Calibri" w:hAnsi="Verdana" w:cs="Calibri"/>
                <w:kern w:val="0"/>
                <w:sz w:val="20"/>
                <w:szCs w:val="20"/>
                <w14:ligatures w14:val="none"/>
              </w:rPr>
              <w:t xml:space="preserve"> » et d’encourager le Secrétariat général dans la mise en œuvre les activités du projet de développement des ICC et le prix Indianocéanie 2024. </w:t>
            </w:r>
          </w:p>
          <w:p w14:paraId="278C117B" w14:textId="77777777" w:rsidR="009C7B1B" w:rsidRPr="000C6101" w:rsidRDefault="009C7B1B" w:rsidP="009C7B1B">
            <w:pPr>
              <w:numPr>
                <w:ilvl w:val="2"/>
                <w:numId w:val="24"/>
              </w:numPr>
              <w:spacing w:after="120"/>
              <w:ind w:left="993"/>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Encourager le partenariat avec le COMESA pour l’élaboration d’un programme commun pour le renforcement des politiques publiques des ICC et la recherche de financement.  </w:t>
            </w:r>
          </w:p>
          <w:p w14:paraId="64DF6475" w14:textId="670CEC61" w:rsidR="009C7B1B" w:rsidRPr="000C6101" w:rsidRDefault="009C7B1B" w:rsidP="000C6101">
            <w:pPr>
              <w:numPr>
                <w:ilvl w:val="2"/>
                <w:numId w:val="24"/>
              </w:numPr>
              <w:spacing w:after="120"/>
              <w:ind w:left="993"/>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Remercier le Conseil départemental de La Réunion et l’Organisation internationale de la Francophonie pour leur contribution à l’organisation du prix Indianocéanie 2024. </w:t>
            </w:r>
          </w:p>
        </w:tc>
        <w:tc>
          <w:tcPr>
            <w:tcW w:w="3690" w:type="dxa"/>
          </w:tcPr>
          <w:p w14:paraId="3DC3B744" w14:textId="68B890CC" w:rsidR="009C7B1B" w:rsidRPr="000C6101" w:rsidRDefault="009C7B1B" w:rsidP="000C6101">
            <w:pPr>
              <w:jc w:val="both"/>
              <w:rPr>
                <w:rFonts w:ascii="Verdana" w:eastAsia="Verdana" w:hAnsi="Verdana" w:cs="Verdana"/>
                <w:sz w:val="20"/>
                <w:szCs w:val="20"/>
              </w:rPr>
            </w:pPr>
          </w:p>
          <w:p w14:paraId="2D51E083" w14:textId="39A63B69" w:rsidR="009C7B1B" w:rsidRPr="000C6101" w:rsidRDefault="009C7B1B" w:rsidP="000C6101">
            <w:pPr>
              <w:jc w:val="both"/>
              <w:rPr>
                <w:rFonts w:ascii="Verdana" w:eastAsia="Verdana" w:hAnsi="Verdana" w:cs="Verdana"/>
                <w:sz w:val="20"/>
                <w:szCs w:val="20"/>
              </w:rPr>
            </w:pPr>
          </w:p>
          <w:p w14:paraId="691DD31D" w14:textId="0A50C8C8" w:rsidR="009C7B1B" w:rsidRPr="000C6101" w:rsidRDefault="009C7B1B" w:rsidP="000C6101">
            <w:pPr>
              <w:jc w:val="both"/>
              <w:rPr>
                <w:rFonts w:ascii="Verdana" w:eastAsia="Verdana" w:hAnsi="Verdana" w:cs="Verdana"/>
                <w:sz w:val="20"/>
                <w:szCs w:val="20"/>
              </w:rPr>
            </w:pPr>
            <w:r w:rsidRPr="00AC0141">
              <w:rPr>
                <w:rFonts w:ascii="Verdana" w:eastAsia="Verdana" w:hAnsi="Verdana" w:cs="Verdana"/>
                <w:color w:val="215E99" w:themeColor="text2" w:themeTint="BF"/>
                <w:sz w:val="20"/>
                <w:szCs w:val="20"/>
              </w:rPr>
              <w:t xml:space="preserve">16 a) Activités de plaidoyer prévues dans le PTAB 2024 et 2025. </w:t>
            </w:r>
            <w:r w:rsidRPr="00AC0141">
              <w:rPr>
                <w:color w:val="215E99" w:themeColor="text2" w:themeTint="BF"/>
              </w:rPr>
              <w:br/>
            </w:r>
            <w:r w:rsidRPr="00AC0141">
              <w:rPr>
                <w:rFonts w:ascii="Verdana" w:eastAsia="Verdana" w:hAnsi="Verdana" w:cs="Verdana"/>
                <w:color w:val="215E99" w:themeColor="text2" w:themeTint="BF"/>
                <w:sz w:val="20"/>
                <w:szCs w:val="20"/>
              </w:rPr>
              <w:t xml:space="preserve">Réflexion sur l’organisation d’un atelier de plaidoyer en marge du Festival Créole à la demande de la présidence Seychelloise en </w:t>
            </w:r>
            <w:proofErr w:type="gramStart"/>
            <w:r w:rsidRPr="00AC0141">
              <w:rPr>
                <w:rFonts w:ascii="Verdana" w:eastAsia="Verdana" w:hAnsi="Verdana" w:cs="Verdana"/>
                <w:color w:val="215E99" w:themeColor="text2" w:themeTint="BF"/>
                <w:sz w:val="20"/>
                <w:szCs w:val="20"/>
              </w:rPr>
              <w:t>Octobre</w:t>
            </w:r>
            <w:proofErr w:type="gramEnd"/>
          </w:p>
        </w:tc>
        <w:tc>
          <w:tcPr>
            <w:tcW w:w="1984" w:type="dxa"/>
          </w:tcPr>
          <w:p w14:paraId="34535AE3" w14:textId="2587047A" w:rsidR="009C7B1B" w:rsidRPr="000C6101" w:rsidRDefault="009C7B1B" w:rsidP="009C7B1B">
            <w:pPr>
              <w:jc w:val="center"/>
              <w:rPr>
                <w:rFonts w:ascii="Verdana" w:eastAsia="Calibri" w:hAnsi="Verdana" w:cs="Arial"/>
                <w:sz w:val="20"/>
                <w:szCs w:val="20"/>
              </w:rPr>
            </w:pPr>
          </w:p>
          <w:p w14:paraId="778108AB" w14:textId="0A43799E" w:rsidR="009C7B1B" w:rsidRPr="000C6101" w:rsidRDefault="009C7B1B" w:rsidP="009C7B1B">
            <w:pPr>
              <w:jc w:val="center"/>
              <w:rPr>
                <w:rFonts w:ascii="Verdana" w:eastAsia="Calibri" w:hAnsi="Verdana" w:cs="Arial"/>
                <w:sz w:val="20"/>
                <w:szCs w:val="20"/>
              </w:rPr>
            </w:pPr>
          </w:p>
          <w:p w14:paraId="2BA6B766" w14:textId="7862FFC1" w:rsidR="009C7B1B" w:rsidRPr="000C6101" w:rsidRDefault="009C7B1B" w:rsidP="009C7B1B">
            <w:pPr>
              <w:jc w:val="center"/>
              <w:rPr>
                <w:rFonts w:ascii="Verdana" w:eastAsia="Calibri" w:hAnsi="Verdana" w:cs="Arial"/>
                <w:sz w:val="20"/>
                <w:szCs w:val="20"/>
              </w:rPr>
            </w:pPr>
          </w:p>
          <w:p w14:paraId="7133AB5C" w14:textId="6FA02DCD" w:rsidR="009C7B1B" w:rsidRPr="000C6101" w:rsidRDefault="009C7B1B" w:rsidP="009C7B1B">
            <w:pPr>
              <w:jc w:val="center"/>
              <w:rPr>
                <w:rFonts w:ascii="Verdana" w:eastAsia="Calibri" w:hAnsi="Verdana" w:cs="Arial"/>
                <w:sz w:val="20"/>
                <w:szCs w:val="20"/>
              </w:rPr>
            </w:pPr>
          </w:p>
          <w:p w14:paraId="3838EDFB" w14:textId="4704DCFE" w:rsidR="009C7B1B" w:rsidRPr="000C6101" w:rsidRDefault="009C7B1B" w:rsidP="009C7B1B">
            <w:pPr>
              <w:jc w:val="center"/>
              <w:rPr>
                <w:rFonts w:ascii="Verdana" w:eastAsia="Calibri" w:hAnsi="Verdana" w:cs="Arial"/>
                <w:sz w:val="20"/>
                <w:szCs w:val="20"/>
              </w:rPr>
            </w:pPr>
            <w:r w:rsidRPr="000C6101">
              <w:rPr>
                <w:rFonts w:ascii="Verdana" w:eastAsia="Calibri" w:hAnsi="Verdana" w:cs="Arial"/>
                <w:sz w:val="20"/>
                <w:szCs w:val="20"/>
              </w:rPr>
              <w:t>Equipe ICC, CM JJ</w:t>
            </w:r>
          </w:p>
        </w:tc>
        <w:tc>
          <w:tcPr>
            <w:tcW w:w="1904" w:type="dxa"/>
          </w:tcPr>
          <w:p w14:paraId="36313475" w14:textId="6D77B8A3" w:rsidR="009C7B1B" w:rsidRPr="000C6101" w:rsidRDefault="009C7B1B" w:rsidP="009C7B1B">
            <w:pPr>
              <w:jc w:val="center"/>
              <w:rPr>
                <w:rFonts w:ascii="Verdana" w:eastAsia="Calibri" w:hAnsi="Verdana" w:cs="Arial"/>
                <w:sz w:val="20"/>
                <w:szCs w:val="20"/>
              </w:rPr>
            </w:pPr>
          </w:p>
          <w:p w14:paraId="317338A2" w14:textId="45226B2C" w:rsidR="009C7B1B" w:rsidRPr="000C6101" w:rsidRDefault="009C7B1B" w:rsidP="009C7B1B">
            <w:pPr>
              <w:jc w:val="center"/>
              <w:rPr>
                <w:rFonts w:ascii="Verdana" w:eastAsia="Calibri" w:hAnsi="Verdana" w:cs="Arial"/>
                <w:sz w:val="20"/>
                <w:szCs w:val="20"/>
              </w:rPr>
            </w:pPr>
          </w:p>
          <w:p w14:paraId="6F8E4C2F" w14:textId="4C000266" w:rsidR="009C7B1B" w:rsidRPr="000C6101" w:rsidRDefault="009C7B1B" w:rsidP="009C7B1B">
            <w:pPr>
              <w:jc w:val="center"/>
              <w:rPr>
                <w:rFonts w:ascii="Verdana" w:eastAsia="Calibri" w:hAnsi="Verdana" w:cs="Arial"/>
                <w:sz w:val="20"/>
                <w:szCs w:val="20"/>
              </w:rPr>
            </w:pPr>
          </w:p>
          <w:p w14:paraId="0F5C31C7" w14:textId="707DA5B1" w:rsidR="009C7B1B" w:rsidRPr="000C6101" w:rsidRDefault="009C7B1B" w:rsidP="009C7B1B">
            <w:pPr>
              <w:jc w:val="center"/>
              <w:rPr>
                <w:rFonts w:ascii="Verdana" w:eastAsia="Calibri" w:hAnsi="Verdana" w:cs="Arial"/>
                <w:sz w:val="20"/>
                <w:szCs w:val="20"/>
              </w:rPr>
            </w:pPr>
          </w:p>
          <w:p w14:paraId="7B0E85FB" w14:textId="02DF4EA5" w:rsidR="009C7B1B" w:rsidRPr="000C6101" w:rsidRDefault="009C7B1B" w:rsidP="009C7B1B">
            <w:pPr>
              <w:jc w:val="center"/>
              <w:rPr>
                <w:rFonts w:ascii="Verdana" w:eastAsia="Calibri" w:hAnsi="Verdana" w:cs="Arial"/>
                <w:sz w:val="20"/>
                <w:szCs w:val="20"/>
              </w:rPr>
            </w:pPr>
            <w:r w:rsidRPr="00AC0141">
              <w:rPr>
                <w:rFonts w:ascii="Verdana" w:eastAsia="Calibri" w:hAnsi="Verdana" w:cs="Arial"/>
                <w:color w:val="215E99" w:themeColor="text2" w:themeTint="BF"/>
                <w:sz w:val="20"/>
                <w:szCs w:val="20"/>
              </w:rPr>
              <w:t>Mi</w:t>
            </w:r>
            <w:r w:rsidR="000C6101" w:rsidRPr="00AC0141">
              <w:rPr>
                <w:rFonts w:ascii="Verdana" w:eastAsia="Calibri" w:hAnsi="Verdana" w:cs="Arial"/>
                <w:color w:val="215E99" w:themeColor="text2" w:themeTint="BF"/>
                <w:sz w:val="20"/>
                <w:szCs w:val="20"/>
              </w:rPr>
              <w:t>-o</w:t>
            </w:r>
            <w:r w:rsidRPr="00AC0141">
              <w:rPr>
                <w:rFonts w:ascii="Verdana" w:eastAsia="Calibri" w:hAnsi="Verdana" w:cs="Arial"/>
                <w:color w:val="215E99" w:themeColor="text2" w:themeTint="BF"/>
                <w:sz w:val="20"/>
                <w:szCs w:val="20"/>
              </w:rPr>
              <w:t>ctobre 2024</w:t>
            </w:r>
          </w:p>
        </w:tc>
      </w:tr>
      <w:tr w:rsidR="000C6101" w:rsidRPr="000C6101" w14:paraId="2FFFA6DB" w14:textId="77777777" w:rsidTr="396FCBB9">
        <w:tc>
          <w:tcPr>
            <w:tcW w:w="7230" w:type="dxa"/>
          </w:tcPr>
          <w:p w14:paraId="4B66CA85" w14:textId="77777777" w:rsidR="009C7B1B" w:rsidRPr="000C6101" w:rsidRDefault="009C7B1B" w:rsidP="009C7B1B">
            <w:pPr>
              <w:spacing w:after="120" w:line="276" w:lineRule="auto"/>
              <w:ind w:left="720"/>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Décision 17. Coalition mondiale pour la justice sociale</w:t>
            </w:r>
          </w:p>
          <w:p w14:paraId="69A4B3AA" w14:textId="0EAB3632" w:rsidR="009C7B1B" w:rsidRPr="000C6101" w:rsidRDefault="009C7B1B" w:rsidP="000C6101">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Le Comité des OPL prend note de la poursuite des consultations nationales nécessaires à une position unanime des </w:t>
            </w:r>
            <w:r w:rsidR="000C6101" w:rsidRPr="000C6101">
              <w:rPr>
                <w:rFonts w:ascii="Verdana" w:eastAsia="Calibri" w:hAnsi="Verdana" w:cs="Calibri"/>
                <w:kern w:val="0"/>
                <w:sz w:val="20"/>
                <w:szCs w:val="20"/>
                <w14:ligatures w14:val="none"/>
              </w:rPr>
              <w:t xml:space="preserve">États </w:t>
            </w:r>
            <w:r w:rsidRPr="000C6101">
              <w:rPr>
                <w:rFonts w:ascii="Verdana" w:eastAsia="Calibri" w:hAnsi="Verdana" w:cs="Calibri"/>
                <w:kern w:val="0"/>
                <w:sz w:val="20"/>
                <w:szCs w:val="20"/>
                <w14:ligatures w14:val="none"/>
              </w:rPr>
              <w:t>membres pour l’adhésion de la COI à la Coalition mondiale pour la justice sociale.</w:t>
            </w:r>
          </w:p>
        </w:tc>
        <w:tc>
          <w:tcPr>
            <w:tcW w:w="3690" w:type="dxa"/>
          </w:tcPr>
          <w:p w14:paraId="6E8D5FEA" w14:textId="77777777" w:rsidR="009C7B1B" w:rsidRPr="000C6101" w:rsidRDefault="009C7B1B" w:rsidP="000C6101">
            <w:pPr>
              <w:jc w:val="both"/>
              <w:rPr>
                <w:rFonts w:ascii="Verdana" w:eastAsia="Verdana" w:hAnsi="Verdana" w:cs="Verdana"/>
                <w:sz w:val="20"/>
                <w:szCs w:val="20"/>
              </w:rPr>
            </w:pPr>
          </w:p>
        </w:tc>
        <w:tc>
          <w:tcPr>
            <w:tcW w:w="1984" w:type="dxa"/>
          </w:tcPr>
          <w:p w14:paraId="40A58812" w14:textId="77777777" w:rsidR="009C7B1B" w:rsidRPr="000C6101" w:rsidRDefault="009C7B1B" w:rsidP="009C7B1B">
            <w:pPr>
              <w:jc w:val="center"/>
              <w:rPr>
                <w:rFonts w:ascii="Verdana" w:eastAsia="Calibri" w:hAnsi="Verdana" w:cs="Arial"/>
                <w:sz w:val="20"/>
                <w:szCs w:val="20"/>
              </w:rPr>
            </w:pPr>
          </w:p>
        </w:tc>
        <w:tc>
          <w:tcPr>
            <w:tcW w:w="1904" w:type="dxa"/>
          </w:tcPr>
          <w:p w14:paraId="29620251" w14:textId="77777777" w:rsidR="009C7B1B" w:rsidRPr="000C6101" w:rsidRDefault="009C7B1B" w:rsidP="009C7B1B">
            <w:pPr>
              <w:jc w:val="center"/>
              <w:rPr>
                <w:rFonts w:ascii="Verdana" w:eastAsia="Calibri" w:hAnsi="Verdana" w:cs="Arial"/>
                <w:sz w:val="20"/>
                <w:szCs w:val="20"/>
              </w:rPr>
            </w:pPr>
          </w:p>
        </w:tc>
      </w:tr>
      <w:tr w:rsidR="000C6101" w:rsidRPr="000C6101" w14:paraId="4313587C" w14:textId="77777777" w:rsidTr="396FCBB9">
        <w:tc>
          <w:tcPr>
            <w:tcW w:w="14808" w:type="dxa"/>
            <w:gridSpan w:val="4"/>
            <w:shd w:val="clear" w:color="auto" w:fill="ED7D31"/>
          </w:tcPr>
          <w:p w14:paraId="25081B7D" w14:textId="47AF5156" w:rsidR="009C7B1B" w:rsidRPr="000C6101" w:rsidRDefault="009C7B1B" w:rsidP="000C6101">
            <w:pPr>
              <w:keepNext/>
              <w:keepLines/>
              <w:spacing w:before="40"/>
              <w:jc w:val="both"/>
              <w:outlineLvl w:val="1"/>
              <w:rPr>
                <w:rFonts w:ascii="Verdana" w:eastAsia="Yu Gothic Light" w:hAnsi="Verdana" w:cs="Times New Roman"/>
                <w:b/>
                <w:bCs/>
                <w:sz w:val="20"/>
                <w:szCs w:val="20"/>
              </w:rPr>
            </w:pPr>
            <w:bookmarkStart w:id="2" w:name="_Toc173249466"/>
            <w:r w:rsidRPr="000C6101">
              <w:rPr>
                <w:rFonts w:ascii="Verdana" w:eastAsia="Calibri" w:hAnsi="Verdana" w:cs="Arial"/>
                <w:b/>
                <w:bCs/>
                <w:sz w:val="20"/>
                <w:szCs w:val="20"/>
              </w:rPr>
              <w:t>Administration et finances</w:t>
            </w:r>
            <w:bookmarkEnd w:id="2"/>
          </w:p>
        </w:tc>
      </w:tr>
      <w:tr w:rsidR="000C6101" w:rsidRPr="000C6101" w14:paraId="03429320" w14:textId="77777777" w:rsidTr="396FCBB9">
        <w:tc>
          <w:tcPr>
            <w:tcW w:w="7230" w:type="dxa"/>
          </w:tcPr>
          <w:p w14:paraId="1FE58F9F" w14:textId="77777777" w:rsidR="009C7B1B" w:rsidRPr="000C6101" w:rsidRDefault="009C7B1B" w:rsidP="009C7B1B">
            <w:pPr>
              <w:spacing w:after="120" w:line="276" w:lineRule="auto"/>
              <w:ind w:left="720"/>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Décision 18. Ressources humaines</w:t>
            </w:r>
          </w:p>
          <w:p w14:paraId="44C381CE" w14:textId="77777777" w:rsidR="009C7B1B" w:rsidRPr="000C6101" w:rsidRDefault="009C7B1B" w:rsidP="009C7B1B">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lastRenderedPageBreak/>
              <w:t>Le Comité des OPL :</w:t>
            </w:r>
          </w:p>
          <w:p w14:paraId="1B579AC6" w14:textId="77777777" w:rsidR="009C7B1B" w:rsidRPr="000C6101" w:rsidRDefault="009C7B1B" w:rsidP="009C7B1B">
            <w:pPr>
              <w:numPr>
                <w:ilvl w:val="0"/>
                <w:numId w:val="25"/>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Prend note de l’élection du nouveau comité du personnel et félicite la nouvelle équipe en lui souhaitant plein succès dans l’accomplissement de ses missions.</w:t>
            </w:r>
          </w:p>
          <w:p w14:paraId="0AD956BB" w14:textId="77777777" w:rsidR="009C7B1B" w:rsidRPr="000C6101" w:rsidRDefault="009C7B1B" w:rsidP="009C7B1B">
            <w:pPr>
              <w:numPr>
                <w:ilvl w:val="0"/>
                <w:numId w:val="25"/>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Prend note du plan de recrutement des 12 postes approuvés par procédure écrite et encourage le Secrétariat général à procéder aux recrutements dans les plus brefs délais.</w:t>
            </w:r>
          </w:p>
          <w:p w14:paraId="4EE0EB45" w14:textId="77777777" w:rsidR="009C7B1B" w:rsidRPr="000C6101" w:rsidRDefault="009C7B1B" w:rsidP="009C7B1B">
            <w:pPr>
              <w:numPr>
                <w:ilvl w:val="0"/>
                <w:numId w:val="25"/>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Prend note de l’avancement de la révision des statuts du personnel et encourage le Secrétariat général à poursuivre l’exercice pour une soumission d’un statut révisé aux prochaines instances pour approbation.</w:t>
            </w:r>
          </w:p>
          <w:p w14:paraId="66D30104" w14:textId="78B6A580" w:rsidR="009C7B1B" w:rsidRPr="000C6101" w:rsidRDefault="009C7B1B" w:rsidP="000C6101">
            <w:pPr>
              <w:numPr>
                <w:ilvl w:val="0"/>
                <w:numId w:val="25"/>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Prend note de l’introduction des deux nouveaux textes clés de prévention en matière de lutte contre les discriminations, les harcèlements et les violences sexistes et sexuelles et d’éthique. Il encourage le Secrétariat général dans la transformation de la culture organisationnelle sur ces questions, favorisée par les formations prévues en 2024.</w:t>
            </w:r>
          </w:p>
        </w:tc>
        <w:tc>
          <w:tcPr>
            <w:tcW w:w="3690" w:type="dxa"/>
          </w:tcPr>
          <w:p w14:paraId="47DAD204" w14:textId="77777777" w:rsidR="009C7B1B" w:rsidRPr="000C6101" w:rsidRDefault="009C7B1B" w:rsidP="000C6101">
            <w:pPr>
              <w:jc w:val="both"/>
              <w:rPr>
                <w:rFonts w:ascii="Verdana" w:eastAsia="Calibri" w:hAnsi="Verdana" w:cs="Arial"/>
                <w:sz w:val="20"/>
                <w:szCs w:val="20"/>
              </w:rPr>
            </w:pPr>
          </w:p>
          <w:p w14:paraId="30B7BBF2" w14:textId="77777777" w:rsidR="009C7B1B" w:rsidRPr="000C6101" w:rsidRDefault="009C7B1B" w:rsidP="000C6101">
            <w:pPr>
              <w:jc w:val="both"/>
              <w:rPr>
                <w:rFonts w:ascii="Verdana" w:eastAsia="Calibri" w:hAnsi="Verdana" w:cs="Arial"/>
                <w:sz w:val="20"/>
                <w:szCs w:val="20"/>
              </w:rPr>
            </w:pPr>
          </w:p>
          <w:p w14:paraId="700E3ED6" w14:textId="665BBB64" w:rsidR="009C7B1B" w:rsidRPr="00AC0141" w:rsidRDefault="009C7B1B" w:rsidP="000C6101">
            <w:pPr>
              <w:jc w:val="both"/>
              <w:rPr>
                <w:rFonts w:ascii="Verdana" w:eastAsia="Calibri" w:hAnsi="Verdana" w:cs="Arial"/>
                <w:color w:val="215E99" w:themeColor="text2" w:themeTint="BF"/>
                <w:sz w:val="20"/>
                <w:szCs w:val="20"/>
              </w:rPr>
            </w:pPr>
            <w:r w:rsidRPr="5329A88D">
              <w:rPr>
                <w:rFonts w:ascii="Verdana" w:eastAsia="Calibri" w:hAnsi="Verdana" w:cs="Arial"/>
                <w:color w:val="215E99" w:themeColor="text2" w:themeTint="BF"/>
                <w:sz w:val="20"/>
                <w:szCs w:val="20"/>
              </w:rPr>
              <w:lastRenderedPageBreak/>
              <w:t>Les 12 postes approuvés par procédure écrite en date 12 avril 2024</w:t>
            </w:r>
            <w:r w:rsidR="0DD6F6FC" w:rsidRPr="5329A88D">
              <w:rPr>
                <w:rFonts w:ascii="Verdana" w:eastAsia="Calibri" w:hAnsi="Verdana" w:cs="Arial"/>
                <w:color w:val="215E99" w:themeColor="text2" w:themeTint="BF"/>
                <w:sz w:val="20"/>
                <w:szCs w:val="20"/>
              </w:rPr>
              <w:t xml:space="preserve"> ont été lancés. 5 collègues ont déjà pris leur poste. Les autres postes seront pourvus d’ici février 2025 (</w:t>
            </w:r>
            <w:proofErr w:type="spellStart"/>
            <w:r w:rsidR="0DD6F6FC" w:rsidRPr="5329A88D">
              <w:rPr>
                <w:rFonts w:ascii="Verdana" w:eastAsia="Calibri" w:hAnsi="Verdana" w:cs="Arial"/>
                <w:color w:val="215E99" w:themeColor="text2" w:themeTint="BF"/>
                <w:sz w:val="20"/>
                <w:szCs w:val="20"/>
              </w:rPr>
              <w:t>cf</w:t>
            </w:r>
            <w:proofErr w:type="spellEnd"/>
            <w:r w:rsidR="0DD6F6FC" w:rsidRPr="5329A88D">
              <w:rPr>
                <w:rFonts w:ascii="Verdana" w:eastAsia="Calibri" w:hAnsi="Verdana" w:cs="Arial"/>
                <w:color w:val="215E99" w:themeColor="text2" w:themeTint="BF"/>
                <w:sz w:val="20"/>
                <w:szCs w:val="20"/>
              </w:rPr>
              <w:t xml:space="preserve"> fi</w:t>
            </w:r>
            <w:r w:rsidR="312A577F" w:rsidRPr="5329A88D">
              <w:rPr>
                <w:rFonts w:ascii="Verdana" w:eastAsia="Calibri" w:hAnsi="Verdana" w:cs="Arial"/>
                <w:color w:val="215E99" w:themeColor="text2" w:themeTint="BF"/>
                <w:sz w:val="20"/>
                <w:szCs w:val="20"/>
              </w:rPr>
              <w:t xml:space="preserve">che </w:t>
            </w:r>
            <w:r w:rsidR="4C570E86" w:rsidRPr="5329A88D">
              <w:rPr>
                <w:rFonts w:ascii="Verdana" w:eastAsia="Calibri" w:hAnsi="Verdana" w:cs="Arial"/>
                <w:color w:val="215E99" w:themeColor="text2" w:themeTint="BF"/>
                <w:sz w:val="20"/>
                <w:szCs w:val="20"/>
              </w:rPr>
              <w:t xml:space="preserve">3.1 </w:t>
            </w:r>
            <w:r w:rsidR="312A577F" w:rsidRPr="5329A88D">
              <w:rPr>
                <w:rFonts w:ascii="Verdana" w:eastAsia="Calibri" w:hAnsi="Verdana" w:cs="Arial"/>
                <w:color w:val="215E99" w:themeColor="text2" w:themeTint="BF"/>
                <w:sz w:val="20"/>
                <w:szCs w:val="20"/>
              </w:rPr>
              <w:t>ressources pour plus de détail</w:t>
            </w:r>
            <w:r w:rsidR="1201BCB8" w:rsidRPr="5329A88D">
              <w:rPr>
                <w:rFonts w:ascii="Verdana" w:eastAsia="Calibri" w:hAnsi="Verdana" w:cs="Arial"/>
                <w:color w:val="215E99" w:themeColor="text2" w:themeTint="BF"/>
                <w:sz w:val="20"/>
                <w:szCs w:val="20"/>
              </w:rPr>
              <w:t>s</w:t>
            </w:r>
            <w:r w:rsidR="312A577F" w:rsidRPr="5329A88D">
              <w:rPr>
                <w:rFonts w:ascii="Verdana" w:eastAsia="Calibri" w:hAnsi="Verdana" w:cs="Arial"/>
                <w:color w:val="215E99" w:themeColor="text2" w:themeTint="BF"/>
                <w:sz w:val="20"/>
                <w:szCs w:val="20"/>
              </w:rPr>
              <w:t>)</w:t>
            </w:r>
          </w:p>
          <w:p w14:paraId="4B7CFFD2" w14:textId="54755D15" w:rsidR="009C7B1B" w:rsidRDefault="009C7B1B" w:rsidP="5329A88D">
            <w:pPr>
              <w:jc w:val="both"/>
              <w:rPr>
                <w:rFonts w:ascii="Verdana" w:eastAsia="Calibri" w:hAnsi="Verdana" w:cs="Arial"/>
                <w:color w:val="215E99" w:themeColor="text2" w:themeTint="BF"/>
                <w:sz w:val="20"/>
                <w:szCs w:val="20"/>
              </w:rPr>
            </w:pPr>
            <w:r w:rsidRPr="5329A88D">
              <w:rPr>
                <w:rFonts w:ascii="Verdana" w:eastAsia="Calibri" w:hAnsi="Verdana" w:cs="Arial"/>
                <w:color w:val="215E99" w:themeColor="text2" w:themeTint="BF"/>
                <w:sz w:val="20"/>
                <w:szCs w:val="20"/>
              </w:rPr>
              <w:t xml:space="preserve">La révision des statuts </w:t>
            </w:r>
            <w:r w:rsidR="0CFFCD18" w:rsidRPr="5329A88D">
              <w:rPr>
                <w:rFonts w:ascii="Verdana" w:eastAsia="Calibri" w:hAnsi="Verdana" w:cs="Arial"/>
                <w:color w:val="215E99" w:themeColor="text2" w:themeTint="BF"/>
                <w:sz w:val="20"/>
                <w:szCs w:val="20"/>
              </w:rPr>
              <w:t>a été finalisé (</w:t>
            </w:r>
            <w:proofErr w:type="spellStart"/>
            <w:r w:rsidR="0CFFCD18" w:rsidRPr="5329A88D">
              <w:rPr>
                <w:rFonts w:ascii="Verdana" w:eastAsia="Calibri" w:hAnsi="Verdana" w:cs="Arial"/>
                <w:color w:val="215E99" w:themeColor="text2" w:themeTint="BF"/>
                <w:sz w:val="20"/>
                <w:szCs w:val="20"/>
              </w:rPr>
              <w:t>cf</w:t>
            </w:r>
            <w:proofErr w:type="spellEnd"/>
            <w:r w:rsidR="0CFFCD18" w:rsidRPr="5329A88D">
              <w:rPr>
                <w:rFonts w:ascii="Verdana" w:eastAsia="Calibri" w:hAnsi="Verdana" w:cs="Arial"/>
                <w:color w:val="215E99" w:themeColor="text2" w:themeTint="BF"/>
                <w:sz w:val="20"/>
                <w:szCs w:val="20"/>
              </w:rPr>
              <w:t xml:space="preserve"> fiche </w:t>
            </w:r>
            <w:r w:rsidR="4C51E911" w:rsidRPr="5329A88D">
              <w:rPr>
                <w:rFonts w:ascii="Verdana" w:eastAsia="Calibri" w:hAnsi="Verdana" w:cs="Arial"/>
                <w:color w:val="215E99" w:themeColor="text2" w:themeTint="BF"/>
                <w:sz w:val="20"/>
                <w:szCs w:val="20"/>
              </w:rPr>
              <w:t xml:space="preserve">3.1 </w:t>
            </w:r>
            <w:r w:rsidR="0CFFCD18" w:rsidRPr="5329A88D">
              <w:rPr>
                <w:rFonts w:ascii="Verdana" w:eastAsia="Calibri" w:hAnsi="Verdana" w:cs="Arial"/>
                <w:color w:val="215E99" w:themeColor="text2" w:themeTint="BF"/>
                <w:sz w:val="20"/>
                <w:szCs w:val="20"/>
              </w:rPr>
              <w:t>ressources humaines pour plus de détails)</w:t>
            </w:r>
            <w:r w:rsidR="4ABBC4CC" w:rsidRPr="5329A88D">
              <w:rPr>
                <w:rFonts w:ascii="Verdana" w:eastAsia="Calibri" w:hAnsi="Verdana" w:cs="Arial"/>
                <w:color w:val="215E99" w:themeColor="text2" w:themeTint="BF"/>
                <w:sz w:val="20"/>
                <w:szCs w:val="20"/>
              </w:rPr>
              <w:t>. La proposition de statut du personnel se trouve en Annexe 3 ainsi qu’un tableau récapitulatif en annexe 4.</w:t>
            </w:r>
            <w:r w:rsidR="0165FE9A" w:rsidRPr="5329A88D">
              <w:rPr>
                <w:rFonts w:ascii="Verdana" w:eastAsia="Calibri" w:hAnsi="Verdana" w:cs="Arial"/>
                <w:color w:val="215E99" w:themeColor="text2" w:themeTint="BF"/>
                <w:sz w:val="20"/>
                <w:szCs w:val="20"/>
              </w:rPr>
              <w:t xml:space="preserve"> </w:t>
            </w:r>
            <w:r w:rsidR="0CFFCD18" w:rsidRPr="5329A88D">
              <w:rPr>
                <w:rFonts w:ascii="Verdana" w:eastAsia="Calibri" w:hAnsi="Verdana" w:cs="Arial"/>
                <w:color w:val="215E99" w:themeColor="text2" w:themeTint="BF"/>
                <w:sz w:val="20"/>
                <w:szCs w:val="20"/>
              </w:rPr>
              <w:t xml:space="preserve"> </w:t>
            </w:r>
          </w:p>
          <w:p w14:paraId="2DDA19BB" w14:textId="77777777" w:rsidR="009C7B1B" w:rsidRPr="000C6101" w:rsidRDefault="009C7B1B" w:rsidP="000C6101">
            <w:pPr>
              <w:jc w:val="both"/>
              <w:rPr>
                <w:rFonts w:ascii="Verdana" w:eastAsia="Calibri" w:hAnsi="Verdana" w:cs="Arial"/>
                <w:sz w:val="20"/>
                <w:szCs w:val="20"/>
              </w:rPr>
            </w:pPr>
          </w:p>
        </w:tc>
        <w:tc>
          <w:tcPr>
            <w:tcW w:w="1984" w:type="dxa"/>
          </w:tcPr>
          <w:p w14:paraId="2319E26B" w14:textId="50D861D5" w:rsidR="009C7B1B" w:rsidRPr="000C6101" w:rsidRDefault="009C7B1B" w:rsidP="009C7B1B">
            <w:pPr>
              <w:jc w:val="center"/>
              <w:rPr>
                <w:rFonts w:ascii="Verdana" w:eastAsia="Calibri" w:hAnsi="Verdana" w:cs="Arial"/>
                <w:sz w:val="20"/>
                <w:szCs w:val="20"/>
              </w:rPr>
            </w:pPr>
            <w:r w:rsidRPr="000C6101">
              <w:rPr>
                <w:rFonts w:ascii="Verdana" w:eastAsia="Calibri" w:hAnsi="Verdana" w:cs="Arial"/>
                <w:sz w:val="20"/>
                <w:szCs w:val="20"/>
              </w:rPr>
              <w:lastRenderedPageBreak/>
              <w:t>GRH</w:t>
            </w:r>
          </w:p>
        </w:tc>
        <w:tc>
          <w:tcPr>
            <w:tcW w:w="1904" w:type="dxa"/>
          </w:tcPr>
          <w:p w14:paraId="330FE14A" w14:textId="77777777" w:rsidR="009C7B1B" w:rsidRPr="000C6101" w:rsidRDefault="009C7B1B" w:rsidP="009C7B1B">
            <w:pPr>
              <w:jc w:val="center"/>
              <w:rPr>
                <w:rFonts w:ascii="Verdana" w:eastAsia="Calibri" w:hAnsi="Verdana" w:cs="Arial"/>
                <w:sz w:val="20"/>
                <w:szCs w:val="20"/>
              </w:rPr>
            </w:pPr>
          </w:p>
        </w:tc>
      </w:tr>
      <w:tr w:rsidR="000C6101" w:rsidRPr="000C6101" w14:paraId="0FF030D0" w14:textId="77777777" w:rsidTr="396FCBB9">
        <w:tc>
          <w:tcPr>
            <w:tcW w:w="7230" w:type="dxa"/>
          </w:tcPr>
          <w:p w14:paraId="54CFB658" w14:textId="77777777" w:rsidR="009C7B1B" w:rsidRPr="000C6101" w:rsidRDefault="009C7B1B" w:rsidP="009C7B1B">
            <w:pPr>
              <w:spacing w:after="120" w:line="276" w:lineRule="auto"/>
              <w:ind w:left="720"/>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Décision 19. Cadre de mise à disposition d’experts et de personnels auprès du Secrétariat général de la COI</w:t>
            </w:r>
          </w:p>
          <w:p w14:paraId="5435EC42" w14:textId="4E431923" w:rsidR="009C7B1B" w:rsidRPr="000C6101" w:rsidRDefault="009C7B1B" w:rsidP="000C6101">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Le Comité des OPL encourage le Secrétariat général à transmettre aux </w:t>
            </w:r>
            <w:r w:rsidR="000C6101" w:rsidRPr="000C6101">
              <w:rPr>
                <w:rFonts w:ascii="Verdana" w:eastAsia="Calibri" w:hAnsi="Verdana" w:cs="Calibri"/>
                <w:kern w:val="0"/>
                <w:sz w:val="20"/>
                <w:szCs w:val="20"/>
                <w14:ligatures w14:val="none"/>
              </w:rPr>
              <w:t xml:space="preserve">États </w:t>
            </w:r>
            <w:r w:rsidRPr="000C6101">
              <w:rPr>
                <w:rFonts w:ascii="Verdana" w:eastAsia="Calibri" w:hAnsi="Verdana" w:cs="Calibri"/>
                <w:kern w:val="0"/>
                <w:sz w:val="20"/>
                <w:szCs w:val="20"/>
                <w14:ligatures w14:val="none"/>
              </w:rPr>
              <w:t xml:space="preserve">membres le projet de cadre de mises à disposition au sein de la COI en vue des consultations avec les </w:t>
            </w:r>
            <w:r w:rsidR="000C6101" w:rsidRPr="000C6101">
              <w:rPr>
                <w:rFonts w:ascii="Verdana" w:eastAsia="Calibri" w:hAnsi="Verdana" w:cs="Calibri"/>
                <w:kern w:val="0"/>
                <w:sz w:val="20"/>
                <w:szCs w:val="20"/>
                <w14:ligatures w14:val="none"/>
              </w:rPr>
              <w:t xml:space="preserve">États </w:t>
            </w:r>
            <w:r w:rsidRPr="000C6101">
              <w:rPr>
                <w:rFonts w:ascii="Verdana" w:eastAsia="Calibri" w:hAnsi="Verdana" w:cs="Calibri"/>
                <w:kern w:val="0"/>
                <w:sz w:val="20"/>
                <w:szCs w:val="20"/>
                <w14:ligatures w14:val="none"/>
              </w:rPr>
              <w:t>membres pour sa finalisation puis approbation par les instances.</w:t>
            </w:r>
          </w:p>
        </w:tc>
        <w:tc>
          <w:tcPr>
            <w:tcW w:w="3690" w:type="dxa"/>
          </w:tcPr>
          <w:p w14:paraId="33B57279" w14:textId="737BA8B4" w:rsidR="009C7B1B" w:rsidRPr="000C6101" w:rsidRDefault="3F96360D" w:rsidP="000C6101">
            <w:pPr>
              <w:jc w:val="both"/>
              <w:rPr>
                <w:rFonts w:ascii="Verdana" w:eastAsia="Calibri" w:hAnsi="Verdana" w:cs="Arial"/>
                <w:sz w:val="20"/>
                <w:szCs w:val="20"/>
              </w:rPr>
            </w:pPr>
            <w:r w:rsidRPr="5329A88D">
              <w:rPr>
                <w:rFonts w:ascii="Verdana" w:eastAsia="Calibri" w:hAnsi="Verdana" w:cs="Arial"/>
                <w:sz w:val="20"/>
                <w:szCs w:val="20"/>
              </w:rPr>
              <w:t xml:space="preserve">Le cadre de mise à disposition est proposé en annexe de la fiche ressources </w:t>
            </w:r>
            <w:r w:rsidR="36DD4507" w:rsidRPr="5329A88D">
              <w:rPr>
                <w:rFonts w:ascii="Verdana" w:eastAsia="Calibri" w:hAnsi="Verdana" w:cs="Arial"/>
                <w:sz w:val="20"/>
                <w:szCs w:val="20"/>
              </w:rPr>
              <w:t xml:space="preserve">humaines (3.1 Annexe 5) </w:t>
            </w:r>
          </w:p>
        </w:tc>
        <w:tc>
          <w:tcPr>
            <w:tcW w:w="1984" w:type="dxa"/>
          </w:tcPr>
          <w:p w14:paraId="52F56545" w14:textId="77777777" w:rsidR="009C7B1B" w:rsidRPr="000C6101" w:rsidRDefault="009C7B1B" w:rsidP="009C7B1B">
            <w:pPr>
              <w:jc w:val="center"/>
              <w:rPr>
                <w:rFonts w:ascii="Verdana" w:eastAsia="Calibri" w:hAnsi="Verdana" w:cs="Arial"/>
                <w:sz w:val="20"/>
                <w:szCs w:val="20"/>
              </w:rPr>
            </w:pPr>
          </w:p>
        </w:tc>
        <w:tc>
          <w:tcPr>
            <w:tcW w:w="1904" w:type="dxa"/>
          </w:tcPr>
          <w:p w14:paraId="2B3AF5B0" w14:textId="77777777" w:rsidR="009C7B1B" w:rsidRPr="000C6101" w:rsidRDefault="009C7B1B" w:rsidP="009C7B1B">
            <w:pPr>
              <w:jc w:val="center"/>
              <w:rPr>
                <w:rFonts w:ascii="Verdana" w:eastAsia="Calibri" w:hAnsi="Verdana" w:cs="Arial"/>
                <w:sz w:val="20"/>
                <w:szCs w:val="20"/>
              </w:rPr>
            </w:pPr>
          </w:p>
        </w:tc>
      </w:tr>
      <w:tr w:rsidR="000C6101" w:rsidRPr="000C6101" w14:paraId="05E910DB" w14:textId="77777777" w:rsidTr="396FCBB9">
        <w:tc>
          <w:tcPr>
            <w:tcW w:w="7230" w:type="dxa"/>
          </w:tcPr>
          <w:p w14:paraId="2931C00A" w14:textId="77777777" w:rsidR="009C7B1B" w:rsidRPr="000C6101" w:rsidRDefault="009C7B1B" w:rsidP="009C7B1B">
            <w:pPr>
              <w:spacing w:after="120" w:line="276" w:lineRule="auto"/>
              <w:ind w:left="720"/>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Décision 20. Termes de référence du Comité budgétaire</w:t>
            </w:r>
          </w:p>
          <w:p w14:paraId="52C53479" w14:textId="4317F5E1" w:rsidR="009C7B1B" w:rsidRPr="000C6101" w:rsidRDefault="009C7B1B" w:rsidP="000C6101">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Le Comité des OPL demande au Secrétariat général de soumettre une version consolidée des termes de référence du Comité budgétaire, tenant compte des commentaires des </w:t>
            </w:r>
            <w:r w:rsidR="000C6101" w:rsidRPr="000C6101">
              <w:rPr>
                <w:rFonts w:ascii="Verdana" w:eastAsia="Calibri" w:hAnsi="Verdana" w:cs="Calibri"/>
                <w:kern w:val="0"/>
                <w:sz w:val="20"/>
                <w:szCs w:val="20"/>
                <w14:ligatures w14:val="none"/>
              </w:rPr>
              <w:t>États</w:t>
            </w:r>
            <w:r w:rsidRPr="000C6101">
              <w:rPr>
                <w:rFonts w:ascii="Verdana" w:eastAsia="Calibri" w:hAnsi="Verdana" w:cs="Calibri"/>
                <w:kern w:val="0"/>
                <w:sz w:val="20"/>
                <w:szCs w:val="20"/>
                <w14:ligatures w14:val="none"/>
              </w:rPr>
              <w:t xml:space="preserve"> membres, en vue de sa soumission au 38</w:t>
            </w:r>
            <w:r w:rsidRPr="000C6101">
              <w:rPr>
                <w:rFonts w:ascii="Verdana" w:eastAsia="Calibri" w:hAnsi="Verdana" w:cs="Calibri"/>
                <w:kern w:val="0"/>
                <w:sz w:val="20"/>
                <w:szCs w:val="20"/>
                <w:vertAlign w:val="superscript"/>
                <w14:ligatures w14:val="none"/>
              </w:rPr>
              <w:t>ème</w:t>
            </w:r>
            <w:r w:rsidRPr="000C6101">
              <w:rPr>
                <w:rFonts w:ascii="Verdana" w:eastAsia="Calibri" w:hAnsi="Verdana" w:cs="Calibri"/>
                <w:kern w:val="0"/>
                <w:sz w:val="20"/>
                <w:szCs w:val="20"/>
                <w14:ligatures w14:val="none"/>
              </w:rPr>
              <w:t xml:space="preserve"> Conseil pour approbation et application immédiate.</w:t>
            </w:r>
          </w:p>
        </w:tc>
        <w:tc>
          <w:tcPr>
            <w:tcW w:w="3690" w:type="dxa"/>
          </w:tcPr>
          <w:p w14:paraId="790D16C1" w14:textId="457B4D8F" w:rsidR="009C7B1B" w:rsidRPr="000C6101" w:rsidRDefault="009C7B1B" w:rsidP="000C6101">
            <w:pPr>
              <w:jc w:val="both"/>
              <w:rPr>
                <w:rFonts w:ascii="Verdana" w:eastAsia="Calibri" w:hAnsi="Verdana" w:cs="Arial"/>
                <w:sz w:val="20"/>
                <w:szCs w:val="20"/>
              </w:rPr>
            </w:pPr>
          </w:p>
          <w:p w14:paraId="435A33E0" w14:textId="4ADA1A58" w:rsidR="009C7B1B" w:rsidRPr="000C6101" w:rsidRDefault="009C7B1B" w:rsidP="000C6101">
            <w:pPr>
              <w:jc w:val="both"/>
              <w:rPr>
                <w:rFonts w:ascii="Verdana" w:eastAsia="Calibri" w:hAnsi="Verdana" w:cs="Arial"/>
                <w:sz w:val="20"/>
                <w:szCs w:val="20"/>
              </w:rPr>
            </w:pPr>
          </w:p>
          <w:p w14:paraId="6944F50F" w14:textId="164768A6" w:rsidR="009C7B1B" w:rsidRPr="000C6101" w:rsidRDefault="009C7B1B" w:rsidP="000C6101">
            <w:pPr>
              <w:jc w:val="both"/>
              <w:rPr>
                <w:rFonts w:ascii="Verdana" w:eastAsia="Calibri" w:hAnsi="Verdana" w:cs="Arial"/>
                <w:sz w:val="20"/>
                <w:szCs w:val="20"/>
              </w:rPr>
            </w:pPr>
          </w:p>
          <w:p w14:paraId="727AEDF4" w14:textId="271883C9" w:rsidR="009C7B1B" w:rsidRPr="000C6101" w:rsidRDefault="009C7B1B" w:rsidP="000C6101">
            <w:pPr>
              <w:jc w:val="both"/>
              <w:rPr>
                <w:rFonts w:ascii="Verdana" w:eastAsia="Calibri" w:hAnsi="Verdana" w:cs="Arial"/>
                <w:sz w:val="20"/>
                <w:szCs w:val="20"/>
              </w:rPr>
            </w:pPr>
            <w:r w:rsidRPr="000C6101">
              <w:rPr>
                <w:rFonts w:ascii="Verdana" w:eastAsia="Calibri" w:hAnsi="Verdana" w:cs="Arial"/>
                <w:sz w:val="20"/>
                <w:szCs w:val="20"/>
              </w:rPr>
              <w:t>TDR approuvé par le 38ème Conseil de la COI transmis aux membres du Comité budgétaire par lettre du 24 mai 2024.</w:t>
            </w:r>
          </w:p>
        </w:tc>
        <w:tc>
          <w:tcPr>
            <w:tcW w:w="1984" w:type="dxa"/>
          </w:tcPr>
          <w:p w14:paraId="59106F11" w14:textId="3DD90C9A" w:rsidR="009C7B1B" w:rsidRPr="000C6101" w:rsidRDefault="009C7B1B" w:rsidP="009C7B1B">
            <w:pPr>
              <w:jc w:val="center"/>
              <w:rPr>
                <w:rFonts w:ascii="Verdana" w:eastAsia="Calibri" w:hAnsi="Verdana" w:cs="Arial"/>
                <w:sz w:val="20"/>
                <w:szCs w:val="20"/>
              </w:rPr>
            </w:pPr>
          </w:p>
          <w:p w14:paraId="4D224A52" w14:textId="3520B727" w:rsidR="009C7B1B" w:rsidRPr="000C6101" w:rsidRDefault="009C7B1B" w:rsidP="009C7B1B">
            <w:pPr>
              <w:jc w:val="center"/>
              <w:rPr>
                <w:rFonts w:ascii="Verdana" w:eastAsia="Calibri" w:hAnsi="Verdana" w:cs="Arial"/>
                <w:sz w:val="20"/>
                <w:szCs w:val="20"/>
              </w:rPr>
            </w:pPr>
          </w:p>
          <w:p w14:paraId="431A710C" w14:textId="2E443D56" w:rsidR="009C7B1B" w:rsidRPr="000C6101" w:rsidRDefault="009C7B1B" w:rsidP="009C7B1B">
            <w:pPr>
              <w:jc w:val="center"/>
              <w:rPr>
                <w:rFonts w:ascii="Verdana" w:eastAsia="Calibri" w:hAnsi="Verdana" w:cs="Arial"/>
                <w:sz w:val="20"/>
                <w:szCs w:val="20"/>
              </w:rPr>
            </w:pPr>
          </w:p>
          <w:p w14:paraId="4CCEB348" w14:textId="4E46E16B" w:rsidR="009C7B1B" w:rsidRPr="000C6101" w:rsidRDefault="009C7B1B" w:rsidP="009C7B1B">
            <w:pPr>
              <w:jc w:val="center"/>
              <w:rPr>
                <w:rFonts w:ascii="Verdana" w:eastAsia="Calibri" w:hAnsi="Verdana" w:cs="Arial"/>
                <w:sz w:val="20"/>
                <w:szCs w:val="20"/>
              </w:rPr>
            </w:pPr>
          </w:p>
          <w:p w14:paraId="7107AE56" w14:textId="0A0308FA" w:rsidR="009C7B1B" w:rsidRPr="000C6101" w:rsidRDefault="009C7B1B" w:rsidP="009C7B1B">
            <w:pPr>
              <w:jc w:val="center"/>
              <w:rPr>
                <w:rFonts w:ascii="Verdana" w:eastAsia="Calibri" w:hAnsi="Verdana" w:cs="Arial"/>
                <w:sz w:val="20"/>
                <w:szCs w:val="20"/>
              </w:rPr>
            </w:pPr>
            <w:r w:rsidRPr="000C6101">
              <w:rPr>
                <w:rFonts w:ascii="Verdana" w:eastAsia="Calibri" w:hAnsi="Verdana" w:cs="Arial"/>
                <w:sz w:val="20"/>
                <w:szCs w:val="20"/>
              </w:rPr>
              <w:t>SAF</w:t>
            </w:r>
          </w:p>
        </w:tc>
        <w:tc>
          <w:tcPr>
            <w:tcW w:w="1904" w:type="dxa"/>
          </w:tcPr>
          <w:p w14:paraId="411B8C91" w14:textId="29354E01" w:rsidR="009C7B1B" w:rsidRPr="000C6101" w:rsidRDefault="009C7B1B" w:rsidP="009C7B1B">
            <w:pPr>
              <w:jc w:val="center"/>
              <w:rPr>
                <w:rFonts w:ascii="Verdana" w:eastAsia="Calibri" w:hAnsi="Verdana" w:cs="Arial"/>
                <w:sz w:val="20"/>
                <w:szCs w:val="20"/>
              </w:rPr>
            </w:pPr>
          </w:p>
          <w:p w14:paraId="5BA2531E" w14:textId="0D5E370C" w:rsidR="009C7B1B" w:rsidRPr="000C6101" w:rsidRDefault="009C7B1B" w:rsidP="009C7B1B">
            <w:pPr>
              <w:jc w:val="center"/>
              <w:rPr>
                <w:rFonts w:ascii="Verdana" w:eastAsia="Calibri" w:hAnsi="Verdana" w:cs="Arial"/>
                <w:sz w:val="20"/>
                <w:szCs w:val="20"/>
              </w:rPr>
            </w:pPr>
          </w:p>
          <w:p w14:paraId="35F0AA08" w14:textId="09067FAA" w:rsidR="009C7B1B" w:rsidRPr="000C6101" w:rsidRDefault="009C7B1B" w:rsidP="009C7B1B">
            <w:pPr>
              <w:jc w:val="center"/>
              <w:rPr>
                <w:rFonts w:ascii="Verdana" w:eastAsia="Calibri" w:hAnsi="Verdana" w:cs="Arial"/>
                <w:sz w:val="20"/>
                <w:szCs w:val="20"/>
              </w:rPr>
            </w:pPr>
          </w:p>
          <w:p w14:paraId="3E22B9CB" w14:textId="183FC63C" w:rsidR="009C7B1B" w:rsidRPr="000C6101" w:rsidRDefault="009C7B1B" w:rsidP="009C7B1B">
            <w:pPr>
              <w:jc w:val="center"/>
              <w:rPr>
                <w:rFonts w:ascii="Verdana" w:eastAsia="Calibri" w:hAnsi="Verdana" w:cs="Arial"/>
                <w:sz w:val="20"/>
                <w:szCs w:val="20"/>
              </w:rPr>
            </w:pPr>
          </w:p>
          <w:p w14:paraId="4EB80D75" w14:textId="45E2DF35" w:rsidR="009C7B1B" w:rsidRPr="000C6101" w:rsidRDefault="009C7B1B" w:rsidP="009C7B1B">
            <w:pPr>
              <w:jc w:val="center"/>
              <w:rPr>
                <w:rFonts w:ascii="Verdana" w:eastAsia="Calibri" w:hAnsi="Verdana" w:cs="Arial"/>
                <w:sz w:val="20"/>
                <w:szCs w:val="20"/>
              </w:rPr>
            </w:pPr>
            <w:r w:rsidRPr="000C6101">
              <w:rPr>
                <w:rFonts w:ascii="Verdana" w:eastAsia="Calibri" w:hAnsi="Verdana" w:cs="Arial"/>
                <w:sz w:val="20"/>
                <w:szCs w:val="20"/>
              </w:rPr>
              <w:t>Fait</w:t>
            </w:r>
          </w:p>
        </w:tc>
      </w:tr>
      <w:tr w:rsidR="000C6101" w:rsidRPr="000C6101" w14:paraId="089EBF0D" w14:textId="77777777" w:rsidTr="396FCBB9">
        <w:tc>
          <w:tcPr>
            <w:tcW w:w="7230" w:type="dxa"/>
          </w:tcPr>
          <w:p w14:paraId="00D611FA" w14:textId="77777777" w:rsidR="009C7B1B" w:rsidRPr="000C6101" w:rsidRDefault="009C7B1B" w:rsidP="009C7B1B">
            <w:pPr>
              <w:spacing w:after="120" w:line="276" w:lineRule="auto"/>
              <w:ind w:left="720"/>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lastRenderedPageBreak/>
              <w:t>Décision 21. Audit interne et rapport du Comité d’audit et des risques</w:t>
            </w:r>
          </w:p>
          <w:p w14:paraId="2F7C5B7E" w14:textId="77777777" w:rsidR="009C7B1B" w:rsidRPr="000C6101" w:rsidRDefault="009C7B1B" w:rsidP="009C7B1B">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Le Comité des OPL : </w:t>
            </w:r>
          </w:p>
          <w:p w14:paraId="50CEC90A" w14:textId="77777777" w:rsidR="009C7B1B" w:rsidRPr="000C6101" w:rsidRDefault="009C7B1B" w:rsidP="009C7B1B">
            <w:pPr>
              <w:numPr>
                <w:ilvl w:val="0"/>
                <w:numId w:val="26"/>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Prend note des conclusions de l’audit externe, réalisé par le cabinet Moore, sur le budget de fonctionnement de la COI et la certification sans réserve de ses comptes pour l’année 2023.</w:t>
            </w:r>
          </w:p>
          <w:p w14:paraId="280368ED" w14:textId="77777777" w:rsidR="009C7B1B" w:rsidRPr="000C6101" w:rsidRDefault="009C7B1B" w:rsidP="009C7B1B">
            <w:pPr>
              <w:numPr>
                <w:ilvl w:val="0"/>
                <w:numId w:val="26"/>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Prend note du procès-verbal de la réunion du Comité d’audit et des risques (CAR) des 15-16 avril 2024.</w:t>
            </w:r>
          </w:p>
          <w:p w14:paraId="25DD17A1" w14:textId="77777777" w:rsidR="009C7B1B" w:rsidRPr="000C6101" w:rsidRDefault="009C7B1B" w:rsidP="009C7B1B">
            <w:pPr>
              <w:numPr>
                <w:ilvl w:val="0"/>
                <w:numId w:val="26"/>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Demande au Secrétariat général de mettre en œuvre les recommandations du CAR et des auditeurs externes.</w:t>
            </w:r>
          </w:p>
          <w:p w14:paraId="2DE03290" w14:textId="77777777" w:rsidR="009C7B1B" w:rsidRPr="000C6101" w:rsidRDefault="009C7B1B" w:rsidP="009C7B1B">
            <w:pPr>
              <w:numPr>
                <w:ilvl w:val="0"/>
                <w:numId w:val="26"/>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Recommande au Conseil des ministres d’approuver la mise à jour du règlement intérieur du Comité d’audit et des risques (CAR).</w:t>
            </w:r>
          </w:p>
          <w:p w14:paraId="5C025C4A" w14:textId="211D98B3" w:rsidR="009C7B1B" w:rsidRPr="000C6101" w:rsidRDefault="009C7B1B" w:rsidP="000C6101">
            <w:pPr>
              <w:numPr>
                <w:ilvl w:val="0"/>
                <w:numId w:val="26"/>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Propose au Conseil des ministres de la COI de donner quitus au Secrétaire général sur les états financiers 2023 examinés et validés par le CAR lors de sa réunion des 15-16 avril 2024.</w:t>
            </w:r>
          </w:p>
        </w:tc>
        <w:tc>
          <w:tcPr>
            <w:tcW w:w="3690" w:type="dxa"/>
          </w:tcPr>
          <w:p w14:paraId="2EEA6A61" w14:textId="0DBF24C4" w:rsidR="009C7B1B" w:rsidRPr="000C6101" w:rsidRDefault="009C7B1B" w:rsidP="000C6101">
            <w:pPr>
              <w:jc w:val="both"/>
              <w:rPr>
                <w:rFonts w:ascii="Verdana" w:eastAsia="Calibri" w:hAnsi="Verdana" w:cs="Arial"/>
                <w:sz w:val="20"/>
                <w:szCs w:val="20"/>
              </w:rPr>
            </w:pPr>
          </w:p>
          <w:p w14:paraId="518C32F3" w14:textId="0E170740" w:rsidR="009C7B1B" w:rsidRPr="000C6101" w:rsidRDefault="009C7B1B" w:rsidP="000C6101">
            <w:pPr>
              <w:jc w:val="both"/>
              <w:rPr>
                <w:rFonts w:ascii="Verdana" w:eastAsia="Calibri" w:hAnsi="Verdana" w:cs="Arial"/>
                <w:sz w:val="20"/>
                <w:szCs w:val="20"/>
              </w:rPr>
            </w:pPr>
          </w:p>
          <w:p w14:paraId="4C3F6D56" w14:textId="4CEAECDA" w:rsidR="009C7B1B" w:rsidRPr="000C6101" w:rsidRDefault="009C7B1B" w:rsidP="000C6101">
            <w:pPr>
              <w:jc w:val="both"/>
              <w:rPr>
                <w:rFonts w:ascii="Verdana" w:eastAsia="Calibri" w:hAnsi="Verdana" w:cs="Arial"/>
                <w:sz w:val="20"/>
                <w:szCs w:val="20"/>
              </w:rPr>
            </w:pPr>
          </w:p>
          <w:p w14:paraId="27F486BE" w14:textId="6BBEEA97" w:rsidR="009C7B1B" w:rsidRPr="000C6101" w:rsidRDefault="009C7B1B" w:rsidP="000C6101">
            <w:pPr>
              <w:jc w:val="both"/>
              <w:rPr>
                <w:rFonts w:ascii="Verdana" w:eastAsia="Calibri" w:hAnsi="Verdana" w:cs="Arial"/>
                <w:sz w:val="20"/>
                <w:szCs w:val="20"/>
              </w:rPr>
            </w:pPr>
          </w:p>
          <w:p w14:paraId="389DCBA0" w14:textId="3C8E2921" w:rsidR="009C7B1B" w:rsidRPr="000C6101" w:rsidRDefault="009C7B1B" w:rsidP="000C6101">
            <w:pPr>
              <w:jc w:val="both"/>
              <w:rPr>
                <w:rFonts w:ascii="Verdana" w:eastAsia="Calibri" w:hAnsi="Verdana" w:cs="Arial"/>
                <w:sz w:val="20"/>
                <w:szCs w:val="20"/>
              </w:rPr>
            </w:pPr>
            <w:r w:rsidRPr="000C6101">
              <w:rPr>
                <w:rFonts w:ascii="Verdana" w:eastAsia="Calibri" w:hAnsi="Verdana" w:cs="Arial"/>
                <w:sz w:val="20"/>
                <w:szCs w:val="20"/>
              </w:rPr>
              <w:t>Rapport d’audit 2023 approuvé par le 38ème Conseil de la COI</w:t>
            </w:r>
          </w:p>
          <w:p w14:paraId="42DD66BE" w14:textId="26314AA7" w:rsidR="009C7B1B" w:rsidRPr="000C6101" w:rsidRDefault="009C7B1B" w:rsidP="000C6101">
            <w:pPr>
              <w:jc w:val="both"/>
              <w:rPr>
                <w:rFonts w:ascii="Verdana" w:eastAsia="Calibri" w:hAnsi="Verdana" w:cs="Arial"/>
                <w:sz w:val="20"/>
                <w:szCs w:val="20"/>
              </w:rPr>
            </w:pPr>
          </w:p>
          <w:p w14:paraId="18C957F9" w14:textId="73D78996" w:rsidR="009C7B1B" w:rsidRPr="000C6101" w:rsidRDefault="009C7B1B" w:rsidP="000C6101">
            <w:pPr>
              <w:jc w:val="both"/>
              <w:rPr>
                <w:rFonts w:ascii="Verdana" w:eastAsia="Calibri" w:hAnsi="Verdana" w:cs="Arial"/>
                <w:sz w:val="20"/>
                <w:szCs w:val="20"/>
              </w:rPr>
            </w:pPr>
          </w:p>
          <w:p w14:paraId="716ED47D" w14:textId="1D33E779" w:rsidR="009C7B1B" w:rsidRPr="000C6101" w:rsidRDefault="009C7B1B" w:rsidP="000C6101">
            <w:pPr>
              <w:jc w:val="both"/>
              <w:rPr>
                <w:rFonts w:ascii="Verdana" w:eastAsia="Calibri" w:hAnsi="Verdana" w:cs="Arial"/>
                <w:sz w:val="20"/>
                <w:szCs w:val="20"/>
              </w:rPr>
            </w:pPr>
          </w:p>
          <w:p w14:paraId="14E70BF9" w14:textId="4E442CF7" w:rsidR="009C7B1B" w:rsidRPr="000C6101" w:rsidRDefault="009C7B1B" w:rsidP="000C6101">
            <w:pPr>
              <w:jc w:val="both"/>
              <w:rPr>
                <w:rFonts w:ascii="Verdana" w:eastAsia="Calibri" w:hAnsi="Verdana" w:cs="Arial"/>
                <w:sz w:val="20"/>
                <w:szCs w:val="20"/>
              </w:rPr>
            </w:pPr>
          </w:p>
          <w:p w14:paraId="6DDA5D55" w14:textId="5ABBFE72" w:rsidR="009C7B1B" w:rsidRPr="000C6101" w:rsidRDefault="009C7B1B" w:rsidP="000C6101">
            <w:pPr>
              <w:jc w:val="both"/>
              <w:rPr>
                <w:rFonts w:ascii="Verdana" w:eastAsia="Calibri" w:hAnsi="Verdana" w:cs="Arial"/>
                <w:sz w:val="20"/>
                <w:szCs w:val="20"/>
              </w:rPr>
            </w:pPr>
            <w:r w:rsidRPr="000C6101">
              <w:rPr>
                <w:rFonts w:ascii="Verdana" w:eastAsia="Calibri" w:hAnsi="Verdana" w:cs="Arial"/>
                <w:sz w:val="20"/>
                <w:szCs w:val="20"/>
              </w:rPr>
              <w:t>Recommandation en cours d’implémentation</w:t>
            </w:r>
          </w:p>
          <w:p w14:paraId="0788709B" w14:textId="3922DAA7" w:rsidR="009C7B1B" w:rsidRPr="000C6101" w:rsidRDefault="009C7B1B" w:rsidP="000C6101">
            <w:pPr>
              <w:jc w:val="both"/>
              <w:rPr>
                <w:rFonts w:ascii="Verdana" w:eastAsia="Calibri" w:hAnsi="Verdana" w:cs="Arial"/>
                <w:sz w:val="20"/>
                <w:szCs w:val="20"/>
              </w:rPr>
            </w:pPr>
          </w:p>
          <w:p w14:paraId="0C757414" w14:textId="21CBA726" w:rsidR="009C7B1B" w:rsidRPr="000C6101" w:rsidRDefault="009C7B1B" w:rsidP="000C6101">
            <w:pPr>
              <w:jc w:val="both"/>
              <w:rPr>
                <w:rFonts w:ascii="Verdana" w:eastAsia="Calibri" w:hAnsi="Verdana" w:cs="Arial"/>
                <w:sz w:val="20"/>
                <w:szCs w:val="20"/>
              </w:rPr>
            </w:pPr>
          </w:p>
          <w:p w14:paraId="4FB86E70" w14:textId="4534C88A" w:rsidR="009C7B1B" w:rsidRPr="000C6101" w:rsidRDefault="009C7B1B" w:rsidP="000C6101">
            <w:pPr>
              <w:jc w:val="both"/>
              <w:rPr>
                <w:rFonts w:ascii="Verdana" w:eastAsia="Calibri" w:hAnsi="Verdana" w:cs="Arial"/>
                <w:sz w:val="20"/>
                <w:szCs w:val="20"/>
              </w:rPr>
            </w:pPr>
          </w:p>
          <w:p w14:paraId="6C5016F1" w14:textId="07BD88E1" w:rsidR="009C7B1B" w:rsidRPr="000C6101" w:rsidRDefault="009C7B1B" w:rsidP="000C6101">
            <w:pPr>
              <w:jc w:val="both"/>
              <w:rPr>
                <w:rFonts w:ascii="Verdana" w:eastAsia="Calibri" w:hAnsi="Verdana" w:cs="Arial"/>
                <w:sz w:val="20"/>
                <w:szCs w:val="20"/>
              </w:rPr>
            </w:pPr>
          </w:p>
          <w:p w14:paraId="619B78BE" w14:textId="15D4DE96" w:rsidR="009C7B1B" w:rsidRPr="000C6101" w:rsidRDefault="009C7B1B" w:rsidP="000C6101">
            <w:pPr>
              <w:jc w:val="both"/>
              <w:rPr>
                <w:rFonts w:ascii="Verdana" w:eastAsia="Calibri" w:hAnsi="Verdana" w:cs="Arial"/>
                <w:sz w:val="20"/>
                <w:szCs w:val="20"/>
              </w:rPr>
            </w:pPr>
            <w:r w:rsidRPr="000C6101">
              <w:rPr>
                <w:rFonts w:ascii="Verdana" w:eastAsia="Calibri" w:hAnsi="Verdana" w:cs="Arial"/>
                <w:sz w:val="20"/>
                <w:szCs w:val="20"/>
              </w:rPr>
              <w:t>Quitus est donné au SG-COI par le 38ème Conseil de la COI</w:t>
            </w:r>
          </w:p>
        </w:tc>
        <w:tc>
          <w:tcPr>
            <w:tcW w:w="1984" w:type="dxa"/>
          </w:tcPr>
          <w:p w14:paraId="32299FF0" w14:textId="6AC545A0" w:rsidR="009C7B1B" w:rsidRPr="000C6101" w:rsidRDefault="009C7B1B" w:rsidP="009C7B1B">
            <w:pPr>
              <w:jc w:val="center"/>
              <w:rPr>
                <w:rFonts w:ascii="Verdana" w:eastAsia="Calibri" w:hAnsi="Verdana" w:cs="Arial"/>
                <w:sz w:val="20"/>
                <w:szCs w:val="20"/>
              </w:rPr>
            </w:pPr>
          </w:p>
          <w:p w14:paraId="424FD7D4" w14:textId="111CC8AD" w:rsidR="009C7B1B" w:rsidRPr="000C6101" w:rsidRDefault="009C7B1B" w:rsidP="009C7B1B">
            <w:pPr>
              <w:jc w:val="center"/>
              <w:rPr>
                <w:rFonts w:ascii="Verdana" w:eastAsia="Calibri" w:hAnsi="Verdana" w:cs="Arial"/>
                <w:sz w:val="20"/>
                <w:szCs w:val="20"/>
              </w:rPr>
            </w:pPr>
          </w:p>
          <w:p w14:paraId="02321CB8" w14:textId="49595348" w:rsidR="009C7B1B" w:rsidRPr="000C6101" w:rsidRDefault="009C7B1B" w:rsidP="009C7B1B">
            <w:pPr>
              <w:jc w:val="center"/>
              <w:rPr>
                <w:rFonts w:ascii="Verdana" w:eastAsia="Calibri" w:hAnsi="Verdana" w:cs="Arial"/>
                <w:sz w:val="20"/>
                <w:szCs w:val="20"/>
              </w:rPr>
            </w:pPr>
          </w:p>
          <w:p w14:paraId="5011763E" w14:textId="1EA2795E" w:rsidR="009C7B1B" w:rsidRPr="000C6101" w:rsidRDefault="009C7B1B" w:rsidP="009C7B1B">
            <w:pPr>
              <w:jc w:val="center"/>
              <w:rPr>
                <w:rFonts w:ascii="Verdana" w:eastAsia="Calibri" w:hAnsi="Verdana" w:cs="Arial"/>
                <w:sz w:val="20"/>
                <w:szCs w:val="20"/>
              </w:rPr>
            </w:pPr>
          </w:p>
          <w:p w14:paraId="518B6471" w14:textId="60655BB8" w:rsidR="009C7B1B" w:rsidRPr="000C6101" w:rsidRDefault="009C7B1B" w:rsidP="009C7B1B">
            <w:pPr>
              <w:jc w:val="center"/>
              <w:rPr>
                <w:rFonts w:ascii="Verdana" w:eastAsia="Calibri" w:hAnsi="Verdana" w:cs="Arial"/>
                <w:sz w:val="20"/>
                <w:szCs w:val="20"/>
              </w:rPr>
            </w:pPr>
          </w:p>
          <w:p w14:paraId="4578434A" w14:textId="20F7B403" w:rsidR="009C7B1B" w:rsidRPr="000C6101" w:rsidRDefault="009C7B1B" w:rsidP="009C7B1B">
            <w:pPr>
              <w:jc w:val="center"/>
              <w:rPr>
                <w:rFonts w:ascii="Verdana" w:eastAsia="Calibri" w:hAnsi="Verdana" w:cs="Arial"/>
                <w:sz w:val="20"/>
                <w:szCs w:val="20"/>
              </w:rPr>
            </w:pPr>
          </w:p>
          <w:p w14:paraId="668CD15F" w14:textId="1218C75D" w:rsidR="009C7B1B" w:rsidRPr="000C6101" w:rsidRDefault="009C7B1B" w:rsidP="009C7B1B">
            <w:pPr>
              <w:jc w:val="center"/>
              <w:rPr>
                <w:rFonts w:ascii="Verdana" w:eastAsia="Calibri" w:hAnsi="Verdana" w:cs="Arial"/>
                <w:sz w:val="20"/>
                <w:szCs w:val="20"/>
              </w:rPr>
            </w:pPr>
          </w:p>
          <w:p w14:paraId="0A92A036" w14:textId="3B7CD135" w:rsidR="009C7B1B" w:rsidRPr="000C6101" w:rsidRDefault="009C7B1B" w:rsidP="009C7B1B">
            <w:pPr>
              <w:jc w:val="center"/>
              <w:rPr>
                <w:rFonts w:ascii="Verdana" w:eastAsia="Calibri" w:hAnsi="Verdana" w:cs="Arial"/>
                <w:sz w:val="20"/>
                <w:szCs w:val="20"/>
              </w:rPr>
            </w:pPr>
          </w:p>
          <w:p w14:paraId="160C632B" w14:textId="1D1F78B1" w:rsidR="009C7B1B" w:rsidRPr="000C6101" w:rsidRDefault="009C7B1B" w:rsidP="009C7B1B">
            <w:pPr>
              <w:jc w:val="center"/>
              <w:rPr>
                <w:rFonts w:ascii="Verdana" w:eastAsia="Calibri" w:hAnsi="Verdana" w:cs="Arial"/>
                <w:sz w:val="20"/>
                <w:szCs w:val="20"/>
              </w:rPr>
            </w:pPr>
          </w:p>
          <w:p w14:paraId="7C595F12" w14:textId="5B1D19E5" w:rsidR="009C7B1B" w:rsidRPr="000C6101" w:rsidRDefault="009C7B1B" w:rsidP="009C7B1B">
            <w:pPr>
              <w:jc w:val="center"/>
              <w:rPr>
                <w:rFonts w:ascii="Verdana" w:eastAsia="Calibri" w:hAnsi="Verdana" w:cs="Arial"/>
                <w:sz w:val="20"/>
                <w:szCs w:val="20"/>
              </w:rPr>
            </w:pPr>
          </w:p>
          <w:p w14:paraId="32446AF7" w14:textId="49742D0A" w:rsidR="009C7B1B" w:rsidRPr="000C6101" w:rsidRDefault="009C7B1B" w:rsidP="009C7B1B">
            <w:pPr>
              <w:jc w:val="center"/>
              <w:rPr>
                <w:rFonts w:ascii="Verdana" w:eastAsia="Calibri" w:hAnsi="Verdana" w:cs="Arial"/>
                <w:sz w:val="20"/>
                <w:szCs w:val="20"/>
              </w:rPr>
            </w:pPr>
          </w:p>
          <w:p w14:paraId="24740683" w14:textId="24689757" w:rsidR="009C7B1B" w:rsidRPr="000C6101" w:rsidRDefault="009C7B1B" w:rsidP="009C7B1B">
            <w:pPr>
              <w:jc w:val="center"/>
              <w:rPr>
                <w:rFonts w:ascii="Verdana" w:eastAsia="Calibri" w:hAnsi="Verdana" w:cs="Arial"/>
                <w:sz w:val="20"/>
                <w:szCs w:val="20"/>
              </w:rPr>
            </w:pPr>
            <w:r w:rsidRPr="000C6101">
              <w:rPr>
                <w:rFonts w:ascii="Verdana" w:eastAsia="Calibri" w:hAnsi="Verdana" w:cs="Arial"/>
                <w:sz w:val="20"/>
                <w:szCs w:val="20"/>
              </w:rPr>
              <w:t>SAF</w:t>
            </w:r>
          </w:p>
        </w:tc>
        <w:tc>
          <w:tcPr>
            <w:tcW w:w="1904" w:type="dxa"/>
          </w:tcPr>
          <w:p w14:paraId="51463EE9" w14:textId="73D6CFE8" w:rsidR="009C7B1B" w:rsidRPr="000C6101" w:rsidRDefault="009C7B1B" w:rsidP="009C7B1B">
            <w:pPr>
              <w:jc w:val="center"/>
              <w:rPr>
                <w:rFonts w:ascii="Verdana" w:eastAsia="Calibri" w:hAnsi="Verdana" w:cs="Arial"/>
                <w:sz w:val="20"/>
                <w:szCs w:val="20"/>
              </w:rPr>
            </w:pPr>
          </w:p>
          <w:p w14:paraId="5D01DBEA" w14:textId="0F8F32F2" w:rsidR="009C7B1B" w:rsidRPr="000C6101" w:rsidRDefault="009C7B1B" w:rsidP="009C7B1B">
            <w:pPr>
              <w:jc w:val="center"/>
              <w:rPr>
                <w:rFonts w:ascii="Verdana" w:eastAsia="Calibri" w:hAnsi="Verdana" w:cs="Arial"/>
                <w:sz w:val="20"/>
                <w:szCs w:val="20"/>
              </w:rPr>
            </w:pPr>
          </w:p>
          <w:p w14:paraId="60F55338" w14:textId="1B21C7E7" w:rsidR="009C7B1B" w:rsidRPr="000C6101" w:rsidRDefault="009C7B1B" w:rsidP="009C7B1B">
            <w:pPr>
              <w:jc w:val="center"/>
              <w:rPr>
                <w:rFonts w:ascii="Verdana" w:eastAsia="Calibri" w:hAnsi="Verdana" w:cs="Arial"/>
                <w:sz w:val="20"/>
                <w:szCs w:val="20"/>
              </w:rPr>
            </w:pPr>
          </w:p>
          <w:p w14:paraId="347551CA" w14:textId="65017932" w:rsidR="009C7B1B" w:rsidRPr="000C6101" w:rsidRDefault="009C7B1B" w:rsidP="009C7B1B">
            <w:pPr>
              <w:jc w:val="center"/>
              <w:rPr>
                <w:rFonts w:ascii="Verdana" w:eastAsia="Calibri" w:hAnsi="Verdana" w:cs="Arial"/>
                <w:sz w:val="20"/>
                <w:szCs w:val="20"/>
              </w:rPr>
            </w:pPr>
          </w:p>
          <w:p w14:paraId="39988C3E" w14:textId="21573F83" w:rsidR="009C7B1B" w:rsidRPr="000C6101" w:rsidRDefault="009C7B1B" w:rsidP="009C7B1B">
            <w:pPr>
              <w:jc w:val="center"/>
              <w:rPr>
                <w:rFonts w:ascii="Verdana" w:eastAsia="Calibri" w:hAnsi="Verdana" w:cs="Arial"/>
                <w:sz w:val="20"/>
                <w:szCs w:val="20"/>
              </w:rPr>
            </w:pPr>
          </w:p>
          <w:p w14:paraId="30B4A566" w14:textId="41AA0EF6" w:rsidR="009C7B1B" w:rsidRPr="000C6101" w:rsidRDefault="009C7B1B" w:rsidP="009C7B1B">
            <w:pPr>
              <w:jc w:val="center"/>
              <w:rPr>
                <w:rFonts w:ascii="Verdana" w:eastAsia="Calibri" w:hAnsi="Verdana" w:cs="Arial"/>
                <w:sz w:val="20"/>
                <w:szCs w:val="20"/>
              </w:rPr>
            </w:pPr>
          </w:p>
          <w:p w14:paraId="4342A4F5" w14:textId="4599EF2A" w:rsidR="009C7B1B" w:rsidRPr="000C6101" w:rsidRDefault="009C7B1B" w:rsidP="009C7B1B">
            <w:pPr>
              <w:jc w:val="center"/>
              <w:rPr>
                <w:rFonts w:ascii="Verdana" w:eastAsia="Calibri" w:hAnsi="Verdana" w:cs="Arial"/>
                <w:sz w:val="20"/>
                <w:szCs w:val="20"/>
              </w:rPr>
            </w:pPr>
          </w:p>
          <w:p w14:paraId="300A9E21" w14:textId="0EC9EB59" w:rsidR="009C7B1B" w:rsidRPr="000C6101" w:rsidRDefault="009C7B1B" w:rsidP="009C7B1B">
            <w:pPr>
              <w:jc w:val="center"/>
              <w:rPr>
                <w:rFonts w:ascii="Verdana" w:eastAsia="Calibri" w:hAnsi="Verdana" w:cs="Arial"/>
                <w:sz w:val="20"/>
                <w:szCs w:val="20"/>
              </w:rPr>
            </w:pPr>
          </w:p>
          <w:p w14:paraId="10A69E83" w14:textId="01B8FD99" w:rsidR="009C7B1B" w:rsidRPr="000C6101" w:rsidRDefault="009C7B1B" w:rsidP="009C7B1B">
            <w:pPr>
              <w:jc w:val="center"/>
              <w:rPr>
                <w:rFonts w:ascii="Verdana" w:eastAsia="Calibri" w:hAnsi="Verdana" w:cs="Arial"/>
                <w:sz w:val="20"/>
                <w:szCs w:val="20"/>
              </w:rPr>
            </w:pPr>
          </w:p>
          <w:p w14:paraId="3515F545" w14:textId="627D1B11" w:rsidR="009C7B1B" w:rsidRPr="000C6101" w:rsidRDefault="009C7B1B" w:rsidP="009C7B1B">
            <w:pPr>
              <w:jc w:val="center"/>
              <w:rPr>
                <w:rFonts w:ascii="Verdana" w:eastAsia="Calibri" w:hAnsi="Verdana" w:cs="Arial"/>
                <w:sz w:val="20"/>
                <w:szCs w:val="20"/>
              </w:rPr>
            </w:pPr>
          </w:p>
          <w:p w14:paraId="310C7774" w14:textId="33096789" w:rsidR="009C7B1B" w:rsidRPr="000C6101" w:rsidRDefault="009C7B1B" w:rsidP="009C7B1B">
            <w:pPr>
              <w:jc w:val="center"/>
              <w:rPr>
                <w:rFonts w:ascii="Verdana" w:eastAsia="Calibri" w:hAnsi="Verdana" w:cs="Arial"/>
                <w:sz w:val="20"/>
                <w:szCs w:val="20"/>
              </w:rPr>
            </w:pPr>
          </w:p>
          <w:p w14:paraId="122AA23D" w14:textId="0709BFD4" w:rsidR="009C7B1B" w:rsidRPr="000C6101" w:rsidRDefault="009C7B1B" w:rsidP="009C7B1B">
            <w:pPr>
              <w:jc w:val="center"/>
              <w:rPr>
                <w:rFonts w:ascii="Verdana" w:eastAsia="Calibri" w:hAnsi="Verdana" w:cs="Arial"/>
                <w:sz w:val="20"/>
                <w:szCs w:val="20"/>
              </w:rPr>
            </w:pPr>
            <w:proofErr w:type="gramStart"/>
            <w:r w:rsidRPr="000C6101">
              <w:rPr>
                <w:rFonts w:ascii="Verdana" w:eastAsia="Calibri" w:hAnsi="Verdana" w:cs="Arial"/>
                <w:sz w:val="20"/>
                <w:szCs w:val="20"/>
              </w:rPr>
              <w:t>décembre</w:t>
            </w:r>
            <w:proofErr w:type="gramEnd"/>
            <w:r w:rsidRPr="000C6101">
              <w:rPr>
                <w:rFonts w:ascii="Verdana" w:eastAsia="Calibri" w:hAnsi="Verdana" w:cs="Arial"/>
                <w:sz w:val="20"/>
                <w:szCs w:val="20"/>
              </w:rPr>
              <w:t xml:space="preserve"> 2024</w:t>
            </w:r>
          </w:p>
        </w:tc>
      </w:tr>
      <w:tr w:rsidR="000C6101" w:rsidRPr="000C6101" w14:paraId="6F181CCF" w14:textId="77777777" w:rsidTr="396FCBB9">
        <w:tc>
          <w:tcPr>
            <w:tcW w:w="7230" w:type="dxa"/>
          </w:tcPr>
          <w:p w14:paraId="764894B6" w14:textId="77777777" w:rsidR="009C7B1B" w:rsidRPr="000C6101" w:rsidRDefault="009C7B1B" w:rsidP="009C7B1B">
            <w:pPr>
              <w:spacing w:after="120" w:line="276" w:lineRule="auto"/>
              <w:ind w:left="720"/>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 xml:space="preserve">Décision 22. Administration – application du Titre II – article 4. </w:t>
            </w:r>
            <w:proofErr w:type="gramStart"/>
            <w:r w:rsidRPr="000C6101">
              <w:rPr>
                <w:rFonts w:ascii="Verdana" w:eastAsia="Calibri" w:hAnsi="Verdana" w:cs="Times New Roman"/>
                <w:b/>
                <w:bCs/>
                <w:kern w:val="0"/>
                <w:sz w:val="20"/>
                <w:szCs w:val="20"/>
                <w14:ligatures w14:val="none"/>
              </w:rPr>
              <w:t>du</w:t>
            </w:r>
            <w:proofErr w:type="gramEnd"/>
            <w:r w:rsidRPr="000C6101">
              <w:rPr>
                <w:rFonts w:ascii="Verdana" w:eastAsia="Calibri" w:hAnsi="Verdana" w:cs="Times New Roman"/>
                <w:b/>
                <w:bCs/>
                <w:kern w:val="0"/>
                <w:sz w:val="20"/>
                <w:szCs w:val="20"/>
                <w14:ligatures w14:val="none"/>
              </w:rPr>
              <w:t xml:space="preserve"> protocole additionnel (1989) à l’Accord de Victoria</w:t>
            </w:r>
          </w:p>
          <w:p w14:paraId="597DFB7C" w14:textId="77777777" w:rsidR="009C7B1B" w:rsidRPr="000C6101" w:rsidRDefault="009C7B1B" w:rsidP="009C7B1B">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Le Comité des OPL :  </w:t>
            </w:r>
          </w:p>
          <w:p w14:paraId="51259724" w14:textId="4721E58A" w:rsidR="009C7B1B" w:rsidRPr="000C6101" w:rsidRDefault="009C7B1B" w:rsidP="009C7B1B">
            <w:pPr>
              <w:numPr>
                <w:ilvl w:val="0"/>
                <w:numId w:val="27"/>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Prend note de la demande exprimée par le Secrétariat général relative à l’application du Titre II, article 4. </w:t>
            </w:r>
            <w:r w:rsidR="000C6101" w:rsidRPr="000C6101">
              <w:rPr>
                <w:rFonts w:ascii="Verdana" w:eastAsia="Calibri" w:hAnsi="Verdana" w:cs="Calibri"/>
                <w:kern w:val="0"/>
                <w:sz w:val="20"/>
                <w:szCs w:val="20"/>
                <w14:ligatures w14:val="none"/>
              </w:rPr>
              <w:t>D</w:t>
            </w:r>
            <w:r w:rsidRPr="000C6101">
              <w:rPr>
                <w:rFonts w:ascii="Verdana" w:eastAsia="Calibri" w:hAnsi="Verdana" w:cs="Calibri"/>
                <w:kern w:val="0"/>
                <w:sz w:val="20"/>
                <w:szCs w:val="20"/>
                <w14:ligatures w14:val="none"/>
              </w:rPr>
              <w:t>u</w:t>
            </w:r>
            <w:r w:rsidR="000C6101" w:rsidRPr="000C6101">
              <w:rPr>
                <w:rFonts w:ascii="Verdana" w:eastAsia="Calibri" w:hAnsi="Verdana" w:cs="Calibri"/>
                <w:kern w:val="0"/>
                <w:sz w:val="20"/>
                <w:szCs w:val="20"/>
                <w14:ligatures w14:val="none"/>
              </w:rPr>
              <w:t xml:space="preserve"> </w:t>
            </w:r>
            <w:r w:rsidRPr="000C6101">
              <w:rPr>
                <w:rFonts w:ascii="Verdana" w:eastAsia="Calibri" w:hAnsi="Verdana" w:cs="Calibri"/>
                <w:kern w:val="0"/>
                <w:sz w:val="20"/>
                <w:szCs w:val="20"/>
                <w14:ligatures w14:val="none"/>
              </w:rPr>
              <w:t xml:space="preserve">protocole additionnel à l’Accord de Victoria. </w:t>
            </w:r>
          </w:p>
          <w:p w14:paraId="5B7EF83F" w14:textId="236D211F" w:rsidR="009C7B1B" w:rsidRPr="000C6101" w:rsidRDefault="009C7B1B" w:rsidP="009C7B1B">
            <w:pPr>
              <w:spacing w:after="120"/>
              <w:jc w:val="both"/>
              <w:rPr>
                <w:rFonts w:ascii="Verdana" w:eastAsia="Calibri" w:hAnsi="Verdana" w:cs="Calibri"/>
                <w:sz w:val="20"/>
                <w:szCs w:val="20"/>
              </w:rPr>
            </w:pPr>
          </w:p>
          <w:p w14:paraId="3A117A1C" w14:textId="71405961" w:rsidR="009C7B1B" w:rsidRPr="000C6101" w:rsidRDefault="009C7B1B" w:rsidP="009C7B1B">
            <w:pPr>
              <w:spacing w:after="120"/>
              <w:jc w:val="both"/>
              <w:rPr>
                <w:rFonts w:ascii="Verdana" w:eastAsia="Calibri" w:hAnsi="Verdana" w:cs="Calibri"/>
                <w:sz w:val="20"/>
                <w:szCs w:val="20"/>
              </w:rPr>
            </w:pPr>
          </w:p>
          <w:p w14:paraId="1CD21CED" w14:textId="0A137232" w:rsidR="009C7B1B" w:rsidRPr="000C6101" w:rsidRDefault="009C7B1B" w:rsidP="009C7B1B">
            <w:pPr>
              <w:spacing w:after="120"/>
              <w:jc w:val="both"/>
              <w:rPr>
                <w:rFonts w:ascii="Verdana" w:eastAsia="Calibri" w:hAnsi="Verdana" w:cs="Calibri"/>
                <w:sz w:val="20"/>
                <w:szCs w:val="20"/>
              </w:rPr>
            </w:pPr>
          </w:p>
          <w:p w14:paraId="2A242AC7" w14:textId="77777777" w:rsidR="009C7B1B" w:rsidRPr="000C6101" w:rsidRDefault="009C7B1B" w:rsidP="009C7B1B">
            <w:pPr>
              <w:numPr>
                <w:ilvl w:val="0"/>
                <w:numId w:val="27"/>
              </w:num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lastRenderedPageBreak/>
              <w:t xml:space="preserve">Remercie la République de Maurice pour la mise à disposition d’espaces supplémentaires pour le Secrétariat général de la COI. </w:t>
            </w:r>
          </w:p>
          <w:p w14:paraId="7FC3F070" w14:textId="77777777" w:rsidR="009C7B1B" w:rsidRPr="000C6101" w:rsidRDefault="009C7B1B" w:rsidP="009C7B1B">
            <w:pPr>
              <w:spacing w:after="120" w:line="276" w:lineRule="auto"/>
              <w:ind w:left="720"/>
              <w:jc w:val="center"/>
              <w:rPr>
                <w:rFonts w:ascii="Verdana" w:eastAsia="Calibri" w:hAnsi="Verdana" w:cs="Times New Roman"/>
                <w:b/>
                <w:bCs/>
                <w:kern w:val="0"/>
                <w:sz w:val="20"/>
                <w:szCs w:val="20"/>
                <w14:ligatures w14:val="none"/>
              </w:rPr>
            </w:pPr>
          </w:p>
        </w:tc>
        <w:tc>
          <w:tcPr>
            <w:tcW w:w="3690" w:type="dxa"/>
          </w:tcPr>
          <w:p w14:paraId="512A3E72" w14:textId="1367E465" w:rsidR="009C7B1B" w:rsidRPr="000C6101" w:rsidRDefault="009C7B1B" w:rsidP="000C6101">
            <w:pPr>
              <w:jc w:val="both"/>
              <w:rPr>
                <w:rFonts w:ascii="Verdana" w:eastAsia="Calibri" w:hAnsi="Verdana" w:cs="Arial"/>
                <w:sz w:val="20"/>
                <w:szCs w:val="20"/>
              </w:rPr>
            </w:pPr>
          </w:p>
          <w:p w14:paraId="4A06AD55" w14:textId="475248BA" w:rsidR="009C7B1B" w:rsidRPr="000C6101" w:rsidRDefault="009C7B1B" w:rsidP="000C6101">
            <w:pPr>
              <w:jc w:val="both"/>
              <w:rPr>
                <w:rFonts w:ascii="Verdana" w:eastAsia="Calibri" w:hAnsi="Verdana" w:cs="Arial"/>
                <w:sz w:val="20"/>
                <w:szCs w:val="20"/>
              </w:rPr>
            </w:pPr>
          </w:p>
          <w:p w14:paraId="503D5E3F" w14:textId="2FD12484" w:rsidR="009C7B1B" w:rsidRPr="000C6101" w:rsidRDefault="009C7B1B" w:rsidP="000C6101">
            <w:pPr>
              <w:jc w:val="both"/>
              <w:rPr>
                <w:rFonts w:ascii="Verdana" w:eastAsia="Calibri" w:hAnsi="Verdana" w:cs="Arial"/>
                <w:sz w:val="20"/>
                <w:szCs w:val="20"/>
              </w:rPr>
            </w:pPr>
          </w:p>
          <w:p w14:paraId="255D790A" w14:textId="182E10FB" w:rsidR="009C7B1B" w:rsidRPr="000C6101" w:rsidRDefault="009C7B1B" w:rsidP="000C6101">
            <w:pPr>
              <w:jc w:val="both"/>
              <w:rPr>
                <w:rFonts w:ascii="Verdana" w:eastAsia="Calibri" w:hAnsi="Verdana" w:cs="Arial"/>
                <w:sz w:val="20"/>
                <w:szCs w:val="20"/>
              </w:rPr>
            </w:pPr>
            <w:r w:rsidRPr="000C6101">
              <w:rPr>
                <w:rFonts w:ascii="Verdana" w:eastAsia="Calibri" w:hAnsi="Verdana" w:cs="Arial"/>
                <w:sz w:val="20"/>
                <w:szCs w:val="20"/>
              </w:rPr>
              <w:t>L’exemption ou le remboursement des taxes sur les achats effectués par la COI dans le cadre de ses activités seront prise en compte par chaque pays membres selon les dispositions légales du pays et en fonction des demandes faites par la COI.</w:t>
            </w:r>
          </w:p>
          <w:p w14:paraId="4CD77075" w14:textId="4DFD2B92" w:rsidR="009C7B1B" w:rsidRPr="000C6101" w:rsidRDefault="009C7B1B" w:rsidP="000C6101">
            <w:pPr>
              <w:jc w:val="both"/>
              <w:rPr>
                <w:rFonts w:ascii="Verdana" w:eastAsia="Calibri" w:hAnsi="Verdana" w:cs="Arial"/>
                <w:sz w:val="20"/>
                <w:szCs w:val="20"/>
              </w:rPr>
            </w:pPr>
          </w:p>
          <w:p w14:paraId="0CF62A01" w14:textId="0DEDE4E5" w:rsidR="009C7B1B" w:rsidRPr="000C6101" w:rsidRDefault="009C7B1B" w:rsidP="000C6101">
            <w:pPr>
              <w:jc w:val="both"/>
              <w:rPr>
                <w:rFonts w:ascii="Verdana" w:eastAsia="Calibri" w:hAnsi="Verdana" w:cs="Arial"/>
                <w:sz w:val="20"/>
                <w:szCs w:val="20"/>
              </w:rPr>
            </w:pPr>
          </w:p>
          <w:p w14:paraId="1AEBED6E" w14:textId="3A4E368A" w:rsidR="009C7B1B" w:rsidRPr="000C6101" w:rsidRDefault="009C7B1B" w:rsidP="000C6101">
            <w:pPr>
              <w:jc w:val="both"/>
              <w:rPr>
                <w:rFonts w:ascii="Verdana" w:eastAsia="Calibri" w:hAnsi="Verdana" w:cs="Arial"/>
                <w:sz w:val="20"/>
                <w:szCs w:val="20"/>
              </w:rPr>
            </w:pPr>
            <w:r w:rsidRPr="000C6101">
              <w:rPr>
                <w:rFonts w:ascii="Verdana" w:eastAsia="Calibri" w:hAnsi="Verdana" w:cs="Arial"/>
                <w:sz w:val="20"/>
                <w:szCs w:val="20"/>
              </w:rPr>
              <w:t xml:space="preserve">Le 2ème étage du bâtiment du </w:t>
            </w:r>
            <w:r w:rsidRPr="000C6101">
              <w:rPr>
                <w:rFonts w:ascii="Verdana" w:eastAsia="Calibri" w:hAnsi="Verdana" w:cs="Arial"/>
                <w:sz w:val="20"/>
                <w:szCs w:val="20"/>
              </w:rPr>
              <w:lastRenderedPageBreak/>
              <w:t>Blue Tower a été mise à disposition et le contrat de bail est signé. La COI doit entreprendre rapidement les travaux d’aménagement des bureaux, câblages pour les équipements informatique etc.</w:t>
            </w:r>
          </w:p>
        </w:tc>
        <w:tc>
          <w:tcPr>
            <w:tcW w:w="1984" w:type="dxa"/>
          </w:tcPr>
          <w:p w14:paraId="1963FBE3" w14:textId="1B6509C1" w:rsidR="009C7B1B" w:rsidRPr="000C6101" w:rsidRDefault="009C7B1B" w:rsidP="009C7B1B">
            <w:pPr>
              <w:jc w:val="center"/>
              <w:rPr>
                <w:rFonts w:ascii="Verdana" w:eastAsia="Calibri" w:hAnsi="Verdana" w:cs="Arial"/>
                <w:sz w:val="20"/>
                <w:szCs w:val="20"/>
              </w:rPr>
            </w:pPr>
          </w:p>
          <w:p w14:paraId="468A98EE" w14:textId="2979268B" w:rsidR="009C7B1B" w:rsidRPr="000C6101" w:rsidRDefault="009C7B1B" w:rsidP="009C7B1B">
            <w:pPr>
              <w:jc w:val="center"/>
              <w:rPr>
                <w:rFonts w:ascii="Verdana" w:eastAsia="Calibri" w:hAnsi="Verdana" w:cs="Arial"/>
                <w:sz w:val="20"/>
                <w:szCs w:val="20"/>
              </w:rPr>
            </w:pPr>
          </w:p>
          <w:p w14:paraId="064E69D1" w14:textId="2DF5C5A4" w:rsidR="009C7B1B" w:rsidRPr="000C6101" w:rsidRDefault="009C7B1B" w:rsidP="009C7B1B">
            <w:pPr>
              <w:jc w:val="center"/>
              <w:rPr>
                <w:rFonts w:ascii="Verdana" w:eastAsia="Calibri" w:hAnsi="Verdana" w:cs="Arial"/>
                <w:sz w:val="20"/>
                <w:szCs w:val="20"/>
              </w:rPr>
            </w:pPr>
          </w:p>
          <w:p w14:paraId="57740921" w14:textId="033F5643" w:rsidR="009C7B1B" w:rsidRPr="000C6101" w:rsidRDefault="009C7B1B" w:rsidP="009C7B1B">
            <w:pPr>
              <w:jc w:val="center"/>
              <w:rPr>
                <w:rFonts w:ascii="Verdana" w:eastAsia="Calibri" w:hAnsi="Verdana" w:cs="Arial"/>
                <w:sz w:val="20"/>
                <w:szCs w:val="20"/>
              </w:rPr>
            </w:pPr>
          </w:p>
          <w:p w14:paraId="47F82FF3" w14:textId="2C8CEA57" w:rsidR="009C7B1B" w:rsidRPr="000C6101" w:rsidRDefault="009C7B1B" w:rsidP="009C7B1B">
            <w:pPr>
              <w:jc w:val="center"/>
              <w:rPr>
                <w:rFonts w:ascii="Verdana" w:eastAsia="Calibri" w:hAnsi="Verdana" w:cs="Arial"/>
                <w:sz w:val="20"/>
                <w:szCs w:val="20"/>
              </w:rPr>
            </w:pPr>
          </w:p>
          <w:p w14:paraId="48687F5B" w14:textId="38A63242" w:rsidR="009C7B1B" w:rsidRPr="000C6101" w:rsidRDefault="009C7B1B" w:rsidP="009C7B1B">
            <w:pPr>
              <w:jc w:val="center"/>
              <w:rPr>
                <w:rFonts w:ascii="Verdana" w:eastAsia="Calibri" w:hAnsi="Verdana" w:cs="Arial"/>
                <w:sz w:val="20"/>
                <w:szCs w:val="20"/>
              </w:rPr>
            </w:pPr>
          </w:p>
          <w:p w14:paraId="55C3C9C6" w14:textId="335C62A7" w:rsidR="009C7B1B" w:rsidRPr="000C6101" w:rsidRDefault="009C7B1B" w:rsidP="009C7B1B">
            <w:pPr>
              <w:jc w:val="center"/>
              <w:rPr>
                <w:rFonts w:ascii="Verdana" w:eastAsia="Calibri" w:hAnsi="Verdana" w:cs="Arial"/>
                <w:sz w:val="20"/>
                <w:szCs w:val="20"/>
              </w:rPr>
            </w:pPr>
            <w:r w:rsidRPr="000C6101">
              <w:rPr>
                <w:rFonts w:ascii="Verdana" w:eastAsia="Calibri" w:hAnsi="Verdana" w:cs="Arial"/>
                <w:sz w:val="20"/>
                <w:szCs w:val="20"/>
              </w:rPr>
              <w:t>SAF</w:t>
            </w:r>
          </w:p>
          <w:p w14:paraId="3287F0FE" w14:textId="0475248A" w:rsidR="009C7B1B" w:rsidRPr="000C6101" w:rsidRDefault="009C7B1B" w:rsidP="009C7B1B">
            <w:pPr>
              <w:jc w:val="center"/>
              <w:rPr>
                <w:rFonts w:ascii="Verdana" w:eastAsia="Calibri" w:hAnsi="Verdana" w:cs="Arial"/>
                <w:sz w:val="20"/>
                <w:szCs w:val="20"/>
              </w:rPr>
            </w:pPr>
          </w:p>
          <w:p w14:paraId="254A2483" w14:textId="4215281F" w:rsidR="009C7B1B" w:rsidRPr="000C6101" w:rsidRDefault="009C7B1B" w:rsidP="009C7B1B">
            <w:pPr>
              <w:jc w:val="center"/>
              <w:rPr>
                <w:rFonts w:ascii="Verdana" w:eastAsia="Calibri" w:hAnsi="Verdana" w:cs="Arial"/>
                <w:sz w:val="20"/>
                <w:szCs w:val="20"/>
              </w:rPr>
            </w:pPr>
          </w:p>
          <w:p w14:paraId="0F8CABB5" w14:textId="0D0497D5" w:rsidR="009C7B1B" w:rsidRPr="000C6101" w:rsidRDefault="009C7B1B" w:rsidP="009C7B1B">
            <w:pPr>
              <w:jc w:val="center"/>
              <w:rPr>
                <w:rFonts w:ascii="Verdana" w:eastAsia="Calibri" w:hAnsi="Verdana" w:cs="Arial"/>
                <w:sz w:val="20"/>
                <w:szCs w:val="20"/>
              </w:rPr>
            </w:pPr>
          </w:p>
          <w:p w14:paraId="56FBF2C9" w14:textId="77907ADE" w:rsidR="009C7B1B" w:rsidRPr="000C6101" w:rsidRDefault="009C7B1B" w:rsidP="009C7B1B">
            <w:pPr>
              <w:jc w:val="center"/>
              <w:rPr>
                <w:rFonts w:ascii="Verdana" w:eastAsia="Calibri" w:hAnsi="Verdana" w:cs="Arial"/>
                <w:sz w:val="20"/>
                <w:szCs w:val="20"/>
              </w:rPr>
            </w:pPr>
          </w:p>
          <w:p w14:paraId="6EF160F1" w14:textId="11CBDEAF" w:rsidR="009C7B1B" w:rsidRPr="000C6101" w:rsidRDefault="009C7B1B" w:rsidP="009C7B1B">
            <w:pPr>
              <w:jc w:val="center"/>
              <w:rPr>
                <w:rFonts w:ascii="Verdana" w:eastAsia="Calibri" w:hAnsi="Verdana" w:cs="Arial"/>
                <w:sz w:val="20"/>
                <w:szCs w:val="20"/>
              </w:rPr>
            </w:pPr>
          </w:p>
          <w:p w14:paraId="4888A200" w14:textId="7D75F76B" w:rsidR="009C7B1B" w:rsidRPr="000C6101" w:rsidRDefault="009C7B1B" w:rsidP="009C7B1B">
            <w:pPr>
              <w:jc w:val="center"/>
              <w:rPr>
                <w:rFonts w:ascii="Verdana" w:eastAsia="Calibri" w:hAnsi="Verdana" w:cs="Arial"/>
                <w:sz w:val="20"/>
                <w:szCs w:val="20"/>
              </w:rPr>
            </w:pPr>
          </w:p>
          <w:p w14:paraId="5D47453D" w14:textId="4B64FFDA" w:rsidR="009C7B1B" w:rsidRPr="000C6101" w:rsidRDefault="009C7B1B" w:rsidP="009C7B1B">
            <w:pPr>
              <w:jc w:val="center"/>
              <w:rPr>
                <w:rFonts w:ascii="Verdana" w:eastAsia="Calibri" w:hAnsi="Verdana" w:cs="Arial"/>
                <w:sz w:val="20"/>
                <w:szCs w:val="20"/>
              </w:rPr>
            </w:pPr>
          </w:p>
          <w:p w14:paraId="68A54E35" w14:textId="30B1E469" w:rsidR="009C7B1B" w:rsidRPr="000C6101" w:rsidRDefault="009C7B1B" w:rsidP="009C7B1B">
            <w:pPr>
              <w:jc w:val="center"/>
              <w:rPr>
                <w:rFonts w:ascii="Verdana" w:eastAsia="Calibri" w:hAnsi="Verdana" w:cs="Arial"/>
                <w:sz w:val="20"/>
                <w:szCs w:val="20"/>
              </w:rPr>
            </w:pPr>
          </w:p>
          <w:p w14:paraId="5E0EB714" w14:textId="13712275" w:rsidR="009C7B1B" w:rsidRPr="000C6101" w:rsidRDefault="009C7B1B" w:rsidP="009C7B1B">
            <w:pPr>
              <w:jc w:val="center"/>
              <w:rPr>
                <w:rFonts w:ascii="Verdana" w:eastAsia="Calibri" w:hAnsi="Verdana" w:cs="Arial"/>
                <w:sz w:val="20"/>
                <w:szCs w:val="20"/>
              </w:rPr>
            </w:pPr>
          </w:p>
          <w:p w14:paraId="6800486F" w14:textId="7456329C" w:rsidR="009C7B1B" w:rsidRPr="000C6101" w:rsidRDefault="009C7B1B" w:rsidP="009C7B1B">
            <w:pPr>
              <w:jc w:val="center"/>
              <w:rPr>
                <w:rFonts w:ascii="Verdana" w:eastAsia="Calibri" w:hAnsi="Verdana" w:cs="Arial"/>
                <w:sz w:val="20"/>
                <w:szCs w:val="20"/>
              </w:rPr>
            </w:pPr>
            <w:r w:rsidRPr="000C6101">
              <w:rPr>
                <w:rFonts w:ascii="Verdana" w:eastAsia="Calibri" w:hAnsi="Verdana" w:cs="Arial"/>
                <w:sz w:val="20"/>
                <w:szCs w:val="20"/>
              </w:rPr>
              <w:t>SAF</w:t>
            </w:r>
          </w:p>
        </w:tc>
        <w:tc>
          <w:tcPr>
            <w:tcW w:w="1904" w:type="dxa"/>
          </w:tcPr>
          <w:p w14:paraId="0A1D49DE" w14:textId="6AF4296A" w:rsidR="009C7B1B" w:rsidRPr="000C6101" w:rsidRDefault="009C7B1B" w:rsidP="009C7B1B">
            <w:pPr>
              <w:jc w:val="center"/>
              <w:rPr>
                <w:rFonts w:ascii="Verdana" w:eastAsia="Calibri" w:hAnsi="Verdana" w:cs="Arial"/>
                <w:sz w:val="20"/>
                <w:szCs w:val="20"/>
              </w:rPr>
            </w:pPr>
          </w:p>
          <w:p w14:paraId="4FD8C7B2" w14:textId="0DF4FE4C" w:rsidR="009C7B1B" w:rsidRPr="000C6101" w:rsidRDefault="009C7B1B" w:rsidP="009C7B1B">
            <w:pPr>
              <w:jc w:val="center"/>
              <w:rPr>
                <w:rFonts w:ascii="Verdana" w:eastAsia="Calibri" w:hAnsi="Verdana" w:cs="Arial"/>
                <w:sz w:val="20"/>
                <w:szCs w:val="20"/>
              </w:rPr>
            </w:pPr>
          </w:p>
          <w:p w14:paraId="7634A5AA" w14:textId="43DCDA00" w:rsidR="009C7B1B" w:rsidRPr="000C6101" w:rsidRDefault="009C7B1B" w:rsidP="009C7B1B">
            <w:pPr>
              <w:jc w:val="center"/>
              <w:rPr>
                <w:rFonts w:ascii="Verdana" w:eastAsia="Calibri" w:hAnsi="Verdana" w:cs="Arial"/>
                <w:sz w:val="20"/>
                <w:szCs w:val="20"/>
              </w:rPr>
            </w:pPr>
          </w:p>
          <w:p w14:paraId="0040C8A0" w14:textId="0CAA876B" w:rsidR="009C7B1B" w:rsidRPr="000C6101" w:rsidRDefault="009C7B1B" w:rsidP="009C7B1B">
            <w:pPr>
              <w:jc w:val="center"/>
              <w:rPr>
                <w:rFonts w:ascii="Verdana" w:eastAsia="Calibri" w:hAnsi="Verdana" w:cs="Arial"/>
                <w:sz w:val="20"/>
                <w:szCs w:val="20"/>
              </w:rPr>
            </w:pPr>
          </w:p>
          <w:p w14:paraId="7D5E764A" w14:textId="2DC1C815" w:rsidR="009C7B1B" w:rsidRPr="000C6101" w:rsidRDefault="009C7B1B" w:rsidP="009C7B1B">
            <w:pPr>
              <w:jc w:val="center"/>
              <w:rPr>
                <w:rFonts w:ascii="Verdana" w:eastAsia="Calibri" w:hAnsi="Verdana" w:cs="Arial"/>
                <w:sz w:val="20"/>
                <w:szCs w:val="20"/>
              </w:rPr>
            </w:pPr>
          </w:p>
          <w:p w14:paraId="1CEDE05B" w14:textId="1841B464" w:rsidR="009C7B1B" w:rsidRPr="000C6101" w:rsidRDefault="009C7B1B" w:rsidP="009C7B1B">
            <w:pPr>
              <w:jc w:val="center"/>
              <w:rPr>
                <w:rFonts w:ascii="Verdana" w:eastAsia="Calibri" w:hAnsi="Verdana" w:cs="Arial"/>
                <w:sz w:val="20"/>
                <w:szCs w:val="20"/>
              </w:rPr>
            </w:pPr>
          </w:p>
          <w:p w14:paraId="23D57357" w14:textId="2A4BFB46" w:rsidR="009C7B1B" w:rsidRPr="000C6101" w:rsidRDefault="009C7B1B" w:rsidP="009C7B1B">
            <w:pPr>
              <w:jc w:val="center"/>
              <w:rPr>
                <w:rFonts w:ascii="Verdana" w:eastAsia="Calibri" w:hAnsi="Verdana" w:cs="Arial"/>
                <w:sz w:val="20"/>
                <w:szCs w:val="20"/>
              </w:rPr>
            </w:pPr>
          </w:p>
          <w:p w14:paraId="5C33F575" w14:textId="6CBD549B" w:rsidR="009C7B1B" w:rsidRPr="000C6101" w:rsidRDefault="009C7B1B" w:rsidP="009C7B1B">
            <w:pPr>
              <w:jc w:val="center"/>
              <w:rPr>
                <w:rFonts w:ascii="Verdana" w:eastAsia="Calibri" w:hAnsi="Verdana" w:cs="Arial"/>
                <w:sz w:val="20"/>
                <w:szCs w:val="20"/>
              </w:rPr>
            </w:pPr>
          </w:p>
          <w:p w14:paraId="139C4ACD" w14:textId="288C3AD1" w:rsidR="009C7B1B" w:rsidRPr="000C6101" w:rsidRDefault="009C7B1B" w:rsidP="009C7B1B">
            <w:pPr>
              <w:jc w:val="center"/>
              <w:rPr>
                <w:rFonts w:ascii="Verdana" w:eastAsia="Calibri" w:hAnsi="Verdana" w:cs="Arial"/>
                <w:sz w:val="20"/>
                <w:szCs w:val="20"/>
              </w:rPr>
            </w:pPr>
          </w:p>
          <w:p w14:paraId="439685D9" w14:textId="19D4A503" w:rsidR="009C7B1B" w:rsidRPr="000C6101" w:rsidRDefault="009C7B1B" w:rsidP="009C7B1B">
            <w:pPr>
              <w:jc w:val="center"/>
              <w:rPr>
                <w:rFonts w:ascii="Verdana" w:eastAsia="Calibri" w:hAnsi="Verdana" w:cs="Arial"/>
                <w:sz w:val="20"/>
                <w:szCs w:val="20"/>
              </w:rPr>
            </w:pPr>
          </w:p>
          <w:p w14:paraId="44885842" w14:textId="3E7EA20C" w:rsidR="009C7B1B" w:rsidRPr="000C6101" w:rsidRDefault="009C7B1B" w:rsidP="009C7B1B">
            <w:pPr>
              <w:jc w:val="center"/>
              <w:rPr>
                <w:rFonts w:ascii="Verdana" w:eastAsia="Calibri" w:hAnsi="Verdana" w:cs="Arial"/>
                <w:sz w:val="20"/>
                <w:szCs w:val="20"/>
              </w:rPr>
            </w:pPr>
          </w:p>
          <w:p w14:paraId="54961E1F" w14:textId="6CC1144E" w:rsidR="009C7B1B" w:rsidRPr="000C6101" w:rsidRDefault="009C7B1B" w:rsidP="009C7B1B">
            <w:pPr>
              <w:jc w:val="center"/>
              <w:rPr>
                <w:rFonts w:ascii="Verdana" w:eastAsia="Calibri" w:hAnsi="Verdana" w:cs="Arial"/>
                <w:sz w:val="20"/>
                <w:szCs w:val="20"/>
              </w:rPr>
            </w:pPr>
          </w:p>
          <w:p w14:paraId="4E00BF34" w14:textId="127C76BC" w:rsidR="009C7B1B" w:rsidRPr="000C6101" w:rsidRDefault="009C7B1B" w:rsidP="009C7B1B">
            <w:pPr>
              <w:jc w:val="center"/>
              <w:rPr>
                <w:rFonts w:ascii="Verdana" w:eastAsia="Calibri" w:hAnsi="Verdana" w:cs="Arial"/>
                <w:sz w:val="20"/>
                <w:szCs w:val="20"/>
              </w:rPr>
            </w:pPr>
          </w:p>
          <w:p w14:paraId="6E0F43A4" w14:textId="1C873173" w:rsidR="009C7B1B" w:rsidRPr="000C6101" w:rsidRDefault="009C7B1B" w:rsidP="009C7B1B">
            <w:pPr>
              <w:jc w:val="center"/>
              <w:rPr>
                <w:rFonts w:ascii="Verdana" w:eastAsia="Calibri" w:hAnsi="Verdana" w:cs="Arial"/>
                <w:sz w:val="20"/>
                <w:szCs w:val="20"/>
              </w:rPr>
            </w:pPr>
          </w:p>
          <w:p w14:paraId="729FE713" w14:textId="02086FCB" w:rsidR="009C7B1B" w:rsidRPr="000C6101" w:rsidRDefault="009C7B1B" w:rsidP="009C7B1B">
            <w:pPr>
              <w:jc w:val="center"/>
              <w:rPr>
                <w:rFonts w:ascii="Verdana" w:eastAsia="Calibri" w:hAnsi="Verdana" w:cs="Arial"/>
                <w:sz w:val="20"/>
                <w:szCs w:val="20"/>
              </w:rPr>
            </w:pPr>
          </w:p>
          <w:p w14:paraId="3980C40A" w14:textId="60303E53" w:rsidR="009C7B1B" w:rsidRPr="000C6101" w:rsidRDefault="009C7B1B" w:rsidP="009C7B1B">
            <w:pPr>
              <w:jc w:val="center"/>
              <w:rPr>
                <w:rFonts w:ascii="Verdana" w:eastAsia="Calibri" w:hAnsi="Verdana" w:cs="Arial"/>
                <w:sz w:val="20"/>
                <w:szCs w:val="20"/>
              </w:rPr>
            </w:pPr>
          </w:p>
          <w:p w14:paraId="6DE7C25B" w14:textId="59E9653F" w:rsidR="009C7B1B" w:rsidRPr="000C6101" w:rsidRDefault="009C7B1B" w:rsidP="009C7B1B">
            <w:pPr>
              <w:jc w:val="center"/>
              <w:rPr>
                <w:rFonts w:ascii="Verdana" w:eastAsia="Calibri" w:hAnsi="Verdana" w:cs="Arial"/>
                <w:sz w:val="20"/>
                <w:szCs w:val="20"/>
              </w:rPr>
            </w:pPr>
            <w:r w:rsidRPr="000C6101">
              <w:rPr>
                <w:rFonts w:ascii="Verdana" w:eastAsia="Calibri" w:hAnsi="Verdana" w:cs="Arial"/>
                <w:sz w:val="20"/>
                <w:szCs w:val="20"/>
              </w:rPr>
              <w:t>Septembre 2024</w:t>
            </w:r>
          </w:p>
        </w:tc>
      </w:tr>
      <w:tr w:rsidR="000C6101" w:rsidRPr="000C6101" w14:paraId="29AEE277" w14:textId="77777777" w:rsidTr="396FCBB9">
        <w:tc>
          <w:tcPr>
            <w:tcW w:w="14808" w:type="dxa"/>
            <w:gridSpan w:val="4"/>
            <w:shd w:val="clear" w:color="auto" w:fill="ED7D31"/>
          </w:tcPr>
          <w:p w14:paraId="0897268F" w14:textId="6C870E25" w:rsidR="009C7B1B" w:rsidRPr="000C6101" w:rsidRDefault="009C7B1B" w:rsidP="000C6101">
            <w:pPr>
              <w:keepNext/>
              <w:keepLines/>
              <w:spacing w:before="40"/>
              <w:jc w:val="both"/>
              <w:outlineLvl w:val="1"/>
              <w:rPr>
                <w:rFonts w:ascii="Verdana" w:eastAsia="Yu Gothic Light" w:hAnsi="Verdana" w:cs="Times New Roman"/>
                <w:b/>
                <w:bCs/>
                <w:sz w:val="20"/>
                <w:szCs w:val="20"/>
              </w:rPr>
            </w:pPr>
            <w:bookmarkStart w:id="3" w:name="_Toc173249467"/>
            <w:r w:rsidRPr="000C6101">
              <w:rPr>
                <w:rFonts w:ascii="Verdana" w:eastAsia="Yu Gothic Light" w:hAnsi="Verdana" w:cs="Times New Roman"/>
                <w:b/>
                <w:bCs/>
                <w:sz w:val="20"/>
                <w:szCs w:val="20"/>
              </w:rPr>
              <w:lastRenderedPageBreak/>
              <w:t>Divers</w:t>
            </w:r>
            <w:bookmarkEnd w:id="3"/>
          </w:p>
        </w:tc>
      </w:tr>
      <w:tr w:rsidR="000C6101" w:rsidRPr="000C6101" w14:paraId="61528935" w14:textId="77777777" w:rsidTr="396FCBB9">
        <w:tc>
          <w:tcPr>
            <w:tcW w:w="7230" w:type="dxa"/>
          </w:tcPr>
          <w:p w14:paraId="3C9EADC9" w14:textId="77777777" w:rsidR="009C7B1B" w:rsidRPr="000C6101" w:rsidRDefault="009C7B1B" w:rsidP="009C7B1B">
            <w:pPr>
              <w:pBdr>
                <w:top w:val="single" w:sz="4" w:space="1" w:color="0070C0"/>
                <w:left w:val="single" w:sz="4" w:space="4" w:color="0070C0"/>
              </w:pBdr>
              <w:spacing w:after="120" w:line="276" w:lineRule="auto"/>
              <w:jc w:val="both"/>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Point 5 – Divers</w:t>
            </w:r>
          </w:p>
          <w:p w14:paraId="2E7DC366" w14:textId="77777777" w:rsidR="009C7B1B" w:rsidRPr="000C6101" w:rsidRDefault="009C7B1B" w:rsidP="009C7B1B">
            <w:pPr>
              <w:spacing w:after="120" w:line="276" w:lineRule="auto"/>
              <w:jc w:val="center"/>
              <w:rPr>
                <w:rFonts w:ascii="Verdana" w:eastAsia="Calibri" w:hAnsi="Verdana" w:cs="Times New Roman"/>
                <w:b/>
                <w:bCs/>
                <w:kern w:val="0"/>
                <w:sz w:val="20"/>
                <w:szCs w:val="20"/>
                <w14:ligatures w14:val="none"/>
              </w:rPr>
            </w:pPr>
          </w:p>
          <w:p w14:paraId="29BDEF8E" w14:textId="77777777" w:rsidR="009C7B1B" w:rsidRPr="000C6101" w:rsidRDefault="009C7B1B" w:rsidP="009C7B1B">
            <w:pPr>
              <w:spacing w:after="120" w:line="276" w:lineRule="auto"/>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Décision 24. Pérennisation des projets et programmes de la COI</w:t>
            </w:r>
          </w:p>
          <w:p w14:paraId="769BE9B5" w14:textId="77777777" w:rsidR="009C7B1B" w:rsidRPr="000C6101" w:rsidRDefault="009C7B1B" w:rsidP="009C7B1B">
            <w:pPr>
              <w:spacing w:after="120"/>
              <w:jc w:val="both"/>
              <w:rPr>
                <w:rFonts w:ascii="Verdana" w:eastAsia="Calibri" w:hAnsi="Verdana" w:cs="Calibri"/>
                <w:kern w:val="0"/>
                <w:sz w:val="20"/>
                <w:szCs w:val="20"/>
                <w14:ligatures w14:val="none"/>
              </w:rPr>
            </w:pPr>
            <w:r w:rsidRPr="000C6101">
              <w:rPr>
                <w:rFonts w:ascii="Verdana" w:eastAsia="Calibri" w:hAnsi="Verdana" w:cs="Calibri"/>
                <w:kern w:val="0"/>
                <w:sz w:val="20"/>
                <w:szCs w:val="20"/>
                <w14:ligatures w14:val="none"/>
              </w:rPr>
              <w:t xml:space="preserve">Le Comité des OPL encourage le Secrétariat général à élaborer une stratégie globale de pérennisation des projets et programmes de la COI et à la soumettre aux instances.  </w:t>
            </w:r>
          </w:p>
          <w:p w14:paraId="7C4E4401" w14:textId="3876B230" w:rsidR="009C7B1B" w:rsidRPr="000C6101" w:rsidRDefault="009C7B1B" w:rsidP="009C7B1B">
            <w:pPr>
              <w:spacing w:line="276" w:lineRule="auto"/>
              <w:jc w:val="both"/>
              <w:rPr>
                <w:rFonts w:ascii="Verdana" w:eastAsia="Calibri" w:hAnsi="Verdana" w:cs="Arial"/>
                <w:kern w:val="0"/>
                <w:sz w:val="20"/>
                <w:szCs w:val="20"/>
                <w14:ligatures w14:val="none"/>
              </w:rPr>
            </w:pPr>
          </w:p>
        </w:tc>
        <w:tc>
          <w:tcPr>
            <w:tcW w:w="3690" w:type="dxa"/>
          </w:tcPr>
          <w:p w14:paraId="09E9DDA7" w14:textId="72ECAA4D" w:rsidR="009C7B1B" w:rsidRPr="000C6101" w:rsidRDefault="009C7B1B" w:rsidP="000C6101">
            <w:pPr>
              <w:jc w:val="both"/>
              <w:rPr>
                <w:rFonts w:ascii="Verdana" w:eastAsia="Calibri" w:hAnsi="Verdana" w:cs="Arial"/>
                <w:sz w:val="20"/>
                <w:szCs w:val="20"/>
              </w:rPr>
            </w:pPr>
          </w:p>
        </w:tc>
        <w:tc>
          <w:tcPr>
            <w:tcW w:w="1984" w:type="dxa"/>
          </w:tcPr>
          <w:p w14:paraId="6BE916EC" w14:textId="77777777" w:rsidR="009C7B1B" w:rsidRPr="000C6101" w:rsidRDefault="009C7B1B" w:rsidP="009C7B1B">
            <w:pPr>
              <w:jc w:val="center"/>
              <w:rPr>
                <w:rFonts w:ascii="Verdana" w:eastAsia="Calibri" w:hAnsi="Verdana" w:cs="Arial"/>
                <w:sz w:val="20"/>
                <w:szCs w:val="20"/>
              </w:rPr>
            </w:pPr>
          </w:p>
        </w:tc>
        <w:tc>
          <w:tcPr>
            <w:tcW w:w="1904" w:type="dxa"/>
          </w:tcPr>
          <w:p w14:paraId="682151F8" w14:textId="77777777" w:rsidR="009C7B1B" w:rsidRPr="000C6101" w:rsidRDefault="009C7B1B" w:rsidP="009C7B1B">
            <w:pPr>
              <w:jc w:val="center"/>
              <w:rPr>
                <w:rFonts w:ascii="Verdana" w:eastAsia="Calibri" w:hAnsi="Verdana" w:cs="Arial"/>
                <w:sz w:val="20"/>
                <w:szCs w:val="20"/>
              </w:rPr>
            </w:pPr>
          </w:p>
        </w:tc>
      </w:tr>
      <w:tr w:rsidR="000C6101" w:rsidRPr="000C6101" w14:paraId="5AEA8714" w14:textId="77777777" w:rsidTr="396FCBB9">
        <w:tc>
          <w:tcPr>
            <w:tcW w:w="7230" w:type="dxa"/>
          </w:tcPr>
          <w:p w14:paraId="49768A36" w14:textId="46191831" w:rsidR="009C7B1B" w:rsidRPr="000C6101" w:rsidRDefault="009C7B1B" w:rsidP="009C7B1B">
            <w:pPr>
              <w:spacing w:after="120" w:line="276" w:lineRule="auto"/>
              <w:jc w:val="center"/>
              <w:rPr>
                <w:rFonts w:ascii="Verdana" w:eastAsia="Calibri" w:hAnsi="Verdana" w:cs="Times New Roman"/>
                <w:b/>
                <w:bCs/>
                <w:kern w:val="0"/>
                <w:sz w:val="20"/>
                <w:szCs w:val="20"/>
                <w14:ligatures w14:val="none"/>
              </w:rPr>
            </w:pPr>
            <w:r w:rsidRPr="000C6101">
              <w:rPr>
                <w:rFonts w:ascii="Verdana" w:eastAsia="Calibri" w:hAnsi="Verdana" w:cs="Times New Roman"/>
                <w:b/>
                <w:bCs/>
                <w:kern w:val="0"/>
                <w:sz w:val="20"/>
                <w:szCs w:val="20"/>
                <w14:ligatures w14:val="none"/>
              </w:rPr>
              <w:t xml:space="preserve">Décision 25. Communication entre le Secrétariat général et les </w:t>
            </w:r>
            <w:r w:rsidR="000C6101" w:rsidRPr="000C6101">
              <w:rPr>
                <w:rFonts w:ascii="Verdana" w:eastAsia="Calibri" w:hAnsi="Verdana" w:cs="Times New Roman"/>
                <w:b/>
                <w:bCs/>
                <w:kern w:val="0"/>
                <w:sz w:val="20"/>
                <w:szCs w:val="20"/>
                <w14:ligatures w14:val="none"/>
              </w:rPr>
              <w:t xml:space="preserve">États </w:t>
            </w:r>
            <w:r w:rsidRPr="000C6101">
              <w:rPr>
                <w:rFonts w:ascii="Verdana" w:eastAsia="Calibri" w:hAnsi="Verdana" w:cs="Times New Roman"/>
                <w:b/>
                <w:bCs/>
                <w:kern w:val="0"/>
                <w:sz w:val="20"/>
                <w:szCs w:val="20"/>
                <w14:ligatures w14:val="none"/>
              </w:rPr>
              <w:t>membres</w:t>
            </w:r>
          </w:p>
          <w:p w14:paraId="0674BA4E" w14:textId="4BC1E764" w:rsidR="009C7B1B" w:rsidRPr="000C6101" w:rsidRDefault="009C7B1B" w:rsidP="009C7B1B">
            <w:pPr>
              <w:spacing w:after="120"/>
              <w:jc w:val="both"/>
              <w:rPr>
                <w:rFonts w:ascii="Verdana" w:eastAsia="Calibri" w:hAnsi="Verdana" w:cs="Times New Roman"/>
                <w:b/>
                <w:bCs/>
                <w:kern w:val="0"/>
                <w:sz w:val="20"/>
                <w:szCs w:val="20"/>
                <w14:ligatures w14:val="none"/>
              </w:rPr>
            </w:pPr>
            <w:r w:rsidRPr="000C6101">
              <w:rPr>
                <w:rFonts w:ascii="Verdana" w:eastAsia="Calibri" w:hAnsi="Verdana" w:cs="Calibri"/>
                <w:kern w:val="0"/>
                <w:sz w:val="20"/>
                <w:szCs w:val="20"/>
                <w14:ligatures w14:val="none"/>
              </w:rPr>
              <w:t xml:space="preserve">Le Comité des OPL rappelle la nécessité de respecter le canal diplomatique de communication avec les </w:t>
            </w:r>
            <w:r w:rsidR="000C6101" w:rsidRPr="000C6101">
              <w:rPr>
                <w:rFonts w:ascii="Verdana" w:eastAsia="Calibri" w:hAnsi="Verdana" w:cs="Calibri"/>
                <w:kern w:val="0"/>
                <w:sz w:val="20"/>
                <w:szCs w:val="20"/>
                <w14:ligatures w14:val="none"/>
              </w:rPr>
              <w:t xml:space="preserve">États </w:t>
            </w:r>
            <w:r w:rsidRPr="000C6101">
              <w:rPr>
                <w:rFonts w:ascii="Verdana" w:eastAsia="Calibri" w:hAnsi="Verdana" w:cs="Calibri"/>
                <w:kern w:val="0"/>
                <w:sz w:val="20"/>
                <w:szCs w:val="20"/>
                <w14:ligatures w14:val="none"/>
              </w:rPr>
              <w:t xml:space="preserve">membres en veillant (i) à adopter une procédure harmonisée d’échanges avec les OPL et (ii) à garder les OPL dans la boucle des échanges avec les Points focaux nationaux, entre autres.  </w:t>
            </w:r>
          </w:p>
        </w:tc>
        <w:tc>
          <w:tcPr>
            <w:tcW w:w="3690" w:type="dxa"/>
          </w:tcPr>
          <w:p w14:paraId="471C010D" w14:textId="77777777" w:rsidR="009C7B1B" w:rsidRPr="000C6101" w:rsidRDefault="009C7B1B" w:rsidP="000C6101">
            <w:pPr>
              <w:jc w:val="both"/>
              <w:rPr>
                <w:rFonts w:ascii="Verdana" w:eastAsia="Calibri" w:hAnsi="Verdana" w:cs="Arial"/>
                <w:sz w:val="20"/>
                <w:szCs w:val="20"/>
              </w:rPr>
            </w:pPr>
          </w:p>
        </w:tc>
        <w:tc>
          <w:tcPr>
            <w:tcW w:w="1984" w:type="dxa"/>
          </w:tcPr>
          <w:p w14:paraId="18612AD7" w14:textId="77777777" w:rsidR="009C7B1B" w:rsidRPr="000C6101" w:rsidRDefault="009C7B1B" w:rsidP="009C7B1B">
            <w:pPr>
              <w:jc w:val="center"/>
              <w:rPr>
                <w:rFonts w:ascii="Verdana" w:eastAsia="Calibri" w:hAnsi="Verdana" w:cs="Arial"/>
                <w:sz w:val="20"/>
                <w:szCs w:val="20"/>
              </w:rPr>
            </w:pPr>
          </w:p>
        </w:tc>
        <w:tc>
          <w:tcPr>
            <w:tcW w:w="1904" w:type="dxa"/>
          </w:tcPr>
          <w:p w14:paraId="62B528C9" w14:textId="77777777" w:rsidR="009C7B1B" w:rsidRPr="000C6101" w:rsidRDefault="009C7B1B" w:rsidP="009C7B1B">
            <w:pPr>
              <w:jc w:val="center"/>
              <w:rPr>
                <w:rFonts w:ascii="Verdana" w:eastAsia="Calibri" w:hAnsi="Verdana" w:cs="Arial"/>
                <w:sz w:val="20"/>
                <w:szCs w:val="20"/>
              </w:rPr>
            </w:pPr>
          </w:p>
        </w:tc>
      </w:tr>
    </w:tbl>
    <w:p w14:paraId="3666A898" w14:textId="77777777" w:rsidR="00C055EF" w:rsidRPr="000C6101" w:rsidRDefault="00C055EF" w:rsidP="00C055EF">
      <w:pPr>
        <w:rPr>
          <w:rFonts w:ascii="Calibri" w:eastAsia="Calibri" w:hAnsi="Calibri" w:cs="Arial"/>
        </w:rPr>
      </w:pPr>
    </w:p>
    <w:p w14:paraId="1B5EB01B" w14:textId="77777777" w:rsidR="00C055EF" w:rsidRPr="000C6101" w:rsidRDefault="00C055EF" w:rsidP="00C055EF">
      <w:pPr>
        <w:rPr>
          <w:rFonts w:ascii="Calibri" w:eastAsia="Calibri" w:hAnsi="Calibri" w:cs="Arial"/>
        </w:rPr>
      </w:pPr>
    </w:p>
    <w:p w14:paraId="536139FD" w14:textId="77777777" w:rsidR="00FF7CC4" w:rsidRPr="000C6101" w:rsidRDefault="00FF7CC4"/>
    <w:sectPr w:rsidR="00FF7CC4" w:rsidRPr="000C6101" w:rsidSect="009C7B1B">
      <w:pgSz w:w="16838" w:h="11906" w:orient="landscape" w:code="9"/>
      <w:pgMar w:top="209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E70ED" w14:textId="77777777" w:rsidR="0091741F" w:rsidRDefault="0091741F">
      <w:pPr>
        <w:spacing w:after="0" w:line="240" w:lineRule="auto"/>
      </w:pPr>
      <w:r>
        <w:separator/>
      </w:r>
    </w:p>
  </w:endnote>
  <w:endnote w:type="continuationSeparator" w:id="0">
    <w:p w14:paraId="4597D1A3" w14:textId="77777777" w:rsidR="0091741F" w:rsidRDefault="0091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2213627"/>
      <w:docPartObj>
        <w:docPartGallery w:val="Page Numbers (Bottom of Page)"/>
        <w:docPartUnique/>
      </w:docPartObj>
    </w:sdtPr>
    <w:sdtEndPr/>
    <w:sdtContent>
      <w:p w14:paraId="147CB3F5" w14:textId="77777777" w:rsidR="00C055EF" w:rsidRDefault="00C055EF" w:rsidP="00C055EF">
        <w:pPr>
          <w:pStyle w:val="Pieddepage"/>
          <w:pBdr>
            <w:top w:val="single" w:sz="4" w:space="1" w:color="ED7D31"/>
          </w:pBdr>
          <w:jc w:val="right"/>
        </w:pPr>
        <w:r>
          <w:fldChar w:fldCharType="begin"/>
        </w:r>
        <w:r>
          <w:instrText>PAGE   \* MERGEFORMAT</w:instrText>
        </w:r>
        <w:r>
          <w:fldChar w:fldCharType="separate"/>
        </w:r>
        <w:r w:rsidR="00AC0141">
          <w:rPr>
            <w:noProof/>
          </w:rPr>
          <w:t>25</w:t>
        </w:r>
        <w:r>
          <w:fldChar w:fldCharType="end"/>
        </w:r>
      </w:p>
    </w:sdtContent>
  </w:sdt>
  <w:p w14:paraId="0F1071A2" w14:textId="77777777" w:rsidR="00C055EF" w:rsidRDefault="00C055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BB4AB" w14:textId="77777777" w:rsidR="0091741F" w:rsidRDefault="0091741F">
      <w:pPr>
        <w:spacing w:after="0" w:line="240" w:lineRule="auto"/>
      </w:pPr>
      <w:r>
        <w:separator/>
      </w:r>
    </w:p>
  </w:footnote>
  <w:footnote w:type="continuationSeparator" w:id="0">
    <w:p w14:paraId="38200263" w14:textId="77777777" w:rsidR="0091741F" w:rsidRDefault="0091741F">
      <w:pPr>
        <w:spacing w:after="0" w:line="240" w:lineRule="auto"/>
      </w:pPr>
      <w:r>
        <w:continuationSeparator/>
      </w:r>
    </w:p>
  </w:footnote>
  <w:footnote w:id="1">
    <w:p w14:paraId="1B79808F" w14:textId="73773EB7" w:rsidR="008E44C3" w:rsidRPr="00F7061E" w:rsidRDefault="008E44C3" w:rsidP="000C6101">
      <w:pPr>
        <w:pStyle w:val="Notedebasdepage"/>
        <w:jc w:val="both"/>
        <w:rPr>
          <w:sz w:val="16"/>
          <w:szCs w:val="16"/>
        </w:rPr>
      </w:pPr>
      <w:r w:rsidRPr="00F7061E">
        <w:rPr>
          <w:rStyle w:val="Appelnotedebasdep"/>
          <w:sz w:val="16"/>
          <w:szCs w:val="16"/>
        </w:rPr>
        <w:footnoteRef/>
      </w:r>
      <w:r w:rsidRPr="00F7061E">
        <w:rPr>
          <w:sz w:val="16"/>
          <w:szCs w:val="16"/>
        </w:rPr>
        <w:t xml:space="preserve"> </w:t>
      </w:r>
      <w:r w:rsidRPr="006B1BC6">
        <w:rPr>
          <w:i/>
          <w:iCs/>
          <w:sz w:val="16"/>
          <w:szCs w:val="16"/>
        </w:rPr>
        <w:t>Décision 11-e du 37</w:t>
      </w:r>
      <w:r w:rsidRPr="006B1BC6">
        <w:rPr>
          <w:i/>
          <w:iCs/>
          <w:sz w:val="16"/>
          <w:szCs w:val="16"/>
          <w:vertAlign w:val="superscript"/>
        </w:rPr>
        <w:t>e</w:t>
      </w:r>
      <w:r w:rsidRPr="006B1BC6">
        <w:rPr>
          <w:i/>
          <w:iCs/>
          <w:sz w:val="16"/>
          <w:szCs w:val="16"/>
        </w:rPr>
        <w:t xml:space="preserve"> Conseil des ministres : « Le Conseil des ministres demande au Secrétariat général de soumettre des informations complémentaires aux </w:t>
      </w:r>
      <w:r w:rsidR="000C6101" w:rsidRPr="006B1BC6">
        <w:rPr>
          <w:i/>
          <w:iCs/>
          <w:sz w:val="16"/>
          <w:szCs w:val="16"/>
        </w:rPr>
        <w:t>États</w:t>
      </w:r>
      <w:r w:rsidRPr="006B1BC6">
        <w:rPr>
          <w:i/>
          <w:iCs/>
          <w:sz w:val="16"/>
          <w:szCs w:val="16"/>
        </w:rPr>
        <w:t xml:space="preserve"> membres sur les modalités de participation de la COI au Comité de pilotage du projet Varuna en veillant à une bonne prise en compte des intérêts des </w:t>
      </w:r>
      <w:r w:rsidR="000C6101" w:rsidRPr="006B1BC6">
        <w:rPr>
          <w:i/>
          <w:iCs/>
          <w:sz w:val="16"/>
          <w:szCs w:val="16"/>
        </w:rPr>
        <w:t>États</w:t>
      </w:r>
      <w:r w:rsidRPr="006B1BC6">
        <w:rPr>
          <w:i/>
          <w:iCs/>
          <w:sz w:val="16"/>
          <w:szCs w:val="16"/>
        </w:rPr>
        <w:t xml:space="preserve"> membres dans ses activités et à saisir les opportunités de synergies avec les actions de la COI »</w:t>
      </w:r>
    </w:p>
  </w:footnote>
  <w:footnote w:id="2">
    <w:p w14:paraId="01EF005B" w14:textId="77777777" w:rsidR="00E449C5" w:rsidRDefault="00E449C5" w:rsidP="000C6101">
      <w:pPr>
        <w:pStyle w:val="Notedebasdepage"/>
        <w:jc w:val="both"/>
      </w:pPr>
      <w:r>
        <w:rPr>
          <w:rStyle w:val="Appelnotedebasdep"/>
        </w:rPr>
        <w:footnoteRef/>
      </w:r>
      <w:r>
        <w:t xml:space="preserve"> </w:t>
      </w:r>
      <w:r w:rsidRPr="00F7061E">
        <w:rPr>
          <w:i/>
          <w:iCs/>
          <w:sz w:val="16"/>
          <w:szCs w:val="16"/>
        </w:rPr>
        <w:t>Décision 9(f) de la 37</w:t>
      </w:r>
      <w:r w:rsidRPr="00F7061E">
        <w:rPr>
          <w:i/>
          <w:iCs/>
          <w:sz w:val="16"/>
          <w:szCs w:val="16"/>
          <w:vertAlign w:val="superscript"/>
        </w:rPr>
        <w:t>ème</w:t>
      </w:r>
      <w:r w:rsidRPr="00F7061E">
        <w:rPr>
          <w:i/>
          <w:iCs/>
          <w:sz w:val="16"/>
          <w:szCs w:val="16"/>
        </w:rPr>
        <w:t xml:space="preserve"> session du Conseil des ministres : Le Conseil des mi</w:t>
      </w:r>
      <w:r>
        <w:rPr>
          <w:i/>
          <w:iCs/>
          <w:sz w:val="16"/>
          <w:szCs w:val="16"/>
        </w:rPr>
        <w:t>nist</w:t>
      </w:r>
      <w:r w:rsidRPr="00F7061E">
        <w:rPr>
          <w:i/>
          <w:iCs/>
          <w:sz w:val="16"/>
          <w:szCs w:val="16"/>
        </w:rPr>
        <w:t xml:space="preserve">res </w:t>
      </w:r>
      <w:r>
        <w:rPr>
          <w:i/>
          <w:iCs/>
          <w:sz w:val="16"/>
          <w:szCs w:val="16"/>
        </w:rPr>
        <w:t>s</w:t>
      </w:r>
      <w:r w:rsidRPr="00F7061E">
        <w:rPr>
          <w:i/>
          <w:iCs/>
          <w:sz w:val="16"/>
          <w:szCs w:val="16"/>
        </w:rPr>
        <w:t>outient la démarche de Madagascar auprès du groupe Atlantique – océan Indien et mer de Chine méridionale (AIS) pour être reconnu comme un PEID</w:t>
      </w:r>
    </w:p>
  </w:footnote>
  <w:footnote w:id="3">
    <w:p w14:paraId="5B30A0FE" w14:textId="77777777" w:rsidR="00850961" w:rsidRPr="00F37C48" w:rsidRDefault="00850961" w:rsidP="00850961">
      <w:pPr>
        <w:pStyle w:val="Notedebasdepage"/>
        <w:rPr>
          <w:i/>
          <w:iCs/>
        </w:rPr>
      </w:pPr>
      <w:r w:rsidRPr="00F7061E">
        <w:rPr>
          <w:rStyle w:val="Appelnotedebasdep"/>
          <w:i/>
          <w:iCs/>
          <w:sz w:val="16"/>
          <w:szCs w:val="16"/>
        </w:rPr>
        <w:footnoteRef/>
      </w:r>
      <w:r w:rsidRPr="00F7061E">
        <w:rPr>
          <w:i/>
          <w:iCs/>
          <w:sz w:val="16"/>
          <w:szCs w:val="16"/>
        </w:rPr>
        <w:t xml:space="preserve"> Cf. fiche 1.4. du Conseil extraordinaire de décembre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6A9F8" w14:textId="77777777" w:rsidR="00C055EF" w:rsidRDefault="00C055EF" w:rsidP="00B76BE0">
    <w:pPr>
      <w:pStyle w:val="En-tte"/>
      <w:pBdr>
        <w:bottom w:val="single" w:sz="4" w:space="1" w:color="0070C0"/>
      </w:pBdr>
    </w:pPr>
    <w:r>
      <w:rPr>
        <w:noProof/>
        <w:lang w:eastAsia="fr-FR"/>
      </w:rPr>
      <w:drawing>
        <wp:inline distT="0" distB="0" distL="0" distR="0" wp14:anchorId="3BD7493B" wp14:editId="4D212B68">
          <wp:extent cx="1582390" cy="720000"/>
          <wp:effectExtent l="0" t="0" r="0" b="4445"/>
          <wp:docPr id="1037911416" name="Image 103791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00588" name="Image 936500588"/>
                  <pic:cNvPicPr/>
                </pic:nvPicPr>
                <pic:blipFill>
                  <a:blip r:embed="rId1">
                    <a:extLst>
                      <a:ext uri="{28A0092B-C50C-407E-A947-70E740481C1C}">
                        <a14:useLocalDpi xmlns:a14="http://schemas.microsoft.com/office/drawing/2010/main" val="0"/>
                      </a:ext>
                    </a:extLst>
                  </a:blip>
                  <a:stretch>
                    <a:fillRect/>
                  </a:stretch>
                </pic:blipFill>
                <pic:spPr>
                  <a:xfrm>
                    <a:off x="0" y="0"/>
                    <a:ext cx="15823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2F77"/>
    <w:multiLevelType w:val="hybridMultilevel"/>
    <w:tmpl w:val="C890E6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C0017">
      <w:start w:val="1"/>
      <w:numFmt w:val="lowerLetter"/>
      <w:lvlText w:val="%3)"/>
      <w:lvlJc w:val="left"/>
      <w:pPr>
        <w:ind w:left="319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C66537"/>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6A56C8"/>
    <w:multiLevelType w:val="hybridMultilevel"/>
    <w:tmpl w:val="7AE071A2"/>
    <w:lvl w:ilvl="0" w:tplc="B8D2D71E">
      <w:start w:val="1"/>
      <w:numFmt w:val="lowerLetter"/>
      <w:lvlText w:val="%1)"/>
      <w:lvlJc w:val="right"/>
      <w:pPr>
        <w:ind w:left="720" w:hanging="360"/>
      </w:pPr>
      <w:rPr>
        <w:rFonts w:ascii="Verdana" w:eastAsiaTheme="minorHAnsi" w:hAnsi="Verdana"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E1F0A"/>
    <w:multiLevelType w:val="hybridMultilevel"/>
    <w:tmpl w:val="003421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C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C40F9"/>
    <w:multiLevelType w:val="hybridMultilevel"/>
    <w:tmpl w:val="306C1C4C"/>
    <w:lvl w:ilvl="0" w:tplc="719E3F90">
      <w:start w:val="1"/>
      <w:numFmt w:val="lowerLetter"/>
      <w:lvlText w:val="%1)"/>
      <w:lvlJc w:val="left"/>
      <w:pPr>
        <w:ind w:left="720" w:hanging="360"/>
      </w:pPr>
      <w:rPr>
        <w:rFonts w:hint="default"/>
        <w:i w:val="0"/>
        <w:iCs w:val="0"/>
      </w:rPr>
    </w:lvl>
    <w:lvl w:ilvl="1" w:tplc="040C0019">
      <w:start w:val="1"/>
      <w:numFmt w:val="lowerLetter"/>
      <w:lvlText w:val="%2."/>
      <w:lvlJc w:val="left"/>
      <w:pPr>
        <w:ind w:left="1440" w:hanging="360"/>
      </w:pPr>
    </w:lvl>
    <w:lvl w:ilvl="2" w:tplc="D012D1F4">
      <w:start w:val="1"/>
      <w:numFmt w:val="lowerRoman"/>
      <w:lvlText w:val="%3."/>
      <w:lvlJc w:val="right"/>
      <w:pPr>
        <w:ind w:left="2160" w:hanging="180"/>
      </w:pPr>
      <w:rPr>
        <w:i w:val="0"/>
        <w:iCs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9D3841"/>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AA3248"/>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3803B1"/>
    <w:multiLevelType w:val="hybridMultilevel"/>
    <w:tmpl w:val="8EB2BA40"/>
    <w:lvl w:ilvl="0" w:tplc="BDEC8EBE">
      <w:start w:val="1"/>
      <w:numFmt w:val="lowerLetter"/>
      <w:lvlText w:val="%1)"/>
      <w:lvlJc w:val="left"/>
      <w:pPr>
        <w:ind w:left="852" w:hanging="360"/>
      </w:pPr>
      <w:rPr>
        <w:i w:val="0"/>
        <w:iCs w:val="0"/>
      </w:rPr>
    </w:lvl>
    <w:lvl w:ilvl="1" w:tplc="040C0019" w:tentative="1">
      <w:start w:val="1"/>
      <w:numFmt w:val="lowerLetter"/>
      <w:lvlText w:val="%2."/>
      <w:lvlJc w:val="left"/>
      <w:pPr>
        <w:ind w:left="1572" w:hanging="360"/>
      </w:pPr>
    </w:lvl>
    <w:lvl w:ilvl="2" w:tplc="040C001B" w:tentative="1">
      <w:start w:val="1"/>
      <w:numFmt w:val="lowerRoman"/>
      <w:lvlText w:val="%3."/>
      <w:lvlJc w:val="right"/>
      <w:pPr>
        <w:ind w:left="2292" w:hanging="180"/>
      </w:pPr>
    </w:lvl>
    <w:lvl w:ilvl="3" w:tplc="040C000F" w:tentative="1">
      <w:start w:val="1"/>
      <w:numFmt w:val="decimal"/>
      <w:lvlText w:val="%4."/>
      <w:lvlJc w:val="left"/>
      <w:pPr>
        <w:ind w:left="3012" w:hanging="360"/>
      </w:pPr>
    </w:lvl>
    <w:lvl w:ilvl="4" w:tplc="040C0019" w:tentative="1">
      <w:start w:val="1"/>
      <w:numFmt w:val="lowerLetter"/>
      <w:lvlText w:val="%5."/>
      <w:lvlJc w:val="left"/>
      <w:pPr>
        <w:ind w:left="3732" w:hanging="360"/>
      </w:pPr>
    </w:lvl>
    <w:lvl w:ilvl="5" w:tplc="040C001B" w:tentative="1">
      <w:start w:val="1"/>
      <w:numFmt w:val="lowerRoman"/>
      <w:lvlText w:val="%6."/>
      <w:lvlJc w:val="right"/>
      <w:pPr>
        <w:ind w:left="4452" w:hanging="180"/>
      </w:pPr>
    </w:lvl>
    <w:lvl w:ilvl="6" w:tplc="040C000F" w:tentative="1">
      <w:start w:val="1"/>
      <w:numFmt w:val="decimal"/>
      <w:lvlText w:val="%7."/>
      <w:lvlJc w:val="left"/>
      <w:pPr>
        <w:ind w:left="5172" w:hanging="360"/>
      </w:pPr>
    </w:lvl>
    <w:lvl w:ilvl="7" w:tplc="040C0019" w:tentative="1">
      <w:start w:val="1"/>
      <w:numFmt w:val="lowerLetter"/>
      <w:lvlText w:val="%8."/>
      <w:lvlJc w:val="left"/>
      <w:pPr>
        <w:ind w:left="5892" w:hanging="360"/>
      </w:pPr>
    </w:lvl>
    <w:lvl w:ilvl="8" w:tplc="040C001B" w:tentative="1">
      <w:start w:val="1"/>
      <w:numFmt w:val="lowerRoman"/>
      <w:lvlText w:val="%9."/>
      <w:lvlJc w:val="right"/>
      <w:pPr>
        <w:ind w:left="6612" w:hanging="180"/>
      </w:pPr>
    </w:lvl>
  </w:abstractNum>
  <w:abstractNum w:abstractNumId="10" w15:restartNumberingAfterBreak="0">
    <w:nsid w:val="4072234A"/>
    <w:multiLevelType w:val="hybridMultilevel"/>
    <w:tmpl w:val="64AC8E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D55164"/>
    <w:multiLevelType w:val="hybridMultilevel"/>
    <w:tmpl w:val="C5283F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A1E20CD"/>
    <w:multiLevelType w:val="hybridMultilevel"/>
    <w:tmpl w:val="C9CE64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C5759FD"/>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086541"/>
    <w:multiLevelType w:val="hybridMultilevel"/>
    <w:tmpl w:val="900A49E8"/>
    <w:lvl w:ilvl="0" w:tplc="9F446BD0">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6515CF"/>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1209B"/>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5071AC"/>
    <w:multiLevelType w:val="hybridMultilevel"/>
    <w:tmpl w:val="3BDA7C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C02753F"/>
    <w:multiLevelType w:val="hybridMultilevel"/>
    <w:tmpl w:val="3002319A"/>
    <w:lvl w:ilvl="0" w:tplc="0B366064">
      <w:start w:val="1"/>
      <w:numFmt w:val="lowerLetter"/>
      <w:lvlText w:val="%1)"/>
      <w:lvlJc w:val="right"/>
      <w:pPr>
        <w:ind w:left="720" w:hanging="360"/>
      </w:pPr>
      <w:rPr>
        <w:rFonts w:ascii="Verdana" w:eastAsiaTheme="minorHAnsi" w:hAnsi="Verdana"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A455FB"/>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712B66"/>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5B40EC"/>
    <w:multiLevelType w:val="hybridMultilevel"/>
    <w:tmpl w:val="A6823EF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AD213BE"/>
    <w:multiLevelType w:val="hybridMultilevel"/>
    <w:tmpl w:val="E486957E"/>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D70137B"/>
    <w:multiLevelType w:val="hybridMultilevel"/>
    <w:tmpl w:val="C4A204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DEA509F"/>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4874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3769274">
    <w:abstractNumId w:val="26"/>
  </w:num>
  <w:num w:numId="3" w16cid:durableId="1876193339">
    <w:abstractNumId w:val="9"/>
  </w:num>
  <w:num w:numId="4" w16cid:durableId="1627465888">
    <w:abstractNumId w:val="0"/>
  </w:num>
  <w:num w:numId="5" w16cid:durableId="255794507">
    <w:abstractNumId w:val="13"/>
  </w:num>
  <w:num w:numId="6" w16cid:durableId="795834881">
    <w:abstractNumId w:val="24"/>
  </w:num>
  <w:num w:numId="7" w16cid:durableId="429931299">
    <w:abstractNumId w:val="21"/>
  </w:num>
  <w:num w:numId="8" w16cid:durableId="585573819">
    <w:abstractNumId w:val="4"/>
  </w:num>
  <w:num w:numId="9" w16cid:durableId="35200497">
    <w:abstractNumId w:val="18"/>
  </w:num>
  <w:num w:numId="10" w16cid:durableId="98260563">
    <w:abstractNumId w:val="5"/>
  </w:num>
  <w:num w:numId="11" w16cid:durableId="1127511315">
    <w:abstractNumId w:val="17"/>
  </w:num>
  <w:num w:numId="12" w16cid:durableId="867568997">
    <w:abstractNumId w:val="8"/>
  </w:num>
  <w:num w:numId="13" w16cid:durableId="921568742">
    <w:abstractNumId w:val="2"/>
  </w:num>
  <w:num w:numId="14" w16cid:durableId="1207646954">
    <w:abstractNumId w:val="7"/>
  </w:num>
  <w:num w:numId="15" w16cid:durableId="259990460">
    <w:abstractNumId w:val="15"/>
  </w:num>
  <w:num w:numId="16" w16cid:durableId="1620724543">
    <w:abstractNumId w:val="20"/>
  </w:num>
  <w:num w:numId="17" w16cid:durableId="1612056281">
    <w:abstractNumId w:val="6"/>
  </w:num>
  <w:num w:numId="18" w16cid:durableId="1978950114">
    <w:abstractNumId w:val="1"/>
  </w:num>
  <w:num w:numId="19" w16cid:durableId="1064060898">
    <w:abstractNumId w:val="22"/>
  </w:num>
  <w:num w:numId="20" w16cid:durableId="1187017640">
    <w:abstractNumId w:val="27"/>
  </w:num>
  <w:num w:numId="21" w16cid:durableId="1800415066">
    <w:abstractNumId w:val="10"/>
  </w:num>
  <w:num w:numId="22" w16cid:durableId="256519857">
    <w:abstractNumId w:val="19"/>
  </w:num>
  <w:num w:numId="23" w16cid:durableId="200678978">
    <w:abstractNumId w:val="23"/>
  </w:num>
  <w:num w:numId="24" w16cid:durableId="199710302">
    <w:abstractNumId w:val="3"/>
  </w:num>
  <w:num w:numId="25" w16cid:durableId="1725524980">
    <w:abstractNumId w:val="11"/>
  </w:num>
  <w:num w:numId="26" w16cid:durableId="1371152470">
    <w:abstractNumId w:val="16"/>
  </w:num>
  <w:num w:numId="27" w16cid:durableId="125859290">
    <w:abstractNumId w:val="14"/>
  </w:num>
  <w:num w:numId="28" w16cid:durableId="837695318">
    <w:abstractNumId w:val="12"/>
  </w:num>
  <w:num w:numId="29" w16cid:durableId="12999981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5EF"/>
    <w:rsid w:val="000846DE"/>
    <w:rsid w:val="000C6101"/>
    <w:rsid w:val="000F04B8"/>
    <w:rsid w:val="001D7A73"/>
    <w:rsid w:val="002136B3"/>
    <w:rsid w:val="00264503"/>
    <w:rsid w:val="002B098D"/>
    <w:rsid w:val="0046766B"/>
    <w:rsid w:val="004F480C"/>
    <w:rsid w:val="00562E38"/>
    <w:rsid w:val="005A056B"/>
    <w:rsid w:val="00622A2D"/>
    <w:rsid w:val="00625534"/>
    <w:rsid w:val="00660ECD"/>
    <w:rsid w:val="00663D67"/>
    <w:rsid w:val="0069702E"/>
    <w:rsid w:val="006D170B"/>
    <w:rsid w:val="006D3F67"/>
    <w:rsid w:val="007E44D6"/>
    <w:rsid w:val="00850961"/>
    <w:rsid w:val="008E44C3"/>
    <w:rsid w:val="008E78BC"/>
    <w:rsid w:val="00907213"/>
    <w:rsid w:val="0091741F"/>
    <w:rsid w:val="00917BCB"/>
    <w:rsid w:val="009749CC"/>
    <w:rsid w:val="009813BF"/>
    <w:rsid w:val="0099550A"/>
    <w:rsid w:val="009C7B1B"/>
    <w:rsid w:val="009D2B7E"/>
    <w:rsid w:val="00A70F77"/>
    <w:rsid w:val="00A8198D"/>
    <w:rsid w:val="00A85CEB"/>
    <w:rsid w:val="00AB038D"/>
    <w:rsid w:val="00AC0141"/>
    <w:rsid w:val="00AE310F"/>
    <w:rsid w:val="00B07DC8"/>
    <w:rsid w:val="00B448C9"/>
    <w:rsid w:val="00C055EF"/>
    <w:rsid w:val="00C57FE1"/>
    <w:rsid w:val="00C96E3A"/>
    <w:rsid w:val="00CA1FDD"/>
    <w:rsid w:val="00CD50CB"/>
    <w:rsid w:val="00CE447D"/>
    <w:rsid w:val="00D226AD"/>
    <w:rsid w:val="00D44D03"/>
    <w:rsid w:val="00D8261B"/>
    <w:rsid w:val="00DA6FE2"/>
    <w:rsid w:val="00E07EC7"/>
    <w:rsid w:val="00E1470C"/>
    <w:rsid w:val="00E449C5"/>
    <w:rsid w:val="00EE429D"/>
    <w:rsid w:val="00EF650D"/>
    <w:rsid w:val="00F30DD9"/>
    <w:rsid w:val="00F652FF"/>
    <w:rsid w:val="00F75905"/>
    <w:rsid w:val="00FF7CC4"/>
    <w:rsid w:val="01098B75"/>
    <w:rsid w:val="0165FE9A"/>
    <w:rsid w:val="016B9F21"/>
    <w:rsid w:val="01E3D3DD"/>
    <w:rsid w:val="02D1C241"/>
    <w:rsid w:val="03E868E6"/>
    <w:rsid w:val="048D9B86"/>
    <w:rsid w:val="05129E00"/>
    <w:rsid w:val="05A879A2"/>
    <w:rsid w:val="07F7E3E1"/>
    <w:rsid w:val="08A2409F"/>
    <w:rsid w:val="09C85DC6"/>
    <w:rsid w:val="0A447195"/>
    <w:rsid w:val="0CE3F426"/>
    <w:rsid w:val="0CFFCD18"/>
    <w:rsid w:val="0DD6F6FC"/>
    <w:rsid w:val="0E5381C5"/>
    <w:rsid w:val="105067E6"/>
    <w:rsid w:val="1201BCB8"/>
    <w:rsid w:val="12C7B5B4"/>
    <w:rsid w:val="13ADC657"/>
    <w:rsid w:val="1424D37C"/>
    <w:rsid w:val="16FD718F"/>
    <w:rsid w:val="170B4F09"/>
    <w:rsid w:val="17640763"/>
    <w:rsid w:val="17D69DAE"/>
    <w:rsid w:val="180FE481"/>
    <w:rsid w:val="19EE012B"/>
    <w:rsid w:val="1B351CE2"/>
    <w:rsid w:val="1B50A408"/>
    <w:rsid w:val="1B567FEE"/>
    <w:rsid w:val="1BE92094"/>
    <w:rsid w:val="1C80B62D"/>
    <w:rsid w:val="1E3E22A2"/>
    <w:rsid w:val="1F4FCC05"/>
    <w:rsid w:val="1F6566F7"/>
    <w:rsid w:val="206B32A5"/>
    <w:rsid w:val="2090A4A5"/>
    <w:rsid w:val="20ED7504"/>
    <w:rsid w:val="210F4CFF"/>
    <w:rsid w:val="24F10999"/>
    <w:rsid w:val="25A6C4CB"/>
    <w:rsid w:val="25D84EBC"/>
    <w:rsid w:val="262250F7"/>
    <w:rsid w:val="27E2EDE2"/>
    <w:rsid w:val="281466C9"/>
    <w:rsid w:val="285D21F1"/>
    <w:rsid w:val="290FEDBD"/>
    <w:rsid w:val="2A27473F"/>
    <w:rsid w:val="2D23D9B7"/>
    <w:rsid w:val="30566228"/>
    <w:rsid w:val="312A577F"/>
    <w:rsid w:val="34484BC1"/>
    <w:rsid w:val="36DD4507"/>
    <w:rsid w:val="386456C0"/>
    <w:rsid w:val="3898C33F"/>
    <w:rsid w:val="394166BC"/>
    <w:rsid w:val="395C7E4C"/>
    <w:rsid w:val="396FCBB9"/>
    <w:rsid w:val="39B9EEB7"/>
    <w:rsid w:val="3A0394A3"/>
    <w:rsid w:val="3A52B8B3"/>
    <w:rsid w:val="3BBCA693"/>
    <w:rsid w:val="3E185315"/>
    <w:rsid w:val="3E7A4FB1"/>
    <w:rsid w:val="3F96360D"/>
    <w:rsid w:val="40385EBA"/>
    <w:rsid w:val="4057D9DD"/>
    <w:rsid w:val="409CEA60"/>
    <w:rsid w:val="41C9E7E4"/>
    <w:rsid w:val="43CCC468"/>
    <w:rsid w:val="454937C3"/>
    <w:rsid w:val="459B0190"/>
    <w:rsid w:val="45DCE5BF"/>
    <w:rsid w:val="4632460C"/>
    <w:rsid w:val="46EEB50A"/>
    <w:rsid w:val="4A08FD04"/>
    <w:rsid w:val="4ABBC4CC"/>
    <w:rsid w:val="4AFB052A"/>
    <w:rsid w:val="4B7FA1FF"/>
    <w:rsid w:val="4C51E911"/>
    <w:rsid w:val="4C570E86"/>
    <w:rsid w:val="4CEA5A04"/>
    <w:rsid w:val="4D5E0E29"/>
    <w:rsid w:val="5008EA62"/>
    <w:rsid w:val="5213654B"/>
    <w:rsid w:val="523E1B49"/>
    <w:rsid w:val="52E72CE6"/>
    <w:rsid w:val="5329A88D"/>
    <w:rsid w:val="5576F9C2"/>
    <w:rsid w:val="55777E54"/>
    <w:rsid w:val="568D0F27"/>
    <w:rsid w:val="5711F5AE"/>
    <w:rsid w:val="5743D992"/>
    <w:rsid w:val="57E711A3"/>
    <w:rsid w:val="59BDFA39"/>
    <w:rsid w:val="5C2FF362"/>
    <w:rsid w:val="5F67E2AB"/>
    <w:rsid w:val="605F641F"/>
    <w:rsid w:val="61D44863"/>
    <w:rsid w:val="61EC9805"/>
    <w:rsid w:val="63109CC9"/>
    <w:rsid w:val="64B17E5B"/>
    <w:rsid w:val="64DB0271"/>
    <w:rsid w:val="65B700BB"/>
    <w:rsid w:val="65CDEB95"/>
    <w:rsid w:val="669BCA77"/>
    <w:rsid w:val="66FB2D22"/>
    <w:rsid w:val="6704282A"/>
    <w:rsid w:val="682313D3"/>
    <w:rsid w:val="68F6290F"/>
    <w:rsid w:val="69389DD8"/>
    <w:rsid w:val="69A0DE81"/>
    <w:rsid w:val="69C3B8EE"/>
    <w:rsid w:val="6A2F2D10"/>
    <w:rsid w:val="6AC29968"/>
    <w:rsid w:val="6B31A10C"/>
    <w:rsid w:val="6B89FC58"/>
    <w:rsid w:val="6BB30DF1"/>
    <w:rsid w:val="6BD5F4CB"/>
    <w:rsid w:val="6C87D7D8"/>
    <w:rsid w:val="6D2CE15B"/>
    <w:rsid w:val="6D9297B4"/>
    <w:rsid w:val="6E8FDDDA"/>
    <w:rsid w:val="6F26CA8F"/>
    <w:rsid w:val="6F8C2E63"/>
    <w:rsid w:val="7086F0BE"/>
    <w:rsid w:val="745D7890"/>
    <w:rsid w:val="765ABC50"/>
    <w:rsid w:val="7A65AD3F"/>
    <w:rsid w:val="7D8A693F"/>
    <w:rsid w:val="7DEF3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7DBC"/>
  <w15:docId w15:val="{583F52DF-844D-4D73-811E-F88BDB32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5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5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55E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55E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55E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55E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55E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55E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55E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55E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55E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55E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55E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55E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55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55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55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55EF"/>
    <w:rPr>
      <w:rFonts w:eastAsiaTheme="majorEastAsia" w:cstheme="majorBidi"/>
      <w:color w:val="272727" w:themeColor="text1" w:themeTint="D8"/>
    </w:rPr>
  </w:style>
  <w:style w:type="paragraph" w:styleId="Titre">
    <w:name w:val="Title"/>
    <w:basedOn w:val="Normal"/>
    <w:next w:val="Normal"/>
    <w:link w:val="TitreCar"/>
    <w:uiPriority w:val="10"/>
    <w:qFormat/>
    <w:rsid w:val="00C05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55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55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55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55EF"/>
    <w:pPr>
      <w:spacing w:before="160"/>
      <w:jc w:val="center"/>
    </w:pPr>
    <w:rPr>
      <w:i/>
      <w:iCs/>
      <w:color w:val="404040" w:themeColor="text1" w:themeTint="BF"/>
    </w:rPr>
  </w:style>
  <w:style w:type="character" w:customStyle="1" w:styleId="CitationCar">
    <w:name w:val="Citation Car"/>
    <w:basedOn w:val="Policepardfaut"/>
    <w:link w:val="Citation"/>
    <w:uiPriority w:val="29"/>
    <w:rsid w:val="00C055EF"/>
    <w:rPr>
      <w:i/>
      <w:iCs/>
      <w:color w:val="404040" w:themeColor="text1" w:themeTint="BF"/>
    </w:rPr>
  </w:style>
  <w:style w:type="paragraph" w:styleId="Paragraphedeliste">
    <w:name w:val="List Paragraph"/>
    <w:basedOn w:val="Normal"/>
    <w:uiPriority w:val="34"/>
    <w:qFormat/>
    <w:rsid w:val="00C055EF"/>
    <w:pPr>
      <w:ind w:left="720"/>
      <w:contextualSpacing/>
    </w:pPr>
  </w:style>
  <w:style w:type="character" w:styleId="Accentuationintense">
    <w:name w:val="Intense Emphasis"/>
    <w:basedOn w:val="Policepardfaut"/>
    <w:uiPriority w:val="21"/>
    <w:qFormat/>
    <w:rsid w:val="00C055EF"/>
    <w:rPr>
      <w:i/>
      <w:iCs/>
      <w:color w:val="0F4761" w:themeColor="accent1" w:themeShade="BF"/>
    </w:rPr>
  </w:style>
  <w:style w:type="paragraph" w:styleId="Citationintense">
    <w:name w:val="Intense Quote"/>
    <w:basedOn w:val="Normal"/>
    <w:next w:val="Normal"/>
    <w:link w:val="CitationintenseCar"/>
    <w:uiPriority w:val="30"/>
    <w:qFormat/>
    <w:rsid w:val="00C05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55EF"/>
    <w:rPr>
      <w:i/>
      <w:iCs/>
      <w:color w:val="0F4761" w:themeColor="accent1" w:themeShade="BF"/>
    </w:rPr>
  </w:style>
  <w:style w:type="character" w:styleId="Rfrenceintense">
    <w:name w:val="Intense Reference"/>
    <w:basedOn w:val="Policepardfaut"/>
    <w:uiPriority w:val="32"/>
    <w:qFormat/>
    <w:rsid w:val="00C055EF"/>
    <w:rPr>
      <w:b/>
      <w:bCs/>
      <w:smallCaps/>
      <w:color w:val="0F4761" w:themeColor="accent1" w:themeShade="BF"/>
      <w:spacing w:val="5"/>
    </w:rPr>
  </w:style>
  <w:style w:type="paragraph" w:styleId="En-tte">
    <w:name w:val="header"/>
    <w:basedOn w:val="Normal"/>
    <w:link w:val="En-tteCar"/>
    <w:uiPriority w:val="99"/>
    <w:semiHidden/>
    <w:unhideWhenUsed/>
    <w:rsid w:val="00C055E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055EF"/>
  </w:style>
  <w:style w:type="paragraph" w:styleId="Pieddepage">
    <w:name w:val="footer"/>
    <w:basedOn w:val="Normal"/>
    <w:link w:val="PieddepageCar"/>
    <w:uiPriority w:val="99"/>
    <w:semiHidden/>
    <w:unhideWhenUsed/>
    <w:rsid w:val="00C055E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055EF"/>
  </w:style>
  <w:style w:type="table" w:styleId="Grilledutableau">
    <w:name w:val="Table Grid"/>
    <w:basedOn w:val="TableauNormal"/>
    <w:uiPriority w:val="39"/>
    <w:rsid w:val="00C0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819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198D"/>
    <w:rPr>
      <w:sz w:val="20"/>
      <w:szCs w:val="20"/>
    </w:rPr>
  </w:style>
  <w:style w:type="character" w:styleId="Appelnotedebasdep">
    <w:name w:val="footnote reference"/>
    <w:basedOn w:val="Policepardfaut"/>
    <w:uiPriority w:val="99"/>
    <w:semiHidden/>
    <w:unhideWhenUsed/>
    <w:rsid w:val="00A8198D"/>
    <w:rPr>
      <w:vertAlign w:val="superscript"/>
    </w:rPr>
  </w:style>
  <w:style w:type="paragraph" w:customStyle="1" w:styleId="Paragraphe">
    <w:name w:val="Paragraphe"/>
    <w:basedOn w:val="Normal"/>
    <w:link w:val="ParagrapheCar"/>
    <w:qFormat/>
    <w:rsid w:val="009749CC"/>
    <w:pPr>
      <w:jc w:val="both"/>
    </w:pPr>
    <w:rPr>
      <w:rFonts w:ascii="Verdana" w:hAnsi="Verdana" w:cs="Calibri"/>
      <w:kern w:val="0"/>
      <w:sz w:val="20"/>
      <w:szCs w:val="20"/>
      <w14:ligatures w14:val="none"/>
    </w:rPr>
  </w:style>
  <w:style w:type="character" w:customStyle="1" w:styleId="ParagrapheCar">
    <w:name w:val="Paragraphe Car"/>
    <w:basedOn w:val="Policepardfaut"/>
    <w:link w:val="Paragraphe"/>
    <w:rsid w:val="009749CC"/>
    <w:rPr>
      <w:rFonts w:ascii="Verdana" w:hAnsi="Verdana" w:cs="Calibri"/>
      <w:kern w:val="0"/>
      <w:sz w:val="20"/>
      <w:szCs w:val="20"/>
      <w:lang w:val="fr-FR"/>
      <w14:ligatures w14:val="none"/>
    </w:rPr>
  </w:style>
  <w:style w:type="paragraph" w:styleId="TM2">
    <w:name w:val="toc 2"/>
    <w:basedOn w:val="Normal"/>
    <w:next w:val="Normal"/>
    <w:autoRedefine/>
    <w:uiPriority w:val="39"/>
    <w:unhideWhenUsed/>
    <w:rsid w:val="00D8261B"/>
    <w:pPr>
      <w:spacing w:after="100"/>
      <w:ind w:left="220"/>
    </w:pPr>
  </w:style>
  <w:style w:type="character" w:styleId="Lienhypertexte">
    <w:name w:val="Hyperlink"/>
    <w:basedOn w:val="Policepardfaut"/>
    <w:uiPriority w:val="99"/>
    <w:unhideWhenUsed/>
    <w:rsid w:val="00D8261B"/>
    <w:rPr>
      <w:color w:val="467886" w:themeColor="hyperlink"/>
      <w:u w:val="single"/>
    </w:rPr>
  </w:style>
  <w:style w:type="paragraph" w:styleId="Textedebulles">
    <w:name w:val="Balloon Text"/>
    <w:basedOn w:val="Normal"/>
    <w:link w:val="TextedebullesCar"/>
    <w:uiPriority w:val="99"/>
    <w:semiHidden/>
    <w:unhideWhenUsed/>
    <w:rsid w:val="00C57F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7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6022</Words>
  <Characters>33121</Characters>
  <Application>Microsoft Office Word</Application>
  <DocSecurity>0</DocSecurity>
  <Lines>276</Lines>
  <Paragraphs>78</Paragraphs>
  <ScaleCrop>false</ScaleCrop>
  <Company>HP</Company>
  <LinksUpToDate>false</LinksUpToDate>
  <CharactersWithSpaces>39065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N'DIAYE</dc:creator>
  <cp:lastModifiedBy>Gilles RIBOUET</cp:lastModifiedBy>
  <cp:revision>2</cp:revision>
  <dcterms:created xsi:type="dcterms:W3CDTF">2024-11-29T05:41:00Z</dcterms:created>
  <dcterms:modified xsi:type="dcterms:W3CDTF">2024-11-29T05:41:00Z</dcterms:modified>
</cp:coreProperties>
</file>