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0F0DA25" w:rsidR="00EC22CC" w:rsidRDefault="000772A0" w:rsidP="00854EEA">
            <w:pPr>
              <w:jc w:val="center"/>
              <w:rPr>
                <w:rFonts w:ascii="Verdana" w:hAnsi="Verdana"/>
                <w:b/>
                <w:bCs/>
                <w:sz w:val="20"/>
                <w:szCs w:val="20"/>
              </w:rPr>
            </w:pPr>
            <w:r w:rsidRPr="00B90DB3">
              <w:rPr>
                <w:rFonts w:ascii="Verdana" w:hAnsi="Verdana"/>
                <w:b/>
                <w:bCs/>
              </w:rPr>
              <w:t>Au</w:t>
            </w:r>
            <w:r w:rsidR="00BA41E2" w:rsidRPr="00B90DB3">
              <w:rPr>
                <w:rFonts w:ascii="Verdana" w:hAnsi="Verdana"/>
                <w:b/>
                <w:bCs/>
              </w:rPr>
              <w:t xml:space="preserve">dit interne </w:t>
            </w:r>
            <w:r w:rsidR="00614752" w:rsidRPr="00B90DB3">
              <w:rPr>
                <w:rFonts w:ascii="Verdana" w:hAnsi="Verdana"/>
                <w:b/>
                <w:bCs/>
              </w:rPr>
              <w:t>-</w:t>
            </w:r>
            <w:r w:rsidR="00BA41E2" w:rsidRPr="00B90DB3">
              <w:rPr>
                <w:rFonts w:ascii="Verdana" w:hAnsi="Verdana"/>
                <w:b/>
                <w:bCs/>
              </w:rPr>
              <w:t xml:space="preserve"> Comité d’audit et des risques</w:t>
            </w:r>
          </w:p>
        </w:tc>
      </w:tr>
      <w:tr w:rsidR="00DE6EF2" w14:paraId="7F1B63D2" w14:textId="77777777" w:rsidTr="002A0933">
        <w:tc>
          <w:tcPr>
            <w:tcW w:w="7225" w:type="dxa"/>
          </w:tcPr>
          <w:p w14:paraId="056D9B10" w14:textId="2F23BDB0" w:rsidR="00DE6EF2" w:rsidRPr="002A096E" w:rsidRDefault="00784255" w:rsidP="00DE6EF2">
            <w:pPr>
              <w:rPr>
                <w:rFonts w:ascii="Verdana" w:hAnsi="Verdana"/>
                <w:sz w:val="20"/>
                <w:szCs w:val="20"/>
              </w:rPr>
            </w:pPr>
            <w:r>
              <w:rPr>
                <w:rFonts w:ascii="Verdana" w:hAnsi="Verdana"/>
                <w:sz w:val="20"/>
                <w:szCs w:val="20"/>
              </w:rPr>
              <w:t>38</w:t>
            </w:r>
            <w:r w:rsidRPr="00784255">
              <w:rPr>
                <w:rFonts w:ascii="Verdana" w:hAnsi="Verdana"/>
                <w:sz w:val="20"/>
                <w:szCs w:val="20"/>
                <w:vertAlign w:val="superscript"/>
              </w:rPr>
              <w:t>e</w:t>
            </w:r>
            <w:r>
              <w:rPr>
                <w:rFonts w:ascii="Verdana" w:hAnsi="Verdana"/>
                <w:sz w:val="20"/>
                <w:szCs w:val="20"/>
              </w:rPr>
              <w:t xml:space="preserve"> Conseil des ministres de la COI | 16 mai 2024, Maurice</w:t>
            </w:r>
          </w:p>
        </w:tc>
        <w:tc>
          <w:tcPr>
            <w:tcW w:w="1837" w:type="dxa"/>
          </w:tcPr>
          <w:p w14:paraId="58E25D1F" w14:textId="4ACBA8DC" w:rsidR="00DE6EF2" w:rsidRPr="002A0933" w:rsidRDefault="00DE6EF2" w:rsidP="00DE6EF2">
            <w:pPr>
              <w:jc w:val="center"/>
              <w:rPr>
                <w:rFonts w:ascii="Verdana" w:hAnsi="Verdana"/>
                <w:sz w:val="20"/>
                <w:szCs w:val="20"/>
              </w:rPr>
            </w:pPr>
            <w:r w:rsidRPr="002A0933">
              <w:rPr>
                <w:rFonts w:ascii="Verdana" w:hAnsi="Verdana"/>
                <w:sz w:val="20"/>
                <w:szCs w:val="20"/>
              </w:rPr>
              <w:t xml:space="preserve">Point </w:t>
            </w:r>
            <w:r w:rsidR="00BC55B5">
              <w:rPr>
                <w:rFonts w:ascii="Verdana" w:hAnsi="Verdana"/>
                <w:sz w:val="20"/>
                <w:szCs w:val="20"/>
              </w:rPr>
              <w:t>3.</w:t>
            </w:r>
            <w:r w:rsidR="0074043E">
              <w:rPr>
                <w:rFonts w:ascii="Verdana" w:hAnsi="Verdana"/>
                <w:sz w:val="20"/>
                <w:szCs w:val="20"/>
              </w:rPr>
              <w:t>2</w:t>
            </w:r>
          </w:p>
        </w:tc>
      </w:tr>
      <w:tr w:rsidR="00DE6EF2" w14:paraId="537D1DE5" w14:textId="77777777" w:rsidTr="001933F4">
        <w:trPr>
          <w:trHeight w:val="356"/>
        </w:trPr>
        <w:tc>
          <w:tcPr>
            <w:tcW w:w="7225" w:type="dxa"/>
          </w:tcPr>
          <w:p w14:paraId="43DEF09E" w14:textId="71BFB740" w:rsidR="00DE6EF2" w:rsidRPr="00A37C9F" w:rsidRDefault="00DE6EF2" w:rsidP="00DE6EF2">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Nirina RAZAFINTSALAMA</w:t>
            </w:r>
            <w:r w:rsidR="000D7BFD">
              <w:rPr>
                <w:rFonts w:ascii="Verdana" w:hAnsi="Verdana"/>
                <w:sz w:val="20"/>
                <w:szCs w:val="20"/>
              </w:rPr>
              <w:t>, Auditeur interne</w:t>
            </w:r>
          </w:p>
        </w:tc>
        <w:tc>
          <w:tcPr>
            <w:tcW w:w="1837" w:type="dxa"/>
          </w:tcPr>
          <w:p w14:paraId="5AC1AFAB" w14:textId="2CE1624C" w:rsidR="00DE6EF2" w:rsidRPr="002A0933" w:rsidRDefault="000D7BFD" w:rsidP="00DE6EF2">
            <w:pPr>
              <w:jc w:val="center"/>
              <w:rPr>
                <w:rFonts w:ascii="Verdana" w:hAnsi="Verdana"/>
                <w:sz w:val="20"/>
                <w:szCs w:val="20"/>
              </w:rPr>
            </w:pPr>
            <w:r>
              <w:rPr>
                <w:rFonts w:ascii="Verdana" w:hAnsi="Verdana"/>
                <w:sz w:val="20"/>
                <w:szCs w:val="20"/>
              </w:rPr>
              <w:t>Décision</w:t>
            </w:r>
          </w:p>
        </w:tc>
      </w:tr>
      <w:tr w:rsidR="00DE6EF2" w14:paraId="6896DB30" w14:textId="77777777" w:rsidTr="009F5233">
        <w:tc>
          <w:tcPr>
            <w:tcW w:w="9062" w:type="dxa"/>
            <w:gridSpan w:val="2"/>
          </w:tcPr>
          <w:p w14:paraId="0495241B" w14:textId="2420D427" w:rsidR="00DE6EF2" w:rsidRDefault="00DE6EF2" w:rsidP="00DE6EF2">
            <w:pPr>
              <w:rPr>
                <w:rFonts w:ascii="Verdana" w:hAnsi="Verdana"/>
                <w:sz w:val="20"/>
                <w:szCs w:val="20"/>
              </w:rPr>
            </w:pPr>
            <w:r>
              <w:rPr>
                <w:rFonts w:ascii="Verdana" w:hAnsi="Verdana"/>
                <w:i/>
                <w:iCs/>
                <w:sz w:val="20"/>
                <w:szCs w:val="20"/>
              </w:rPr>
              <w:t xml:space="preserve">Version du </w:t>
            </w:r>
            <w:r w:rsidR="00150ED2">
              <w:rPr>
                <w:rFonts w:ascii="Verdana" w:hAnsi="Verdana"/>
                <w:i/>
                <w:iCs/>
                <w:sz w:val="20"/>
                <w:szCs w:val="20"/>
              </w:rPr>
              <w:t>26</w:t>
            </w:r>
            <w:r w:rsidR="00940F28">
              <w:rPr>
                <w:rFonts w:ascii="Verdana" w:hAnsi="Verdana"/>
                <w:i/>
                <w:iCs/>
                <w:sz w:val="20"/>
                <w:szCs w:val="20"/>
              </w:rPr>
              <w:t xml:space="preserve"> avril </w:t>
            </w:r>
            <w:r w:rsidR="00150ED2">
              <w:rPr>
                <w:rFonts w:ascii="Verdana" w:hAnsi="Verdana"/>
                <w:i/>
                <w:iCs/>
                <w:sz w:val="20"/>
                <w:szCs w:val="20"/>
              </w:rPr>
              <w:t>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79270417" w14:textId="13758E70" w:rsidR="003672D5" w:rsidRDefault="003672D5" w:rsidP="003672D5">
      <w:pPr>
        <w:pStyle w:val="Paragraphe"/>
      </w:pPr>
      <w:r>
        <w:t>La réunion du Comité d'Audit et des Risques a porté sur l'évaluation des performances d'audit interne pour 2023-2024, l'examen du rapport des commissaires aux comptes pour l'exercice 2023, le suivi des recommandations d'audit précédentes, ainsi que la présentation des résultats des derniers audits internes et externes. Les discussions ont souligné les avancées notables dans le renforcement du contrôle interne et de la gestion des risques au sein de la COI.</w:t>
      </w:r>
    </w:p>
    <w:p w14:paraId="3F9C4156" w14:textId="7253F28C" w:rsidR="00586E58" w:rsidRPr="0041278C" w:rsidRDefault="003672D5" w:rsidP="003672D5">
      <w:pPr>
        <w:pStyle w:val="Paragraphe"/>
      </w:pPr>
      <w:r>
        <w:t>Durant l'exercice 2023, la COI a réalisé des progrès significatifs en matière de gestion financière, avec une augmentation notable de ses actifs et réserves. Néanmoins, des défis subsistent, notamment dans la gestion des dettes et des risques. Les audits récents ont révélé des secteurs nécessitant des améliorations urgentes, tels que le contrôle interne, la gestion des dépenses inéligibles et les risques de change.</w:t>
      </w:r>
    </w:p>
    <w:p w14:paraId="68009DDB" w14:textId="06AAE9C2" w:rsidR="0008468B" w:rsidRPr="0008468B" w:rsidRDefault="00955BB3" w:rsidP="00A70123">
      <w:pPr>
        <w:pStyle w:val="Titrepartie"/>
      </w:pPr>
      <w:r w:rsidRPr="0008468B">
        <w:t>Etat d’avancement</w:t>
      </w:r>
    </w:p>
    <w:p w14:paraId="42126781" w14:textId="7E2EA46F" w:rsidR="00FF4E50" w:rsidRDefault="00FF4E50" w:rsidP="002C56ED">
      <w:pPr>
        <w:pStyle w:val="Sous-partie2"/>
      </w:pPr>
      <w:r w:rsidRPr="00FF4E50">
        <w:t>États financier</w:t>
      </w:r>
      <w:r w:rsidR="008E4736">
        <w:t xml:space="preserve"> 2023</w:t>
      </w:r>
      <w:r w:rsidRPr="00FF4E50">
        <w:t xml:space="preserve"> et lettre de recommandation de la COI</w:t>
      </w:r>
    </w:p>
    <w:p w14:paraId="7ECEEE46" w14:textId="6371A6D0" w:rsidR="00E0716D" w:rsidRPr="00A0200E" w:rsidRDefault="0094100E" w:rsidP="00FF4E50">
      <w:pPr>
        <w:pStyle w:val="Sous-partie2"/>
        <w:numPr>
          <w:ilvl w:val="0"/>
          <w:numId w:val="0"/>
        </w:numPr>
        <w:rPr>
          <w:color w:val="000000" w:themeColor="text1"/>
        </w:rPr>
      </w:pPr>
      <w:r w:rsidRPr="00A0200E">
        <w:rPr>
          <w:color w:val="000000" w:themeColor="text1"/>
        </w:rPr>
        <w:t>L'année financière 2023 a vu une augmentation des actifs de 1 093 302 EUR</w:t>
      </w:r>
      <w:r w:rsidR="00496792" w:rsidRPr="00A0200E">
        <w:rPr>
          <w:color w:val="000000" w:themeColor="text1"/>
        </w:rPr>
        <w:t xml:space="preserve"> avec </w:t>
      </w:r>
      <w:r w:rsidR="00880AB8" w:rsidRPr="00A0200E">
        <w:rPr>
          <w:color w:val="000000" w:themeColor="text1"/>
        </w:rPr>
        <w:t xml:space="preserve">les capitaux propres </w:t>
      </w:r>
      <w:r w:rsidR="00496792" w:rsidRPr="00A0200E">
        <w:rPr>
          <w:color w:val="000000" w:themeColor="text1"/>
        </w:rPr>
        <w:t>s’élevant à</w:t>
      </w:r>
      <w:r w:rsidR="00880AB8" w:rsidRPr="00A0200E">
        <w:rPr>
          <w:color w:val="000000" w:themeColor="text1"/>
        </w:rPr>
        <w:t xml:space="preserve"> EUR 277,982 pour 2023 (déficit en </w:t>
      </w:r>
      <w:r w:rsidR="00DE5FCA" w:rsidRPr="00A0200E">
        <w:rPr>
          <w:color w:val="000000" w:themeColor="text1"/>
        </w:rPr>
        <w:t>2022 :</w:t>
      </w:r>
      <w:r w:rsidR="00880AB8" w:rsidRPr="00A0200E">
        <w:rPr>
          <w:color w:val="000000" w:themeColor="text1"/>
        </w:rPr>
        <w:t xml:space="preserve"> EUR 17,449).</w:t>
      </w:r>
      <w:r w:rsidR="00496792" w:rsidRPr="00A0200E">
        <w:rPr>
          <w:color w:val="000000" w:themeColor="text1"/>
        </w:rPr>
        <w:t xml:space="preserve"> </w:t>
      </w:r>
      <w:r w:rsidRPr="00A0200E">
        <w:rPr>
          <w:color w:val="000000" w:themeColor="text1"/>
        </w:rPr>
        <w:t xml:space="preserve">Les audits révèlent </w:t>
      </w:r>
      <w:r w:rsidR="00496792" w:rsidRPr="00A0200E">
        <w:rPr>
          <w:color w:val="000000" w:themeColor="text1"/>
        </w:rPr>
        <w:t xml:space="preserve">toutefois </w:t>
      </w:r>
      <w:r w:rsidRPr="00A0200E">
        <w:rPr>
          <w:color w:val="000000" w:themeColor="text1"/>
        </w:rPr>
        <w:t xml:space="preserve">la nécessité d'améliorer la gestion des risques de change et de clarifier les procédures pour la facturation des frais généraux </w:t>
      </w:r>
      <w:r w:rsidR="00276DB2" w:rsidRPr="00A0200E">
        <w:rPr>
          <w:b/>
          <w:bCs/>
          <w:color w:val="000000" w:themeColor="text1"/>
        </w:rPr>
        <w:t>(Annexe 1)</w:t>
      </w:r>
      <w:r w:rsidR="00FD22BC" w:rsidRPr="00A0200E">
        <w:rPr>
          <w:color w:val="000000" w:themeColor="text1"/>
        </w:rPr>
        <w:t xml:space="preserve">. </w:t>
      </w:r>
    </w:p>
    <w:p w14:paraId="577E7EC4" w14:textId="77777777" w:rsidR="00E0716D" w:rsidRDefault="00E0716D" w:rsidP="00FF4E50">
      <w:pPr>
        <w:pStyle w:val="Sous-partie2"/>
        <w:numPr>
          <w:ilvl w:val="0"/>
          <w:numId w:val="0"/>
        </w:numPr>
        <w:rPr>
          <w:color w:val="auto"/>
        </w:rPr>
      </w:pPr>
    </w:p>
    <w:p w14:paraId="7BE0A371" w14:textId="1FE6195C" w:rsidR="00FF4E50" w:rsidRPr="00A0200E" w:rsidRDefault="00496792" w:rsidP="00FF4E50">
      <w:pPr>
        <w:pStyle w:val="Sous-partie2"/>
        <w:numPr>
          <w:ilvl w:val="0"/>
          <w:numId w:val="0"/>
        </w:numPr>
        <w:rPr>
          <w:color w:val="000000" w:themeColor="text1"/>
        </w:rPr>
      </w:pPr>
      <w:r w:rsidRPr="00A0200E">
        <w:rPr>
          <w:color w:val="000000" w:themeColor="text1"/>
        </w:rPr>
        <w:t>L</w:t>
      </w:r>
      <w:r w:rsidR="00A03C44" w:rsidRPr="00A0200E">
        <w:rPr>
          <w:color w:val="000000" w:themeColor="text1"/>
        </w:rPr>
        <w:t>es observations</w:t>
      </w:r>
      <w:r w:rsidR="00FE6112" w:rsidRPr="00A0200E">
        <w:rPr>
          <w:color w:val="000000" w:themeColor="text1"/>
        </w:rPr>
        <w:t xml:space="preserve"> suivantes ont </w:t>
      </w:r>
      <w:r w:rsidRPr="00A0200E">
        <w:rPr>
          <w:color w:val="000000" w:themeColor="text1"/>
        </w:rPr>
        <w:t xml:space="preserve">également </w:t>
      </w:r>
      <w:r w:rsidR="00FE6112" w:rsidRPr="00A0200E">
        <w:rPr>
          <w:color w:val="000000" w:themeColor="text1"/>
        </w:rPr>
        <w:t>été faite</w:t>
      </w:r>
      <w:r w:rsidR="001F23D5">
        <w:rPr>
          <w:color w:val="000000" w:themeColor="text1"/>
        </w:rPr>
        <w:t>s</w:t>
      </w:r>
      <w:r w:rsidR="00E0716D" w:rsidRPr="00A0200E">
        <w:rPr>
          <w:color w:val="000000" w:themeColor="text1"/>
        </w:rPr>
        <w:t xml:space="preserve"> </w:t>
      </w:r>
      <w:r w:rsidR="00E0716D" w:rsidRPr="00A0200E">
        <w:rPr>
          <w:b/>
          <w:bCs/>
          <w:color w:val="000000" w:themeColor="text1"/>
        </w:rPr>
        <w:t>(Annexe 2)</w:t>
      </w:r>
      <w:r w:rsidR="00FE6112" w:rsidRPr="00A0200E">
        <w:rPr>
          <w:color w:val="000000" w:themeColor="text1"/>
        </w:rPr>
        <w:t> :</w:t>
      </w:r>
    </w:p>
    <w:p w14:paraId="358992F3" w14:textId="131D280F" w:rsidR="00C65BC8" w:rsidRPr="00A0200E" w:rsidRDefault="00915C3D" w:rsidP="00915C3D">
      <w:pPr>
        <w:pStyle w:val="Sous-partie2"/>
        <w:numPr>
          <w:ilvl w:val="0"/>
          <w:numId w:val="0"/>
        </w:numPr>
        <w:contextualSpacing w:val="0"/>
        <w:rPr>
          <w:color w:val="000000" w:themeColor="text1"/>
        </w:rPr>
      </w:pPr>
      <w:r w:rsidRPr="00A0200E">
        <w:rPr>
          <w:color w:val="000000" w:themeColor="text1"/>
        </w:rPr>
        <w:t xml:space="preserve">Premièrement, il y a des retards dans la mise en œuvre d'activités essentielles telles que le recrutement de personnel, ce qui menace l'efficacité des opérations. Deuxièmement, l'absence de procédures claires pour la facturation des frais généraux </w:t>
      </w:r>
      <w:r w:rsidR="00496792" w:rsidRPr="00A0200E">
        <w:rPr>
          <w:color w:val="000000" w:themeColor="text1"/>
        </w:rPr>
        <w:t xml:space="preserve">aux projets </w:t>
      </w:r>
      <w:r w:rsidRPr="00A0200E">
        <w:rPr>
          <w:color w:val="000000" w:themeColor="text1"/>
        </w:rPr>
        <w:t>peut compromettre la précision des rapports financiers. Troisièmement, le manuel de procédures administratives et financières n'est pas à jour, ce qui pourrait impacter la transparence des opérations. Enfin, des dépenses inéligibles non résolues avec l'Union européenne pourraient nuire à la réputation de la COI.</w:t>
      </w:r>
    </w:p>
    <w:p w14:paraId="16743E59" w14:textId="6C4B9076" w:rsidR="00155FCA" w:rsidRPr="00A0200E" w:rsidRDefault="00C65BC8" w:rsidP="00155FCA">
      <w:pPr>
        <w:pStyle w:val="Sous-partie2"/>
        <w:numPr>
          <w:ilvl w:val="0"/>
          <w:numId w:val="0"/>
        </w:numPr>
        <w:spacing w:after="120"/>
        <w:contextualSpacing w:val="0"/>
        <w:rPr>
          <w:color w:val="000000" w:themeColor="text1"/>
        </w:rPr>
      </w:pPr>
      <w:r w:rsidRPr="00A0200E">
        <w:rPr>
          <w:color w:val="000000" w:themeColor="text1"/>
        </w:rPr>
        <w:t xml:space="preserve">En effet, la COI a pris des mesures pour résoudre plusieurs problèmes administratifs et financiers. Elle prévoit de renforcer ses équipes en 2024 par le recrutement </w:t>
      </w:r>
      <w:r w:rsidR="00A0200E" w:rsidRPr="00A0200E">
        <w:rPr>
          <w:color w:val="000000" w:themeColor="text1"/>
        </w:rPr>
        <w:t>des</w:t>
      </w:r>
      <w:r w:rsidRPr="00A0200E">
        <w:rPr>
          <w:color w:val="000000" w:themeColor="text1"/>
        </w:rPr>
        <w:t xml:space="preserve"> postes </w:t>
      </w:r>
      <w:r w:rsidR="00496792" w:rsidRPr="00A0200E">
        <w:rPr>
          <w:color w:val="000000" w:themeColor="text1"/>
        </w:rPr>
        <w:t xml:space="preserve">déjà identifiés et approuvés par les États membres </w:t>
      </w:r>
      <w:r w:rsidRPr="00A0200E">
        <w:rPr>
          <w:color w:val="000000" w:themeColor="text1"/>
        </w:rPr>
        <w:t xml:space="preserve">et l'élaboration d'un calendrier de recrutement détaillé. En matière de frais généraux, la COI est en train de développer une politique claire et transparente, avec </w:t>
      </w:r>
      <w:r w:rsidR="00D66E67" w:rsidRPr="00A0200E">
        <w:rPr>
          <w:color w:val="000000" w:themeColor="text1"/>
        </w:rPr>
        <w:t xml:space="preserve">l’appui des </w:t>
      </w:r>
      <w:r w:rsidRPr="00A0200E">
        <w:rPr>
          <w:color w:val="000000" w:themeColor="text1"/>
        </w:rPr>
        <w:t>experts</w:t>
      </w:r>
      <w:r w:rsidR="00D66E67" w:rsidRPr="00A0200E">
        <w:rPr>
          <w:color w:val="000000" w:themeColor="text1"/>
        </w:rPr>
        <w:t xml:space="preserve"> Horizon 2030</w:t>
      </w:r>
      <w:r w:rsidRPr="00A0200E">
        <w:rPr>
          <w:color w:val="000000" w:themeColor="text1"/>
        </w:rPr>
        <w:t>, pour garantir des calculs justifiables</w:t>
      </w:r>
      <w:r w:rsidR="00D66E67" w:rsidRPr="00A0200E">
        <w:rPr>
          <w:color w:val="000000" w:themeColor="text1"/>
        </w:rPr>
        <w:t xml:space="preserve"> et afin de disposer d’un coût unitaire des services apportés par la COI en valorisant le temps des expertises fournies, le coût de fonctionnement et autres services apporté</w:t>
      </w:r>
      <w:r w:rsidR="004F29FA" w:rsidRPr="00A0200E">
        <w:rPr>
          <w:color w:val="000000" w:themeColor="text1"/>
        </w:rPr>
        <w:t>s</w:t>
      </w:r>
      <w:r w:rsidR="00D66E67" w:rsidRPr="00A0200E">
        <w:rPr>
          <w:color w:val="000000" w:themeColor="text1"/>
        </w:rPr>
        <w:t xml:space="preserve"> aux projets</w:t>
      </w:r>
      <w:r w:rsidRPr="00A0200E">
        <w:rPr>
          <w:color w:val="000000" w:themeColor="text1"/>
        </w:rPr>
        <w:t xml:space="preserve">. </w:t>
      </w:r>
      <w:r w:rsidR="005544C3" w:rsidRPr="00A0200E">
        <w:rPr>
          <w:color w:val="000000" w:themeColor="text1"/>
        </w:rPr>
        <w:t xml:space="preserve">Cela </w:t>
      </w:r>
      <w:r w:rsidR="000A079C" w:rsidRPr="00A0200E">
        <w:rPr>
          <w:color w:val="000000" w:themeColor="text1"/>
        </w:rPr>
        <w:t>permettra à</w:t>
      </w:r>
      <w:r w:rsidR="005544C3" w:rsidRPr="00A0200E">
        <w:rPr>
          <w:color w:val="000000" w:themeColor="text1"/>
        </w:rPr>
        <w:t xml:space="preserve"> la COI </w:t>
      </w:r>
      <w:r w:rsidR="000A079C" w:rsidRPr="00A0200E">
        <w:rPr>
          <w:color w:val="000000" w:themeColor="text1"/>
        </w:rPr>
        <w:t>de</w:t>
      </w:r>
      <w:r w:rsidR="005544C3" w:rsidRPr="00A0200E">
        <w:rPr>
          <w:color w:val="000000" w:themeColor="text1"/>
        </w:rPr>
        <w:t xml:space="preserve"> faire valoir ces coûts pour négocier les frais de gestion lors de l’instruction des projets. </w:t>
      </w:r>
      <w:r w:rsidRPr="00A0200E">
        <w:rPr>
          <w:color w:val="000000" w:themeColor="text1"/>
        </w:rPr>
        <w:t>Elle met</w:t>
      </w:r>
      <w:r w:rsidR="004F29FA" w:rsidRPr="00A0200E">
        <w:rPr>
          <w:color w:val="000000" w:themeColor="text1"/>
        </w:rPr>
        <w:t>tra</w:t>
      </w:r>
      <w:r w:rsidRPr="00A0200E">
        <w:rPr>
          <w:color w:val="000000" w:themeColor="text1"/>
        </w:rPr>
        <w:t xml:space="preserve"> également à jour son manuel de procédures, qui sera </w:t>
      </w:r>
      <w:r w:rsidR="004F29FA" w:rsidRPr="00A0200E">
        <w:rPr>
          <w:color w:val="000000" w:themeColor="text1"/>
        </w:rPr>
        <w:t xml:space="preserve">désormais </w:t>
      </w:r>
      <w:r w:rsidRPr="00A0200E">
        <w:rPr>
          <w:color w:val="000000" w:themeColor="text1"/>
        </w:rPr>
        <w:t xml:space="preserve">en deux parties </w:t>
      </w:r>
      <w:r w:rsidR="004F29FA" w:rsidRPr="00A0200E">
        <w:rPr>
          <w:color w:val="000000" w:themeColor="text1"/>
        </w:rPr>
        <w:t xml:space="preserve">afin de prendre en considération le scindement du </w:t>
      </w:r>
      <w:r w:rsidR="00A0200E" w:rsidRPr="00A0200E">
        <w:rPr>
          <w:color w:val="000000" w:themeColor="text1"/>
        </w:rPr>
        <w:t>SAF :</w:t>
      </w:r>
      <w:r w:rsidRPr="00A0200E">
        <w:rPr>
          <w:color w:val="000000" w:themeColor="text1"/>
        </w:rPr>
        <w:t xml:space="preserve"> </w:t>
      </w:r>
      <w:r w:rsidR="004F29FA" w:rsidRPr="00A0200E">
        <w:rPr>
          <w:color w:val="000000" w:themeColor="text1"/>
        </w:rPr>
        <w:t xml:space="preserve">le manuel </w:t>
      </w:r>
      <w:r w:rsidRPr="00A0200E">
        <w:rPr>
          <w:color w:val="000000" w:themeColor="text1"/>
        </w:rPr>
        <w:t xml:space="preserve">"Budget et finance" et </w:t>
      </w:r>
      <w:r w:rsidR="004F29FA" w:rsidRPr="00A0200E">
        <w:rPr>
          <w:color w:val="000000" w:themeColor="text1"/>
        </w:rPr>
        <w:t xml:space="preserve">le manuel </w:t>
      </w:r>
      <w:r w:rsidRPr="00A0200E">
        <w:rPr>
          <w:color w:val="000000" w:themeColor="text1"/>
        </w:rPr>
        <w:t>"Gestion administrative", pour une mise en œuvre immédiate une fois validé</w:t>
      </w:r>
      <w:r w:rsidR="004F29FA" w:rsidRPr="00A0200E">
        <w:rPr>
          <w:color w:val="000000" w:themeColor="text1"/>
        </w:rPr>
        <w:t xml:space="preserve"> par la COI</w:t>
      </w:r>
      <w:r w:rsidRPr="00A0200E">
        <w:rPr>
          <w:color w:val="000000" w:themeColor="text1"/>
        </w:rPr>
        <w:t xml:space="preserve">. </w:t>
      </w:r>
    </w:p>
    <w:p w14:paraId="5C87DDC3" w14:textId="409FEC38" w:rsidR="003C47BC" w:rsidRPr="00A0200E" w:rsidRDefault="00C65BC8" w:rsidP="00155FCA">
      <w:pPr>
        <w:pStyle w:val="Sous-partie2"/>
        <w:numPr>
          <w:ilvl w:val="0"/>
          <w:numId w:val="0"/>
        </w:numPr>
        <w:spacing w:after="120"/>
        <w:contextualSpacing w:val="0"/>
        <w:rPr>
          <w:color w:val="000000" w:themeColor="text1"/>
        </w:rPr>
      </w:pPr>
      <w:r w:rsidRPr="00A0200E">
        <w:rPr>
          <w:color w:val="000000" w:themeColor="text1"/>
        </w:rPr>
        <w:t xml:space="preserve">Concernant les dépenses inéligibles liées aux fonds de l'Union </w:t>
      </w:r>
      <w:r w:rsidR="001F23D5">
        <w:rPr>
          <w:color w:val="000000" w:themeColor="text1"/>
        </w:rPr>
        <w:t>e</w:t>
      </w:r>
      <w:r w:rsidRPr="00A0200E">
        <w:rPr>
          <w:color w:val="000000" w:themeColor="text1"/>
        </w:rPr>
        <w:t xml:space="preserve">uropéenne, la COI </w:t>
      </w:r>
      <w:r w:rsidR="004F29FA" w:rsidRPr="00A0200E">
        <w:rPr>
          <w:color w:val="000000" w:themeColor="text1"/>
        </w:rPr>
        <w:t xml:space="preserve">continue à </w:t>
      </w:r>
      <w:r w:rsidRPr="00A0200E">
        <w:rPr>
          <w:color w:val="000000" w:themeColor="text1"/>
        </w:rPr>
        <w:t xml:space="preserve">les régulariser </w:t>
      </w:r>
      <w:r w:rsidR="004F29FA" w:rsidRPr="00A0200E">
        <w:rPr>
          <w:color w:val="000000" w:themeColor="text1"/>
        </w:rPr>
        <w:t xml:space="preserve">au fur et à mesure </w:t>
      </w:r>
      <w:r w:rsidRPr="00A0200E">
        <w:rPr>
          <w:color w:val="000000" w:themeColor="text1"/>
        </w:rPr>
        <w:t xml:space="preserve">en valorisant les </w:t>
      </w:r>
      <w:r w:rsidR="004F29FA" w:rsidRPr="00A0200E">
        <w:rPr>
          <w:color w:val="000000" w:themeColor="text1"/>
        </w:rPr>
        <w:t xml:space="preserve">autres </w:t>
      </w:r>
      <w:r w:rsidRPr="00A0200E">
        <w:rPr>
          <w:color w:val="000000" w:themeColor="text1"/>
        </w:rPr>
        <w:t xml:space="preserve">contributions apportées dans le cadre </w:t>
      </w:r>
      <w:r w:rsidR="004F29FA" w:rsidRPr="00A0200E">
        <w:rPr>
          <w:color w:val="000000" w:themeColor="text1"/>
        </w:rPr>
        <w:t xml:space="preserve">des </w:t>
      </w:r>
      <w:r w:rsidRPr="00A0200E">
        <w:rPr>
          <w:color w:val="000000" w:themeColor="text1"/>
        </w:rPr>
        <w:t>projets</w:t>
      </w:r>
      <w:r w:rsidR="004F29FA" w:rsidRPr="00A0200E">
        <w:rPr>
          <w:color w:val="000000" w:themeColor="text1"/>
        </w:rPr>
        <w:t xml:space="preserve"> en cours. Cette valorisation en valeur monétaire sera indiquée </w:t>
      </w:r>
      <w:r w:rsidRPr="00A0200E">
        <w:rPr>
          <w:color w:val="000000" w:themeColor="text1"/>
        </w:rPr>
        <w:t>dans les rapports annuels</w:t>
      </w:r>
      <w:r w:rsidR="00155FCA" w:rsidRPr="00A0200E">
        <w:rPr>
          <w:color w:val="000000" w:themeColor="text1"/>
        </w:rPr>
        <w:t>.</w:t>
      </w:r>
    </w:p>
    <w:p w14:paraId="05AAEFC8" w14:textId="7B9AD0F1" w:rsidR="006B3461" w:rsidRPr="00A0200E" w:rsidRDefault="006B3461" w:rsidP="00155FCA">
      <w:pPr>
        <w:pStyle w:val="Sous-partie2"/>
        <w:numPr>
          <w:ilvl w:val="0"/>
          <w:numId w:val="0"/>
        </w:numPr>
        <w:spacing w:after="120"/>
        <w:contextualSpacing w:val="0"/>
        <w:rPr>
          <w:b/>
          <w:bCs/>
          <w:color w:val="000000" w:themeColor="text1"/>
        </w:rPr>
      </w:pPr>
      <w:r w:rsidRPr="00A0200E">
        <w:rPr>
          <w:color w:val="000000" w:themeColor="text1"/>
        </w:rPr>
        <w:lastRenderedPageBreak/>
        <w:t xml:space="preserve">Le comité d’audit et des risques </w:t>
      </w:r>
      <w:r w:rsidR="004F29FA" w:rsidRPr="00A0200E">
        <w:rPr>
          <w:color w:val="000000" w:themeColor="text1"/>
        </w:rPr>
        <w:t xml:space="preserve">a </w:t>
      </w:r>
      <w:r w:rsidRPr="00A0200E">
        <w:rPr>
          <w:color w:val="000000" w:themeColor="text1"/>
        </w:rPr>
        <w:t>pr</w:t>
      </w:r>
      <w:r w:rsidR="003D76A3" w:rsidRPr="00A0200E">
        <w:rPr>
          <w:color w:val="000000" w:themeColor="text1"/>
        </w:rPr>
        <w:t>ésent</w:t>
      </w:r>
      <w:r w:rsidR="001F23D5">
        <w:rPr>
          <w:color w:val="000000" w:themeColor="text1"/>
        </w:rPr>
        <w:t>é</w:t>
      </w:r>
      <w:r w:rsidR="003D76A3" w:rsidRPr="00A0200E">
        <w:rPr>
          <w:color w:val="000000" w:themeColor="text1"/>
        </w:rPr>
        <w:t xml:space="preserve"> ses recommandations dans </w:t>
      </w:r>
      <w:r w:rsidR="004F29FA" w:rsidRPr="00A0200E">
        <w:rPr>
          <w:color w:val="000000" w:themeColor="text1"/>
        </w:rPr>
        <w:t xml:space="preserve">le </w:t>
      </w:r>
      <w:r w:rsidR="003D76A3" w:rsidRPr="00A0200E">
        <w:rPr>
          <w:color w:val="000000" w:themeColor="text1"/>
        </w:rPr>
        <w:t>procès-verbal de la réunio</w:t>
      </w:r>
      <w:r w:rsidR="00276DB2" w:rsidRPr="00A0200E">
        <w:rPr>
          <w:color w:val="000000" w:themeColor="text1"/>
        </w:rPr>
        <w:t>n</w:t>
      </w:r>
      <w:r w:rsidR="003672D5" w:rsidRPr="00A0200E">
        <w:rPr>
          <w:color w:val="000000" w:themeColor="text1"/>
        </w:rPr>
        <w:t xml:space="preserve"> (</w:t>
      </w:r>
      <w:r w:rsidR="003672D5" w:rsidRPr="00A0200E">
        <w:rPr>
          <w:b/>
          <w:bCs/>
          <w:color w:val="000000" w:themeColor="text1"/>
        </w:rPr>
        <w:t>A</w:t>
      </w:r>
      <w:r w:rsidR="00276DB2" w:rsidRPr="00A0200E">
        <w:rPr>
          <w:b/>
          <w:bCs/>
          <w:color w:val="000000" w:themeColor="text1"/>
        </w:rPr>
        <w:t>nnexe 3</w:t>
      </w:r>
      <w:r w:rsidR="003672D5" w:rsidRPr="00A0200E">
        <w:rPr>
          <w:b/>
          <w:bCs/>
          <w:color w:val="000000" w:themeColor="text1"/>
        </w:rPr>
        <w:t>).</w:t>
      </w:r>
    </w:p>
    <w:p w14:paraId="48AB0783" w14:textId="4D5B8312" w:rsidR="00426673" w:rsidRPr="00426673" w:rsidRDefault="00810960" w:rsidP="002C56ED">
      <w:pPr>
        <w:pStyle w:val="Sous-partie2"/>
      </w:pPr>
      <w:r>
        <w:t>Audit interne</w:t>
      </w:r>
    </w:p>
    <w:p w14:paraId="6BD6DB60" w14:textId="234A1972" w:rsidR="00A53A10" w:rsidRPr="00A53A10" w:rsidRDefault="00A53A10" w:rsidP="00A53A10">
      <w:pPr>
        <w:pStyle w:val="Paragraphe"/>
        <w:ind w:firstLine="708"/>
        <w:rPr>
          <w:b/>
          <w:bCs/>
          <w:shd w:val="clear" w:color="auto" w:fill="FFFFFF"/>
        </w:rPr>
      </w:pPr>
      <w:r w:rsidRPr="00A53A10">
        <w:rPr>
          <w:b/>
          <w:bCs/>
          <w:shd w:val="clear" w:color="auto" w:fill="FFFFFF"/>
        </w:rPr>
        <w:t xml:space="preserve">Performance et Implication stratégique : </w:t>
      </w:r>
    </w:p>
    <w:p w14:paraId="4CCB9FD8" w14:textId="23FE3F80" w:rsidR="00C16F66" w:rsidRPr="00C16F66" w:rsidRDefault="00C16F66" w:rsidP="00C16F66">
      <w:pPr>
        <w:pStyle w:val="Paragraphe"/>
        <w:rPr>
          <w:shd w:val="clear" w:color="auto" w:fill="FFFFFF"/>
        </w:rPr>
      </w:pPr>
      <w:r w:rsidRPr="00C16F66">
        <w:rPr>
          <w:shd w:val="clear" w:color="auto" w:fill="FFFFFF"/>
        </w:rPr>
        <w:t xml:space="preserve">Le service d'audit interne a dépassé la moyenne annuelle de réalisation, qui se situe </w:t>
      </w:r>
      <w:r w:rsidR="00B17C8E">
        <w:rPr>
          <w:shd w:val="clear" w:color="auto" w:fill="FFFFFF"/>
        </w:rPr>
        <w:t>habituellement</w:t>
      </w:r>
      <w:r w:rsidRPr="00C16F66">
        <w:rPr>
          <w:shd w:val="clear" w:color="auto" w:fill="FFFFFF"/>
        </w:rPr>
        <w:t xml:space="preserve"> entre </w:t>
      </w:r>
      <w:r w:rsidR="00B17C8E">
        <w:rPr>
          <w:shd w:val="clear" w:color="auto" w:fill="FFFFFF"/>
        </w:rPr>
        <w:t>10</w:t>
      </w:r>
      <w:r w:rsidRPr="00C16F66">
        <w:rPr>
          <w:shd w:val="clear" w:color="auto" w:fill="FFFFFF"/>
        </w:rPr>
        <w:t xml:space="preserve"> et 1</w:t>
      </w:r>
      <w:r w:rsidR="00B17C8E">
        <w:rPr>
          <w:shd w:val="clear" w:color="auto" w:fill="FFFFFF"/>
        </w:rPr>
        <w:t>2</w:t>
      </w:r>
      <w:r w:rsidRPr="00C16F66">
        <w:rPr>
          <w:shd w:val="clear" w:color="auto" w:fill="FFFFFF"/>
        </w:rPr>
        <w:t xml:space="preserve"> missions. La réalisation effective s'établit à 14 missions sur 17 envisageables, soit un taux de réussite de 82,35%, reflétant une efficacité et une adaptabilité remarquables face aux défis rencontrés.</w:t>
      </w:r>
    </w:p>
    <w:p w14:paraId="3ABFF324" w14:textId="0F3226F2" w:rsidR="00C16F66" w:rsidRDefault="00C16F66" w:rsidP="00C16F66">
      <w:pPr>
        <w:pStyle w:val="Paragraphe"/>
        <w:rPr>
          <w:shd w:val="clear" w:color="auto" w:fill="FFFFFF"/>
        </w:rPr>
      </w:pPr>
      <w:r w:rsidRPr="00C16F66">
        <w:rPr>
          <w:shd w:val="clear" w:color="auto" w:fill="FFFFFF"/>
        </w:rPr>
        <w:t>En parallèle, le service d'audit interne a joué un rôle consultatif crucial dans le cadre du projet Horizon 2030, notamment en contribuant au comité d'accréditation créé par le SG-COI pour évaluer les besoins de modernisation de l'organisation. Cette collaboration s'est étendue à la préparation et la réponse aux interrogations de l</w:t>
      </w:r>
      <w:proofErr w:type="gramStart"/>
      <w:r w:rsidRPr="00C16F66">
        <w:rPr>
          <w:shd w:val="clear" w:color="auto" w:fill="FFFFFF"/>
        </w:rPr>
        <w:t>’«</w:t>
      </w:r>
      <w:proofErr w:type="gramEnd"/>
      <w:r w:rsidRPr="00C16F66">
        <w:rPr>
          <w:shd w:val="clear" w:color="auto" w:fill="FFFFFF"/>
        </w:rPr>
        <w:t xml:space="preserve"> accréditation panel » du Fonds vert pour le climat.</w:t>
      </w:r>
    </w:p>
    <w:p w14:paraId="706ECD95" w14:textId="3A5F8212" w:rsidR="00BC145A" w:rsidRPr="00C16F66" w:rsidRDefault="001939B1" w:rsidP="00C16F66">
      <w:pPr>
        <w:pStyle w:val="Paragraphe"/>
        <w:rPr>
          <w:shd w:val="clear" w:color="auto" w:fill="FFFFFF"/>
        </w:rPr>
      </w:pPr>
      <w:r w:rsidRPr="001939B1">
        <w:rPr>
          <w:shd w:val="clear" w:color="auto" w:fill="FFFFFF"/>
        </w:rPr>
        <w:t>Ces activités montrent que le service d'audit interne ne se contente pas de surpasser ses objectifs d'audit, mais contribue également de manière significative à la modernisation de la COI, renforçant ainsi la gouvernance et la gestion des risques de l'organisation</w:t>
      </w:r>
      <w:r w:rsidR="00BC145A" w:rsidRPr="00BC145A">
        <w:rPr>
          <w:shd w:val="clear" w:color="auto" w:fill="FFFFFF"/>
        </w:rPr>
        <w:t>.</w:t>
      </w:r>
    </w:p>
    <w:p w14:paraId="70DF8577" w14:textId="77777777" w:rsidR="00C16F66" w:rsidRPr="00A53A10" w:rsidRDefault="00C16F66" w:rsidP="00A53A10">
      <w:pPr>
        <w:pStyle w:val="Paragraphe"/>
        <w:ind w:firstLine="708"/>
        <w:rPr>
          <w:b/>
          <w:bCs/>
          <w:shd w:val="clear" w:color="auto" w:fill="FFFFFF"/>
        </w:rPr>
      </w:pPr>
      <w:r w:rsidRPr="00A53A10">
        <w:rPr>
          <w:b/>
          <w:bCs/>
          <w:shd w:val="clear" w:color="auto" w:fill="FFFFFF"/>
        </w:rPr>
        <w:t>Collaboration et Renforcement des Capacités :</w:t>
      </w:r>
    </w:p>
    <w:p w14:paraId="574A8C56" w14:textId="6CBEE7C7" w:rsidR="00C16F66" w:rsidRDefault="00C16F66" w:rsidP="00C16F66">
      <w:pPr>
        <w:pStyle w:val="Paragraphe"/>
        <w:rPr>
          <w:shd w:val="clear" w:color="auto" w:fill="FFFFFF"/>
        </w:rPr>
      </w:pPr>
      <w:r w:rsidRPr="00C16F66">
        <w:rPr>
          <w:shd w:val="clear" w:color="auto" w:fill="FFFFFF"/>
        </w:rPr>
        <w:t>Les assistants techniques du projet Horizon 2030 ont travaillé en étroite collaboration avec le service d'audit interne, contribuant au renforcement du système de contrôle interne. Ce partenariat a porté sur les réponses au questionnaire des 9 piliers d'accréditation de l'Union européenne, englobant des domaines clés tels que le contrôle interne, la comptabilité, l'audit indépendant, les subventions, la passation de marché, et la protection des données</w:t>
      </w:r>
      <w:r w:rsidR="00A53A10">
        <w:rPr>
          <w:shd w:val="clear" w:color="auto" w:fill="FFFFFF"/>
        </w:rPr>
        <w:t>.</w:t>
      </w:r>
    </w:p>
    <w:p w14:paraId="54854EB5" w14:textId="49AB4384" w:rsidR="002C56ED" w:rsidRPr="00A76B07" w:rsidRDefault="007C68C7" w:rsidP="00A76B07">
      <w:pPr>
        <w:pStyle w:val="Sous-partie2"/>
      </w:pPr>
      <w:r>
        <w:t xml:space="preserve">Audit </w:t>
      </w:r>
      <w:r w:rsidR="001F23D5">
        <w:t>e</w:t>
      </w:r>
      <w:r>
        <w:t>xterne</w:t>
      </w:r>
    </w:p>
    <w:p w14:paraId="21875958" w14:textId="0F54FCFD" w:rsidR="002C56ED" w:rsidRDefault="00197B73" w:rsidP="002C56ED">
      <w:pPr>
        <w:pStyle w:val="Paragraphe"/>
        <w:rPr>
          <w:shd w:val="clear" w:color="auto" w:fill="FFFFFF"/>
        </w:rPr>
      </w:pPr>
      <w:r w:rsidRPr="00197B73">
        <w:t>L</w:t>
      </w:r>
      <w:r>
        <w:t xml:space="preserve">es </w:t>
      </w:r>
      <w:r w:rsidRPr="00197B73">
        <w:t>audit</w:t>
      </w:r>
      <w:r>
        <w:t>s</w:t>
      </w:r>
      <w:r w:rsidRPr="00197B73">
        <w:t xml:space="preserve"> externe</w:t>
      </w:r>
      <w:r>
        <w:t>s au niveau des projets gérés par la COI ont</w:t>
      </w:r>
      <w:r w:rsidRPr="00197B73">
        <w:t xml:space="preserve"> identifié de</w:t>
      </w:r>
      <w:r w:rsidR="002061D9">
        <w:t xml:space="preserve">s </w:t>
      </w:r>
      <w:r w:rsidRPr="00197B73">
        <w:t>lacunes dans le système de contrôle interne, menaçant l'atteinte des objectifs d</w:t>
      </w:r>
      <w:r w:rsidR="002061D9">
        <w:t>es</w:t>
      </w:r>
      <w:r w:rsidRPr="00197B73">
        <w:t xml:space="preserve"> projet</w:t>
      </w:r>
      <w:r w:rsidR="002061D9">
        <w:t>s</w:t>
      </w:r>
      <w:r w:rsidRPr="00197B73">
        <w:t>. Il a été recommandé de prendre rapidement des mesures pour solidifier la comptabilité, améliorer la surveillance des dépenses et le suivi contractuel. Les actions préconisées comprennent la création d'une piste d'audit transparente, la vérification systématique des factures avant paiement, et la mise en place de procédures formelles pour le suivi des services contractuels.</w:t>
      </w:r>
      <w:r w:rsidR="00A4348A" w:rsidRPr="00A4348A">
        <w:rPr>
          <w:rFonts w:ascii="Arial" w:hAnsi="Arial" w:cs="Arial"/>
        </w:rPr>
        <w:t>​​</w:t>
      </w:r>
    </w:p>
    <w:p w14:paraId="5645E92B" w14:textId="32CB012E" w:rsidR="007C68C7" w:rsidRPr="00A76B07" w:rsidRDefault="007C68C7" w:rsidP="008E3354">
      <w:pPr>
        <w:pStyle w:val="Sous-partie2"/>
      </w:pPr>
      <w:r>
        <w:t>Suivi des recommandations</w:t>
      </w:r>
    </w:p>
    <w:p w14:paraId="6C4EB565" w14:textId="63CA5A6D" w:rsidR="00690200" w:rsidRPr="00690200" w:rsidRDefault="00690200" w:rsidP="008E3354">
      <w:pPr>
        <w:jc w:val="both"/>
        <w:rPr>
          <w:rFonts w:ascii="Verdana" w:hAnsi="Verdana" w:cs="Calibri"/>
          <w:sz w:val="10"/>
          <w:szCs w:val="10"/>
        </w:rPr>
      </w:pPr>
      <w:r w:rsidRPr="00690200">
        <w:rPr>
          <w:rFonts w:ascii="Verdana" w:hAnsi="Verdana" w:cs="Calibri"/>
          <w:noProof/>
          <w:sz w:val="20"/>
          <w:szCs w:val="20"/>
        </w:rPr>
        <w:drawing>
          <wp:inline distT="0" distB="0" distL="0" distR="0" wp14:anchorId="64FBF8E3" wp14:editId="574311AD">
            <wp:extent cx="5760720" cy="2674620"/>
            <wp:effectExtent l="0" t="0" r="11430" b="11430"/>
            <wp:docPr id="227372428" name="Graphique 1">
              <a:extLst xmlns:a="http://schemas.openxmlformats.org/drawingml/2006/main">
                <a:ext uri="{FF2B5EF4-FFF2-40B4-BE49-F238E27FC236}">
                  <a16:creationId xmlns:a16="http://schemas.microsoft.com/office/drawing/2014/main" id="{F6FB88FE-79C5-D905-0A16-1018C4BC40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4F8498" w14:textId="351C1E63" w:rsidR="00955BB3" w:rsidRDefault="00A4348A" w:rsidP="001933F4">
      <w:pPr>
        <w:spacing w:line="360" w:lineRule="auto"/>
        <w:jc w:val="both"/>
        <w:rPr>
          <w:rFonts w:ascii="Verdana" w:hAnsi="Verdana" w:cs="Calibri"/>
          <w:sz w:val="20"/>
          <w:szCs w:val="20"/>
        </w:rPr>
      </w:pPr>
      <w:r w:rsidRPr="00A4348A">
        <w:rPr>
          <w:rFonts w:ascii="Verdana" w:hAnsi="Verdana" w:cs="Calibri"/>
          <w:sz w:val="20"/>
          <w:szCs w:val="20"/>
        </w:rPr>
        <w:lastRenderedPageBreak/>
        <w:t>Des mesures sont en cours pour adresser les recommandations issues des audits précédents</w:t>
      </w:r>
      <w:r w:rsidR="00FC2FCB">
        <w:rPr>
          <w:rFonts w:ascii="Verdana" w:hAnsi="Verdana" w:cs="Calibri"/>
          <w:sz w:val="20"/>
          <w:szCs w:val="20"/>
        </w:rPr>
        <w:t xml:space="preserve"> (2020-2023)</w:t>
      </w:r>
      <w:r w:rsidRPr="00A4348A">
        <w:rPr>
          <w:rFonts w:ascii="Verdana" w:hAnsi="Verdana" w:cs="Calibri"/>
          <w:sz w:val="20"/>
          <w:szCs w:val="20"/>
        </w:rPr>
        <w:t>, y compris la modernisation des bases de données et des procédures administratives</w:t>
      </w:r>
      <w:r w:rsidRPr="00A4348A">
        <w:rPr>
          <w:rFonts w:ascii="Arial" w:hAnsi="Arial" w:cs="Arial"/>
          <w:sz w:val="20"/>
          <w:szCs w:val="20"/>
        </w:rPr>
        <w:t>​​</w:t>
      </w:r>
      <w:r w:rsidR="008E3354" w:rsidRPr="008E3354">
        <w:rPr>
          <w:rFonts w:ascii="Verdana" w:hAnsi="Verdana" w:cs="Calibri"/>
          <w:sz w:val="20"/>
          <w:szCs w:val="20"/>
        </w:rPr>
        <w:t>.</w:t>
      </w:r>
    </w:p>
    <w:p w14:paraId="517FFBC4" w14:textId="1C6DD201" w:rsidR="00690200" w:rsidRDefault="007B0042" w:rsidP="007B0042">
      <w:pPr>
        <w:jc w:val="both"/>
        <w:rPr>
          <w:rFonts w:ascii="Verdana" w:hAnsi="Verdana" w:cs="Calibri"/>
          <w:sz w:val="20"/>
          <w:szCs w:val="20"/>
        </w:rPr>
      </w:pPr>
      <w:r w:rsidRPr="004019E1">
        <w:rPr>
          <w:rFonts w:ascii="Verdana" w:hAnsi="Verdana" w:cs="Calibri"/>
          <w:sz w:val="20"/>
          <w:szCs w:val="20"/>
        </w:rPr>
        <w:t>Insister sur une mise en œuvre rapide et complète des recommandations d'audit pour adresser les faiblesses du contrôle interne et améliorer la gestion des risques, en particulier celles non encore totalement appliquées.</w:t>
      </w:r>
    </w:p>
    <w:p w14:paraId="0CD18AB8" w14:textId="32BBF86F" w:rsidR="00CE03CA" w:rsidRDefault="00CE03CA" w:rsidP="007F49C1">
      <w:pPr>
        <w:pStyle w:val="Sous-partie2"/>
      </w:pPr>
      <w:r>
        <w:t>Renforcement du système de contrôle interne</w:t>
      </w:r>
    </w:p>
    <w:p w14:paraId="11B93993" w14:textId="77777777" w:rsidR="0098611F" w:rsidRPr="0098611F" w:rsidRDefault="0098611F" w:rsidP="0098611F">
      <w:pPr>
        <w:jc w:val="both"/>
        <w:rPr>
          <w:rFonts w:ascii="Verdana" w:hAnsi="Verdana" w:cs="Calibri"/>
          <w:sz w:val="20"/>
          <w:szCs w:val="20"/>
        </w:rPr>
      </w:pPr>
      <w:r w:rsidRPr="0098611F">
        <w:rPr>
          <w:rFonts w:ascii="Verdana" w:hAnsi="Verdana" w:cs="Calibri"/>
          <w:sz w:val="20"/>
          <w:szCs w:val="20"/>
        </w:rPr>
        <w:t>La présentation sur l'environnement de contrôle interne a mis en avant l'intégration des normes COSO, soulignant l'importance de renforcer la gestion des risques et la gouvernance. Des initiatives clés pour améliorer le contrôle interne ont été abordées, notamment par l'automatisation des contrôles et des évaluations régulières de leur efficacité pour garantir leur performance continue.</w:t>
      </w:r>
    </w:p>
    <w:p w14:paraId="519CBD5F" w14:textId="77777777" w:rsidR="0098611F" w:rsidRPr="0098611F" w:rsidRDefault="0098611F" w:rsidP="0098611F">
      <w:pPr>
        <w:jc w:val="both"/>
        <w:rPr>
          <w:rFonts w:ascii="Verdana" w:hAnsi="Verdana" w:cs="Calibri"/>
          <w:sz w:val="20"/>
          <w:szCs w:val="20"/>
        </w:rPr>
      </w:pPr>
      <w:r w:rsidRPr="0098611F">
        <w:rPr>
          <w:rFonts w:ascii="Verdana" w:hAnsi="Verdana" w:cs="Calibri"/>
          <w:sz w:val="20"/>
          <w:szCs w:val="20"/>
        </w:rPr>
        <w:t>Des progrès significatifs ont été réalisés dans le renforcement du système de contrôle interne. Ces avancées comprennent l'adoption d'un nouveau code d'éthique, la mise en place d'une charte contre les discriminations et le harcèlement, et l'élaboration de procédures dédiées aux lanceurs d'alerte et aux investigations. Le règlement intérieur du comité d'audit et des risques a également été révisé pour mieux définir son rôle en tant qu'organe indépendant supervisant l'application du code d'éthique.</w:t>
      </w:r>
    </w:p>
    <w:p w14:paraId="7563C905" w14:textId="48FF63A9" w:rsidR="00CE03CA" w:rsidRPr="0098611F" w:rsidRDefault="0098611F" w:rsidP="0098611F">
      <w:pPr>
        <w:jc w:val="both"/>
        <w:rPr>
          <w:rFonts w:ascii="Verdana" w:hAnsi="Verdana" w:cs="Calibri"/>
          <w:sz w:val="20"/>
          <w:szCs w:val="20"/>
        </w:rPr>
      </w:pPr>
      <w:r w:rsidRPr="0098611F">
        <w:rPr>
          <w:rFonts w:ascii="Verdana" w:hAnsi="Verdana" w:cs="Calibri"/>
          <w:sz w:val="20"/>
          <w:szCs w:val="20"/>
        </w:rPr>
        <w:t>En complément, les manuels de budget, de finance, de passation de marché, et de contrôle interne ont été mis à jour et approuvés. L'incorporation de modules supplémentaires dans le logiciel SAGE, destinés à la gestion budgétaire, des immobilisations, des paies, et des absences et congés, va encore plus loin dans le renforcement de l'automatisation du contrôle interne, assurant ainsi une meilleure régularité et transparence des opérations.</w:t>
      </w:r>
      <w:r w:rsidR="00CE03CA" w:rsidRPr="0098611F">
        <w:rPr>
          <w:rFonts w:ascii="Arial" w:hAnsi="Arial" w:cs="Arial"/>
          <w:sz w:val="20"/>
          <w:szCs w:val="20"/>
        </w:rPr>
        <w:t>​​</w:t>
      </w:r>
      <w:r w:rsidR="00CE03CA" w:rsidRPr="0098611F">
        <w:rPr>
          <w:rFonts w:ascii="Verdana" w:hAnsi="Verdana" w:cs="Calibri"/>
          <w:sz w:val="20"/>
          <w:szCs w:val="20"/>
        </w:rPr>
        <w:t>.</w:t>
      </w:r>
    </w:p>
    <w:p w14:paraId="6052814A" w14:textId="3A15723B" w:rsidR="00CE03CA" w:rsidRDefault="00CE03CA" w:rsidP="007F49C1">
      <w:pPr>
        <w:pStyle w:val="Sous-partie2"/>
      </w:pPr>
      <w:r>
        <w:t>Gestion des risques</w:t>
      </w:r>
    </w:p>
    <w:p w14:paraId="286FFBE8" w14:textId="31A360D5" w:rsidR="00CE03CA" w:rsidRDefault="004B40B3" w:rsidP="007B0042">
      <w:pPr>
        <w:jc w:val="both"/>
        <w:rPr>
          <w:rFonts w:ascii="Verdana" w:hAnsi="Verdana" w:cs="Calibri"/>
          <w:sz w:val="20"/>
          <w:szCs w:val="20"/>
        </w:rPr>
      </w:pPr>
      <w:r w:rsidRPr="004B40B3">
        <w:rPr>
          <w:rFonts w:ascii="Verdana" w:hAnsi="Verdana" w:cs="Calibri"/>
          <w:sz w:val="20"/>
          <w:szCs w:val="20"/>
        </w:rPr>
        <w:t xml:space="preserve">La </w:t>
      </w:r>
      <w:r>
        <w:rPr>
          <w:rFonts w:ascii="Verdana" w:hAnsi="Verdana" w:cs="Calibri"/>
          <w:sz w:val="20"/>
          <w:szCs w:val="20"/>
        </w:rPr>
        <w:t>COI</w:t>
      </w:r>
      <w:r w:rsidRPr="004B40B3">
        <w:rPr>
          <w:rFonts w:ascii="Verdana" w:hAnsi="Verdana" w:cs="Calibri"/>
          <w:sz w:val="20"/>
          <w:szCs w:val="20"/>
        </w:rPr>
        <w:t xml:space="preserve"> s'efforce de renforcer sa gestion des risques à travers l'implémentation de systèmes robustes et efficaces. Le responsable de la gestion des risques et de la conformité</w:t>
      </w:r>
      <w:r>
        <w:rPr>
          <w:rFonts w:ascii="Verdana" w:hAnsi="Verdana" w:cs="Calibri"/>
          <w:sz w:val="20"/>
          <w:szCs w:val="20"/>
        </w:rPr>
        <w:t>, recrutement en cours,</w:t>
      </w:r>
      <w:r w:rsidRPr="004B40B3">
        <w:rPr>
          <w:rFonts w:ascii="Verdana" w:hAnsi="Verdana" w:cs="Calibri"/>
          <w:sz w:val="20"/>
          <w:szCs w:val="20"/>
        </w:rPr>
        <w:t xml:space="preserve"> </w:t>
      </w:r>
      <w:r>
        <w:rPr>
          <w:rFonts w:ascii="Verdana" w:hAnsi="Verdana" w:cs="Calibri"/>
          <w:sz w:val="20"/>
          <w:szCs w:val="20"/>
        </w:rPr>
        <w:t>sera</w:t>
      </w:r>
      <w:r w:rsidRPr="004B40B3">
        <w:rPr>
          <w:rFonts w:ascii="Verdana" w:hAnsi="Verdana" w:cs="Calibri"/>
          <w:sz w:val="20"/>
          <w:szCs w:val="20"/>
        </w:rPr>
        <w:t xml:space="preserve"> chargé d'actualiser le cadre de gestion des risques organisationnels et de centraliser les registres des risques pour l'ensemble des projets, assurant ainsi une surveillance et une évaluation consolidées des risques à travers l'organisation</w:t>
      </w:r>
      <w:r w:rsidR="008624D4">
        <w:rPr>
          <w:rFonts w:ascii="Verdana" w:hAnsi="Verdana" w:cs="Calibri"/>
          <w:sz w:val="20"/>
          <w:szCs w:val="20"/>
        </w:rPr>
        <w:t>.</w:t>
      </w:r>
    </w:p>
    <w:p w14:paraId="26A67024" w14:textId="526E57AA" w:rsidR="00E52DED" w:rsidRDefault="00E52DED" w:rsidP="00E52DED">
      <w:pPr>
        <w:pStyle w:val="Sous-partie2"/>
      </w:pPr>
      <w:r>
        <w:t>Comité d’audit et des risques</w:t>
      </w:r>
    </w:p>
    <w:p w14:paraId="3F9B5CA0" w14:textId="77777777" w:rsidR="00E52DED" w:rsidRDefault="00E52DED" w:rsidP="00E52DED">
      <w:pPr>
        <w:pStyle w:val="Sous-partie2"/>
        <w:numPr>
          <w:ilvl w:val="0"/>
          <w:numId w:val="0"/>
        </w:numPr>
      </w:pPr>
    </w:p>
    <w:p w14:paraId="3FB000C7" w14:textId="4AD8233A" w:rsidR="00182C60" w:rsidRDefault="00756819" w:rsidP="00E52DED">
      <w:pPr>
        <w:pStyle w:val="Sous-partie2"/>
        <w:numPr>
          <w:ilvl w:val="0"/>
          <w:numId w:val="0"/>
        </w:numPr>
        <w:rPr>
          <w:color w:val="000000" w:themeColor="text1"/>
        </w:rPr>
      </w:pPr>
      <w:r w:rsidRPr="00E20E5C">
        <w:rPr>
          <w:color w:val="000000" w:themeColor="text1"/>
        </w:rPr>
        <w:t>Dans le cadre de renforcement du système de contrôle interne et pour se conformer aux bonnes pratiques en matière de</w:t>
      </w:r>
      <w:r w:rsidR="00E20E5C" w:rsidRPr="00E20E5C">
        <w:rPr>
          <w:color w:val="000000" w:themeColor="text1"/>
        </w:rPr>
        <w:t xml:space="preserve"> gouvernance, les rôles et responsabilités suivantes ont été ajoutées dans l’article 11 du règlement intérieur du CAR </w:t>
      </w:r>
      <w:r w:rsidR="003D008A" w:rsidRPr="003D008A">
        <w:rPr>
          <w:b/>
          <w:bCs/>
          <w:color w:val="000000" w:themeColor="text1"/>
        </w:rPr>
        <w:t>(Annexe 4</w:t>
      </w:r>
      <w:proofErr w:type="gramStart"/>
      <w:r w:rsidR="003D008A" w:rsidRPr="003D008A">
        <w:rPr>
          <w:b/>
          <w:bCs/>
          <w:color w:val="000000" w:themeColor="text1"/>
        </w:rPr>
        <w:t>)</w:t>
      </w:r>
      <w:r w:rsidR="00E20E5C" w:rsidRPr="00E20E5C">
        <w:rPr>
          <w:color w:val="000000" w:themeColor="text1"/>
        </w:rPr>
        <w:t>:</w:t>
      </w:r>
      <w:proofErr w:type="gramEnd"/>
    </w:p>
    <w:p w14:paraId="429BF50F" w14:textId="77777777" w:rsidR="00E20E5C" w:rsidRPr="00E20E5C" w:rsidRDefault="00E20E5C" w:rsidP="00E52DED">
      <w:pPr>
        <w:pStyle w:val="Sous-partie2"/>
        <w:numPr>
          <w:ilvl w:val="0"/>
          <w:numId w:val="0"/>
        </w:numPr>
        <w:rPr>
          <w:color w:val="000000" w:themeColor="text1"/>
        </w:rPr>
      </w:pPr>
    </w:p>
    <w:p w14:paraId="5B01F7E2" w14:textId="19B974CE" w:rsidR="00182C60" w:rsidRPr="003C537B" w:rsidRDefault="00182C60" w:rsidP="00182C60">
      <w:pPr>
        <w:pStyle w:val="Sous-partie2"/>
        <w:numPr>
          <w:ilvl w:val="0"/>
          <w:numId w:val="0"/>
        </w:numPr>
        <w:ind w:left="1080" w:hanging="720"/>
        <w:rPr>
          <w:i/>
          <w:iCs/>
          <w:color w:val="000000" w:themeColor="text1"/>
        </w:rPr>
      </w:pPr>
      <w:r w:rsidRPr="003C537B">
        <w:rPr>
          <w:i/>
          <w:iCs/>
          <w:color w:val="000000" w:themeColor="text1"/>
        </w:rPr>
        <w:t>7.</w:t>
      </w:r>
      <w:r w:rsidRPr="003C537B">
        <w:rPr>
          <w:i/>
          <w:iCs/>
          <w:color w:val="000000" w:themeColor="text1"/>
        </w:rPr>
        <w:tab/>
        <w:t>Dans le domaine du respect du code d’éthique et de la charte de lutte contre les discriminations, les harcèlements et les violence sexistes et sexuelles :</w:t>
      </w:r>
    </w:p>
    <w:p w14:paraId="758F75A3" w14:textId="77777777" w:rsidR="00182C60" w:rsidRPr="003C537B" w:rsidRDefault="00182C60" w:rsidP="00182C60">
      <w:pPr>
        <w:pStyle w:val="Sous-partie2"/>
        <w:numPr>
          <w:ilvl w:val="0"/>
          <w:numId w:val="0"/>
        </w:numPr>
        <w:ind w:left="1080"/>
        <w:rPr>
          <w:i/>
          <w:iCs/>
          <w:color w:val="000000" w:themeColor="text1"/>
        </w:rPr>
      </w:pPr>
      <w:r w:rsidRPr="003C537B">
        <w:rPr>
          <w:i/>
          <w:iCs/>
          <w:color w:val="000000" w:themeColor="text1"/>
        </w:rPr>
        <w:t>a.</w:t>
      </w:r>
      <w:r w:rsidRPr="003C537B">
        <w:rPr>
          <w:i/>
          <w:iCs/>
          <w:color w:val="000000" w:themeColor="text1"/>
        </w:rPr>
        <w:tab/>
        <w:t>Examiner de façon indépendante et objective le caractère adéquat et suffisant des mesures adoptées par la COI pour mettre en œuvre et encourager une culture appropriée, fondées sur ses valeurs.</w:t>
      </w:r>
    </w:p>
    <w:p w14:paraId="1BA0D492" w14:textId="77777777" w:rsidR="00182C60" w:rsidRPr="003C537B" w:rsidRDefault="00182C60" w:rsidP="00182C60">
      <w:pPr>
        <w:pStyle w:val="Sous-partie2"/>
        <w:numPr>
          <w:ilvl w:val="0"/>
          <w:numId w:val="0"/>
        </w:numPr>
        <w:ind w:left="1080"/>
        <w:rPr>
          <w:i/>
          <w:iCs/>
          <w:color w:val="000000" w:themeColor="text1"/>
        </w:rPr>
      </w:pPr>
      <w:r w:rsidRPr="003C537B">
        <w:rPr>
          <w:i/>
          <w:iCs/>
          <w:color w:val="000000" w:themeColor="text1"/>
        </w:rPr>
        <w:t>b.</w:t>
      </w:r>
      <w:r w:rsidRPr="003C537B">
        <w:rPr>
          <w:i/>
          <w:iCs/>
          <w:color w:val="000000" w:themeColor="text1"/>
        </w:rPr>
        <w:tab/>
        <w:t>Recommander et surveiller les initiatives, les politiques d’éthique et la culture d’intégrité de la COI soient conformes aux meilleurs standards et pratiques internationaux.</w:t>
      </w:r>
    </w:p>
    <w:p w14:paraId="04079D50" w14:textId="77777777" w:rsidR="00182C60" w:rsidRPr="003C537B" w:rsidRDefault="00182C60" w:rsidP="00182C60">
      <w:pPr>
        <w:pStyle w:val="Sous-partie2"/>
        <w:numPr>
          <w:ilvl w:val="0"/>
          <w:numId w:val="0"/>
        </w:numPr>
        <w:ind w:left="1080"/>
        <w:rPr>
          <w:i/>
          <w:iCs/>
          <w:color w:val="000000" w:themeColor="text1"/>
        </w:rPr>
      </w:pPr>
      <w:r w:rsidRPr="003C537B">
        <w:rPr>
          <w:i/>
          <w:iCs/>
          <w:color w:val="000000" w:themeColor="text1"/>
        </w:rPr>
        <w:t>c.</w:t>
      </w:r>
      <w:r w:rsidRPr="003C537B">
        <w:rPr>
          <w:i/>
          <w:iCs/>
          <w:color w:val="000000" w:themeColor="text1"/>
        </w:rPr>
        <w:tab/>
        <w:t>Evaluer régulièrement l’efficacité des actions et politiques d’éthique et proposera des améliorations si nécessaires.</w:t>
      </w:r>
    </w:p>
    <w:p w14:paraId="332AC959" w14:textId="77777777" w:rsidR="00182C60" w:rsidRPr="003C537B" w:rsidRDefault="00182C60" w:rsidP="00182C60">
      <w:pPr>
        <w:pStyle w:val="Sous-partie2"/>
        <w:numPr>
          <w:ilvl w:val="0"/>
          <w:numId w:val="0"/>
        </w:numPr>
        <w:ind w:left="1080"/>
        <w:rPr>
          <w:i/>
          <w:iCs/>
          <w:color w:val="000000" w:themeColor="text1"/>
        </w:rPr>
      </w:pPr>
      <w:r w:rsidRPr="003C537B">
        <w:rPr>
          <w:i/>
          <w:iCs/>
          <w:color w:val="000000" w:themeColor="text1"/>
        </w:rPr>
        <w:t>d.</w:t>
      </w:r>
      <w:r w:rsidRPr="003C537B">
        <w:rPr>
          <w:i/>
          <w:iCs/>
          <w:color w:val="000000" w:themeColor="text1"/>
        </w:rPr>
        <w:tab/>
        <w:t>Revue des registres de conflits d’intérêts, mise à jour par la COI.</w:t>
      </w:r>
    </w:p>
    <w:p w14:paraId="0B7B3985" w14:textId="77777777" w:rsidR="00182C60" w:rsidRPr="004E0E52" w:rsidRDefault="00182C60" w:rsidP="00182C60">
      <w:pPr>
        <w:pStyle w:val="Sous-partie2"/>
        <w:numPr>
          <w:ilvl w:val="0"/>
          <w:numId w:val="0"/>
        </w:numPr>
        <w:ind w:left="1080"/>
        <w:rPr>
          <w:i/>
          <w:iCs/>
          <w:color w:val="000000" w:themeColor="text1"/>
        </w:rPr>
      </w:pPr>
      <w:r w:rsidRPr="004E0E52">
        <w:rPr>
          <w:i/>
          <w:iCs/>
          <w:color w:val="000000" w:themeColor="text1"/>
        </w:rPr>
        <w:lastRenderedPageBreak/>
        <w:t>e.</w:t>
      </w:r>
      <w:r w:rsidRPr="004E0E52">
        <w:rPr>
          <w:i/>
          <w:iCs/>
          <w:color w:val="000000" w:themeColor="text1"/>
        </w:rPr>
        <w:tab/>
        <w:t>Revue des rapports d’investigation menées par l’Audit interne, notamment vis-à-vis des lanceurs d’alertes.</w:t>
      </w:r>
    </w:p>
    <w:p w14:paraId="3FCEE296" w14:textId="115A6329" w:rsidR="00182C60" w:rsidRDefault="00182C60" w:rsidP="00182C60">
      <w:pPr>
        <w:pStyle w:val="Sous-partie2"/>
        <w:numPr>
          <w:ilvl w:val="0"/>
          <w:numId w:val="0"/>
        </w:numPr>
        <w:ind w:left="708" w:firstLine="348"/>
        <w:rPr>
          <w:i/>
          <w:iCs/>
          <w:color w:val="000000" w:themeColor="text1"/>
        </w:rPr>
      </w:pPr>
      <w:r w:rsidRPr="004E0E52">
        <w:rPr>
          <w:i/>
          <w:iCs/>
          <w:color w:val="000000" w:themeColor="text1"/>
        </w:rPr>
        <w:t>f.</w:t>
      </w:r>
      <w:r w:rsidRPr="004E0E52">
        <w:rPr>
          <w:i/>
          <w:iCs/>
          <w:color w:val="000000" w:themeColor="text1"/>
        </w:rPr>
        <w:tab/>
        <w:t>Revue des rapports d’audit interne afin d’identifier toute observation pouvant avoir un impact sur le cadre éthique de la COI.</w:t>
      </w:r>
    </w:p>
    <w:p w14:paraId="2DD71196" w14:textId="77777777" w:rsidR="00AE0C12" w:rsidRPr="004E0E52" w:rsidRDefault="00AE0C12" w:rsidP="00AE0C12">
      <w:pPr>
        <w:pStyle w:val="Sous-partie2"/>
        <w:numPr>
          <w:ilvl w:val="0"/>
          <w:numId w:val="0"/>
        </w:numPr>
        <w:ind w:left="1080" w:hanging="720"/>
        <w:rPr>
          <w:i/>
          <w:iCs/>
          <w:color w:val="000000" w:themeColor="text1"/>
        </w:rPr>
      </w:pPr>
    </w:p>
    <w:p w14:paraId="2F7F5914" w14:textId="608AD6BB" w:rsidR="00955BB3" w:rsidRPr="0008468B" w:rsidRDefault="00955BB3" w:rsidP="00A70123">
      <w:pPr>
        <w:pStyle w:val="Titrepartie"/>
      </w:pPr>
      <w:r w:rsidRPr="0008468B">
        <w:t>Proposition de décision</w:t>
      </w:r>
    </w:p>
    <w:p w14:paraId="6553DC27" w14:textId="77777777" w:rsidR="00784255" w:rsidRDefault="00784255" w:rsidP="00784255">
      <w:pPr>
        <w:pStyle w:val="Paragraphe"/>
        <w:rPr>
          <w:color w:val="000000" w:themeColor="text1"/>
        </w:rPr>
      </w:pPr>
      <w:r>
        <w:rPr>
          <w:color w:val="000000" w:themeColor="text1"/>
        </w:rPr>
        <w:t xml:space="preserve">Le Conseil des ministres : </w:t>
      </w:r>
    </w:p>
    <w:p w14:paraId="44D84A64" w14:textId="76FEA8F5" w:rsidR="0010308F" w:rsidRDefault="00784255" w:rsidP="0008468B">
      <w:pPr>
        <w:pStyle w:val="Paragraphe"/>
        <w:numPr>
          <w:ilvl w:val="0"/>
          <w:numId w:val="6"/>
        </w:numPr>
        <w:rPr>
          <w:color w:val="000000" w:themeColor="text1"/>
        </w:rPr>
      </w:pPr>
      <w:r>
        <w:rPr>
          <w:color w:val="000000" w:themeColor="text1"/>
        </w:rPr>
        <w:t>Approuve</w:t>
      </w:r>
      <w:r w:rsidR="004A6C70">
        <w:rPr>
          <w:color w:val="000000" w:themeColor="text1"/>
        </w:rPr>
        <w:t xml:space="preserve"> la mise à jour du règlement intérieur du Comité d’audit et des risques</w:t>
      </w:r>
      <w:r w:rsidR="009229F3">
        <w:rPr>
          <w:color w:val="000000" w:themeColor="text1"/>
        </w:rPr>
        <w:t xml:space="preserve"> (CAR)</w:t>
      </w:r>
      <w:r w:rsidR="004A6C70">
        <w:rPr>
          <w:color w:val="000000" w:themeColor="text1"/>
        </w:rPr>
        <w:t> ;</w:t>
      </w:r>
    </w:p>
    <w:p w14:paraId="7AFF4B6D" w14:textId="3799B0F6" w:rsidR="00826C4A" w:rsidRDefault="00784255" w:rsidP="0008468B">
      <w:pPr>
        <w:pStyle w:val="Paragraphe"/>
        <w:numPr>
          <w:ilvl w:val="0"/>
          <w:numId w:val="6"/>
        </w:numPr>
        <w:rPr>
          <w:color w:val="000000" w:themeColor="text1"/>
        </w:rPr>
      </w:pPr>
      <w:r>
        <w:rPr>
          <w:color w:val="000000" w:themeColor="text1"/>
        </w:rPr>
        <w:t>Donne</w:t>
      </w:r>
      <w:r w:rsidR="002A2A51" w:rsidRPr="00A0200E">
        <w:rPr>
          <w:color w:val="000000" w:themeColor="text1"/>
        </w:rPr>
        <w:t xml:space="preserve"> quitus au Secrétaire général sur les états financiers 2023 examinés et validés par le CAR lors de sa réunion d</w:t>
      </w:r>
      <w:r w:rsidR="0034406F">
        <w:rPr>
          <w:color w:val="000000" w:themeColor="text1"/>
        </w:rPr>
        <w:t>es</w:t>
      </w:r>
      <w:r w:rsidR="002A2A51" w:rsidRPr="00A0200E">
        <w:rPr>
          <w:color w:val="000000" w:themeColor="text1"/>
        </w:rPr>
        <w:t xml:space="preserve"> 15-16 avril 2024</w:t>
      </w:r>
      <w:r w:rsidR="0034406F">
        <w:rPr>
          <w:color w:val="000000" w:themeColor="text1"/>
        </w:rPr>
        <w:t>.</w:t>
      </w:r>
    </w:p>
    <w:p w14:paraId="4D197C34" w14:textId="77777777" w:rsidR="00AE0C12" w:rsidRPr="00A0200E" w:rsidRDefault="00AE0C12" w:rsidP="00AE0C12">
      <w:pPr>
        <w:pStyle w:val="Paragraphe"/>
        <w:ind w:left="720"/>
        <w:rPr>
          <w:color w:val="000000" w:themeColor="text1"/>
        </w:rPr>
      </w:pPr>
    </w:p>
    <w:bookmarkEnd w:id="0"/>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16342842" w:rsidR="00C325F5" w:rsidRPr="00A0200E" w:rsidRDefault="00620B90" w:rsidP="00620B90">
      <w:pPr>
        <w:pStyle w:val="Paragraphe"/>
        <w:numPr>
          <w:ilvl w:val="0"/>
          <w:numId w:val="9"/>
        </w:numPr>
        <w:rPr>
          <w:color w:val="000000" w:themeColor="text1"/>
        </w:rPr>
      </w:pPr>
      <w:r w:rsidRPr="00A0200E">
        <w:rPr>
          <w:color w:val="000000" w:themeColor="text1"/>
        </w:rPr>
        <w:t>Annexe 1 :</w:t>
      </w:r>
      <w:r w:rsidR="00353ABF" w:rsidRPr="00A0200E">
        <w:rPr>
          <w:color w:val="000000" w:themeColor="text1"/>
        </w:rPr>
        <w:t xml:space="preserve"> Etat </w:t>
      </w:r>
      <w:r w:rsidR="00826C4A" w:rsidRPr="00A0200E">
        <w:rPr>
          <w:color w:val="000000" w:themeColor="text1"/>
        </w:rPr>
        <w:t>financier</w:t>
      </w:r>
      <w:r w:rsidR="00353ABF" w:rsidRPr="00A0200E">
        <w:rPr>
          <w:color w:val="000000" w:themeColor="text1"/>
        </w:rPr>
        <w:t xml:space="preserve"> </w:t>
      </w:r>
      <w:r w:rsidR="00BC0DAF" w:rsidRPr="00A0200E">
        <w:rPr>
          <w:color w:val="000000" w:themeColor="text1"/>
        </w:rPr>
        <w:t xml:space="preserve">du </w:t>
      </w:r>
      <w:r w:rsidR="00353ABF" w:rsidRPr="00A0200E">
        <w:rPr>
          <w:color w:val="000000" w:themeColor="text1"/>
        </w:rPr>
        <w:t xml:space="preserve">SG-COI </w:t>
      </w:r>
      <w:r w:rsidR="00BC0DAF" w:rsidRPr="00A0200E">
        <w:rPr>
          <w:color w:val="000000" w:themeColor="text1"/>
        </w:rPr>
        <w:t xml:space="preserve">pour </w:t>
      </w:r>
      <w:r w:rsidR="00353ABF" w:rsidRPr="00A0200E">
        <w:rPr>
          <w:color w:val="000000" w:themeColor="text1"/>
        </w:rPr>
        <w:t xml:space="preserve">2023 </w:t>
      </w:r>
      <w:r w:rsidR="00BC0DAF" w:rsidRPr="00A0200E">
        <w:rPr>
          <w:color w:val="000000" w:themeColor="text1"/>
        </w:rPr>
        <w:t>et le</w:t>
      </w:r>
      <w:r w:rsidR="00353ABF" w:rsidRPr="00A0200E">
        <w:rPr>
          <w:color w:val="000000" w:themeColor="text1"/>
        </w:rPr>
        <w:t xml:space="preserve"> Rapport d</w:t>
      </w:r>
      <w:r w:rsidR="00BC0DAF" w:rsidRPr="00A0200E">
        <w:rPr>
          <w:color w:val="000000" w:themeColor="text1"/>
        </w:rPr>
        <w:t>e l’</w:t>
      </w:r>
      <w:r w:rsidR="00353ABF" w:rsidRPr="00A0200E">
        <w:rPr>
          <w:color w:val="000000" w:themeColor="text1"/>
        </w:rPr>
        <w:t>audit externe</w:t>
      </w:r>
    </w:p>
    <w:p w14:paraId="4648F921" w14:textId="1B31BB35" w:rsidR="008F173C" w:rsidRPr="00A0200E" w:rsidRDefault="00620B90" w:rsidP="00620B90">
      <w:pPr>
        <w:pStyle w:val="Paragraphe"/>
        <w:numPr>
          <w:ilvl w:val="0"/>
          <w:numId w:val="9"/>
        </w:numPr>
        <w:rPr>
          <w:color w:val="000000" w:themeColor="text1"/>
        </w:rPr>
      </w:pPr>
      <w:r w:rsidRPr="00A0200E">
        <w:rPr>
          <w:color w:val="000000" w:themeColor="text1"/>
        </w:rPr>
        <w:t xml:space="preserve">Annexe 2 : </w:t>
      </w:r>
      <w:r w:rsidR="00353ABF" w:rsidRPr="005C0457">
        <w:rPr>
          <w:i/>
          <w:iCs/>
          <w:color w:val="000000" w:themeColor="text1"/>
        </w:rPr>
        <w:t xml:space="preserve">Management </w:t>
      </w:r>
      <w:proofErr w:type="spellStart"/>
      <w:r w:rsidR="00826C4A" w:rsidRPr="005C0457">
        <w:rPr>
          <w:i/>
          <w:iCs/>
          <w:color w:val="000000" w:themeColor="text1"/>
        </w:rPr>
        <w:t>lett</w:t>
      </w:r>
      <w:r w:rsidR="00BC0DAF" w:rsidRPr="005C0457">
        <w:rPr>
          <w:i/>
          <w:iCs/>
          <w:color w:val="000000" w:themeColor="text1"/>
        </w:rPr>
        <w:t>er</w:t>
      </w:r>
      <w:proofErr w:type="spellEnd"/>
      <w:r w:rsidR="00FC47CC" w:rsidRPr="00A0200E">
        <w:rPr>
          <w:color w:val="000000" w:themeColor="text1"/>
        </w:rPr>
        <w:t xml:space="preserve"> </w:t>
      </w:r>
      <w:r w:rsidR="00BC0DAF" w:rsidRPr="00A0200E">
        <w:rPr>
          <w:color w:val="000000" w:themeColor="text1"/>
        </w:rPr>
        <w:t xml:space="preserve">pour l’exercice </w:t>
      </w:r>
      <w:r w:rsidR="00FC47CC" w:rsidRPr="00A0200E">
        <w:rPr>
          <w:color w:val="000000" w:themeColor="text1"/>
        </w:rPr>
        <w:t>2023</w:t>
      </w:r>
    </w:p>
    <w:p w14:paraId="2B3A5C61" w14:textId="037FC8B4" w:rsidR="004E1403" w:rsidRPr="00A0200E" w:rsidRDefault="004E1403" w:rsidP="00620B90">
      <w:pPr>
        <w:pStyle w:val="Paragraphe"/>
        <w:numPr>
          <w:ilvl w:val="0"/>
          <w:numId w:val="9"/>
        </w:numPr>
        <w:rPr>
          <w:color w:val="000000" w:themeColor="text1"/>
        </w:rPr>
      </w:pPr>
      <w:r w:rsidRPr="00A0200E">
        <w:rPr>
          <w:color w:val="000000" w:themeColor="text1"/>
        </w:rPr>
        <w:t xml:space="preserve">Annexe 3 : </w:t>
      </w:r>
      <w:r w:rsidR="00826C4A" w:rsidRPr="00A0200E">
        <w:rPr>
          <w:color w:val="000000" w:themeColor="text1"/>
        </w:rPr>
        <w:t>Procès-verbal de la réunion du CAR 15-16 avril 2024</w:t>
      </w:r>
    </w:p>
    <w:p w14:paraId="383F420A" w14:textId="36F00124" w:rsidR="004E0E52" w:rsidRPr="00A0200E" w:rsidRDefault="004E0E52" w:rsidP="00620B90">
      <w:pPr>
        <w:pStyle w:val="Paragraphe"/>
        <w:numPr>
          <w:ilvl w:val="0"/>
          <w:numId w:val="9"/>
        </w:numPr>
        <w:rPr>
          <w:color w:val="000000" w:themeColor="text1"/>
        </w:rPr>
      </w:pPr>
      <w:r w:rsidRPr="00A0200E">
        <w:rPr>
          <w:color w:val="000000" w:themeColor="text1"/>
        </w:rPr>
        <w:t>Annexe 4 : Règlement intérieur du CAR</w:t>
      </w:r>
    </w:p>
    <w:sectPr w:rsidR="004E0E52" w:rsidRPr="00A0200E" w:rsidSect="007A067B">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D4C1A" w14:textId="77777777" w:rsidR="007A067B" w:rsidRDefault="007A067B">
      <w:pPr>
        <w:spacing w:after="0" w:line="240" w:lineRule="auto"/>
      </w:pPr>
      <w:r>
        <w:separator/>
      </w:r>
    </w:p>
  </w:endnote>
  <w:endnote w:type="continuationSeparator" w:id="0">
    <w:p w14:paraId="2DCADC76" w14:textId="77777777" w:rsidR="007A067B" w:rsidRDefault="007A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AEA56" w14:textId="77777777" w:rsidR="007A067B" w:rsidRDefault="007A067B">
      <w:pPr>
        <w:spacing w:after="0" w:line="240" w:lineRule="auto"/>
      </w:pPr>
      <w:r>
        <w:separator/>
      </w:r>
    </w:p>
  </w:footnote>
  <w:footnote w:type="continuationSeparator" w:id="0">
    <w:p w14:paraId="1D32E634" w14:textId="77777777" w:rsidR="007A067B" w:rsidRDefault="007A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759ABFCC"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C55B5">
      <w:rPr>
        <w:rFonts w:ascii="Verdana" w:hAnsi="Verdana"/>
        <w:b/>
        <w:bCs/>
        <w:sz w:val="20"/>
        <w:szCs w:val="20"/>
      </w:rPr>
      <w:t>3.</w:t>
    </w:r>
    <w:r w:rsidR="0074043E">
      <w:rPr>
        <w:rFonts w:ascii="Verdana" w:hAnsi="Verdana"/>
        <w:b/>
        <w:bCs/>
        <w:sz w:val="20"/>
        <w:szCs w:val="20"/>
      </w:rPr>
      <w:t>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47B"/>
    <w:multiLevelType w:val="hybridMultilevel"/>
    <w:tmpl w:val="31C23D3A"/>
    <w:lvl w:ilvl="0" w:tplc="AE78B2F0">
      <w:start w:val="4"/>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703DF8"/>
    <w:multiLevelType w:val="hybridMultilevel"/>
    <w:tmpl w:val="0FAA5BB0"/>
    <w:lvl w:ilvl="0" w:tplc="AE78B2F0">
      <w:start w:val="4"/>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0705207">
    <w:abstractNumId w:val="5"/>
  </w:num>
  <w:num w:numId="2" w16cid:durableId="572551036">
    <w:abstractNumId w:val="9"/>
  </w:num>
  <w:num w:numId="3" w16cid:durableId="67116555">
    <w:abstractNumId w:val="3"/>
  </w:num>
  <w:num w:numId="4" w16cid:durableId="505511381">
    <w:abstractNumId w:val="1"/>
  </w:num>
  <w:num w:numId="5" w16cid:durableId="97454550">
    <w:abstractNumId w:val="8"/>
  </w:num>
  <w:num w:numId="6" w16cid:durableId="334579643">
    <w:abstractNumId w:val="4"/>
  </w:num>
  <w:num w:numId="7" w16cid:durableId="388502112">
    <w:abstractNumId w:val="6"/>
  </w:num>
  <w:num w:numId="8" w16cid:durableId="108401980">
    <w:abstractNumId w:val="3"/>
    <w:lvlOverride w:ilvl="0">
      <w:startOverride w:val="1"/>
    </w:lvlOverride>
  </w:num>
  <w:num w:numId="9" w16cid:durableId="731852179">
    <w:abstractNumId w:val="2"/>
  </w:num>
  <w:num w:numId="10" w16cid:durableId="1330986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621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34297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0951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9451979">
    <w:abstractNumId w:val="0"/>
  </w:num>
  <w:num w:numId="15" w16cid:durableId="1008170426">
    <w:abstractNumId w:val="3"/>
  </w:num>
  <w:num w:numId="16" w16cid:durableId="830950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47BC"/>
    <w:rsid w:val="000373B2"/>
    <w:rsid w:val="00042CF5"/>
    <w:rsid w:val="00060CA0"/>
    <w:rsid w:val="00063A26"/>
    <w:rsid w:val="000772A0"/>
    <w:rsid w:val="0008468B"/>
    <w:rsid w:val="000A079C"/>
    <w:rsid w:val="000A468A"/>
    <w:rsid w:val="000B0FBD"/>
    <w:rsid w:val="000D7BFD"/>
    <w:rsid w:val="000F0948"/>
    <w:rsid w:val="000F4728"/>
    <w:rsid w:val="0010308F"/>
    <w:rsid w:val="00107D9D"/>
    <w:rsid w:val="00147376"/>
    <w:rsid w:val="00150ED2"/>
    <w:rsid w:val="00155FCA"/>
    <w:rsid w:val="001677E0"/>
    <w:rsid w:val="001768AB"/>
    <w:rsid w:val="0018252D"/>
    <w:rsid w:val="00182C60"/>
    <w:rsid w:val="001933F4"/>
    <w:rsid w:val="001939B1"/>
    <w:rsid w:val="00197B73"/>
    <w:rsid w:val="001A56F1"/>
    <w:rsid w:val="001B4738"/>
    <w:rsid w:val="001F23D5"/>
    <w:rsid w:val="002061D9"/>
    <w:rsid w:val="0023387F"/>
    <w:rsid w:val="00265C8C"/>
    <w:rsid w:val="002677E7"/>
    <w:rsid w:val="00276DB2"/>
    <w:rsid w:val="002A0933"/>
    <w:rsid w:val="002A096E"/>
    <w:rsid w:val="002A2A51"/>
    <w:rsid w:val="002C56ED"/>
    <w:rsid w:val="002C70F3"/>
    <w:rsid w:val="002F4C8F"/>
    <w:rsid w:val="0033617F"/>
    <w:rsid w:val="0034325E"/>
    <w:rsid w:val="0034406F"/>
    <w:rsid w:val="00352DCE"/>
    <w:rsid w:val="00353ABF"/>
    <w:rsid w:val="003604B9"/>
    <w:rsid w:val="003672D5"/>
    <w:rsid w:val="003772FB"/>
    <w:rsid w:val="00391152"/>
    <w:rsid w:val="003A1BA6"/>
    <w:rsid w:val="003C2538"/>
    <w:rsid w:val="003C47BC"/>
    <w:rsid w:val="003C537B"/>
    <w:rsid w:val="003D008A"/>
    <w:rsid w:val="003D485F"/>
    <w:rsid w:val="003D5328"/>
    <w:rsid w:val="003D76A3"/>
    <w:rsid w:val="00400ACC"/>
    <w:rsid w:val="004019E1"/>
    <w:rsid w:val="004028F0"/>
    <w:rsid w:val="0041278C"/>
    <w:rsid w:val="0041651B"/>
    <w:rsid w:val="00417683"/>
    <w:rsid w:val="00426673"/>
    <w:rsid w:val="004607F7"/>
    <w:rsid w:val="00496792"/>
    <w:rsid w:val="004A017D"/>
    <w:rsid w:val="004A6AC7"/>
    <w:rsid w:val="004A6C70"/>
    <w:rsid w:val="004B40B3"/>
    <w:rsid w:val="004E0E52"/>
    <w:rsid w:val="004E1403"/>
    <w:rsid w:val="004F29FA"/>
    <w:rsid w:val="004F5C4B"/>
    <w:rsid w:val="0053773D"/>
    <w:rsid w:val="005544C3"/>
    <w:rsid w:val="00586E58"/>
    <w:rsid w:val="005C0457"/>
    <w:rsid w:val="005D4818"/>
    <w:rsid w:val="006033E0"/>
    <w:rsid w:val="00614752"/>
    <w:rsid w:val="00620B90"/>
    <w:rsid w:val="006356AF"/>
    <w:rsid w:val="006548BF"/>
    <w:rsid w:val="00660504"/>
    <w:rsid w:val="00690200"/>
    <w:rsid w:val="006B3461"/>
    <w:rsid w:val="006E2D9E"/>
    <w:rsid w:val="006F2573"/>
    <w:rsid w:val="007070FD"/>
    <w:rsid w:val="0074043E"/>
    <w:rsid w:val="00751A20"/>
    <w:rsid w:val="00756819"/>
    <w:rsid w:val="00784255"/>
    <w:rsid w:val="007A067B"/>
    <w:rsid w:val="007B0042"/>
    <w:rsid w:val="007B245C"/>
    <w:rsid w:val="007C68C7"/>
    <w:rsid w:val="007C78FC"/>
    <w:rsid w:val="007F49C1"/>
    <w:rsid w:val="007F4CF3"/>
    <w:rsid w:val="00810960"/>
    <w:rsid w:val="00815773"/>
    <w:rsid w:val="00816D66"/>
    <w:rsid w:val="00816DAC"/>
    <w:rsid w:val="00826C4A"/>
    <w:rsid w:val="0083290E"/>
    <w:rsid w:val="00843FF2"/>
    <w:rsid w:val="008453AB"/>
    <w:rsid w:val="00854EEA"/>
    <w:rsid w:val="008551DA"/>
    <w:rsid w:val="008624D4"/>
    <w:rsid w:val="0086716E"/>
    <w:rsid w:val="008738D4"/>
    <w:rsid w:val="0087594A"/>
    <w:rsid w:val="00880AB8"/>
    <w:rsid w:val="008D193F"/>
    <w:rsid w:val="008E26C1"/>
    <w:rsid w:val="008E3354"/>
    <w:rsid w:val="008E4736"/>
    <w:rsid w:val="008E7D37"/>
    <w:rsid w:val="008F173C"/>
    <w:rsid w:val="008F6946"/>
    <w:rsid w:val="009078D5"/>
    <w:rsid w:val="00911BFB"/>
    <w:rsid w:val="00912994"/>
    <w:rsid w:val="00915C3D"/>
    <w:rsid w:val="009229F3"/>
    <w:rsid w:val="00940F28"/>
    <w:rsid w:val="0094100E"/>
    <w:rsid w:val="0094207A"/>
    <w:rsid w:val="00955BB3"/>
    <w:rsid w:val="0098611F"/>
    <w:rsid w:val="009A38AD"/>
    <w:rsid w:val="009E152A"/>
    <w:rsid w:val="00A0200E"/>
    <w:rsid w:val="00A03C44"/>
    <w:rsid w:val="00A148A1"/>
    <w:rsid w:val="00A36C09"/>
    <w:rsid w:val="00A37C9F"/>
    <w:rsid w:val="00A4348A"/>
    <w:rsid w:val="00A53A10"/>
    <w:rsid w:val="00A70123"/>
    <w:rsid w:val="00A74B21"/>
    <w:rsid w:val="00A76B07"/>
    <w:rsid w:val="00A81B98"/>
    <w:rsid w:val="00A90305"/>
    <w:rsid w:val="00AA63A3"/>
    <w:rsid w:val="00AA63FF"/>
    <w:rsid w:val="00AB19F2"/>
    <w:rsid w:val="00AB5EB7"/>
    <w:rsid w:val="00AC2A0C"/>
    <w:rsid w:val="00AD4D97"/>
    <w:rsid w:val="00AD5B26"/>
    <w:rsid w:val="00AE0C12"/>
    <w:rsid w:val="00AE2453"/>
    <w:rsid w:val="00B04357"/>
    <w:rsid w:val="00B05DFC"/>
    <w:rsid w:val="00B17C8E"/>
    <w:rsid w:val="00B36EEA"/>
    <w:rsid w:val="00B86E36"/>
    <w:rsid w:val="00B90DB3"/>
    <w:rsid w:val="00B91160"/>
    <w:rsid w:val="00BA41E2"/>
    <w:rsid w:val="00BA4B55"/>
    <w:rsid w:val="00BB51C3"/>
    <w:rsid w:val="00BC0DAF"/>
    <w:rsid w:val="00BC145A"/>
    <w:rsid w:val="00BC55B5"/>
    <w:rsid w:val="00BD7A7C"/>
    <w:rsid w:val="00C10054"/>
    <w:rsid w:val="00C12C93"/>
    <w:rsid w:val="00C12D59"/>
    <w:rsid w:val="00C16F66"/>
    <w:rsid w:val="00C325F5"/>
    <w:rsid w:val="00C457E8"/>
    <w:rsid w:val="00C601A3"/>
    <w:rsid w:val="00C609B9"/>
    <w:rsid w:val="00C65A55"/>
    <w:rsid w:val="00C65BC8"/>
    <w:rsid w:val="00CE03CA"/>
    <w:rsid w:val="00CE2386"/>
    <w:rsid w:val="00D024DE"/>
    <w:rsid w:val="00D42110"/>
    <w:rsid w:val="00D44261"/>
    <w:rsid w:val="00D66E67"/>
    <w:rsid w:val="00DE5FCA"/>
    <w:rsid w:val="00DE6EF2"/>
    <w:rsid w:val="00E04835"/>
    <w:rsid w:val="00E0716D"/>
    <w:rsid w:val="00E20E5C"/>
    <w:rsid w:val="00E32408"/>
    <w:rsid w:val="00E52DED"/>
    <w:rsid w:val="00E845D4"/>
    <w:rsid w:val="00EC22CC"/>
    <w:rsid w:val="00ED6B69"/>
    <w:rsid w:val="00EE34F4"/>
    <w:rsid w:val="00EF22A4"/>
    <w:rsid w:val="00F20EE5"/>
    <w:rsid w:val="00F54EA0"/>
    <w:rsid w:val="00F755DC"/>
    <w:rsid w:val="00F75D28"/>
    <w:rsid w:val="00F96EE9"/>
    <w:rsid w:val="00FA45BF"/>
    <w:rsid w:val="00FC2FCB"/>
    <w:rsid w:val="00FC47CC"/>
    <w:rsid w:val="00FD22BC"/>
    <w:rsid w:val="00FE285D"/>
    <w:rsid w:val="00FE6112"/>
    <w:rsid w:val="00FF4E5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F75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97559">
      <w:bodyDiv w:val="1"/>
      <w:marLeft w:val="0"/>
      <w:marRight w:val="0"/>
      <w:marTop w:val="0"/>
      <w:marBottom w:val="0"/>
      <w:divBdr>
        <w:top w:val="none" w:sz="0" w:space="0" w:color="auto"/>
        <w:left w:val="none" w:sz="0" w:space="0" w:color="auto"/>
        <w:bottom w:val="none" w:sz="0" w:space="0" w:color="auto"/>
        <w:right w:val="none" w:sz="0" w:space="0" w:color="auto"/>
      </w:divBdr>
      <w:divsChild>
        <w:div w:id="214976460">
          <w:marLeft w:val="0"/>
          <w:marRight w:val="0"/>
          <w:marTop w:val="0"/>
          <w:marBottom w:val="0"/>
          <w:divBdr>
            <w:top w:val="none" w:sz="0" w:space="0" w:color="auto"/>
            <w:left w:val="none" w:sz="0" w:space="0" w:color="auto"/>
            <w:bottom w:val="none" w:sz="0" w:space="0" w:color="auto"/>
            <w:right w:val="none" w:sz="0" w:space="0" w:color="auto"/>
          </w:divBdr>
          <w:divsChild>
            <w:div w:id="1044519438">
              <w:marLeft w:val="0"/>
              <w:marRight w:val="0"/>
              <w:marTop w:val="0"/>
              <w:marBottom w:val="0"/>
              <w:divBdr>
                <w:top w:val="none" w:sz="0" w:space="0" w:color="auto"/>
                <w:left w:val="none" w:sz="0" w:space="0" w:color="auto"/>
                <w:bottom w:val="none" w:sz="0" w:space="0" w:color="auto"/>
                <w:right w:val="none" w:sz="0" w:space="0" w:color="auto"/>
              </w:divBdr>
              <w:divsChild>
                <w:div w:id="10126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comoceanindien-my.sharepoint.com/personal/nirina_razafintsalama_coi-ioc_org/Documents/_audit_01/Comit&#233;%20audit/Comit&#233;%20audit%202024/15-16%20avril%202024/Point%203%20-%20Suivi%20des%20recommandations%20d'audit/Audit%20Recommendations%20tracker%20IOC__mars%202024.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[Audit Recommendations tracker IOC__mars 2024.xlsm]Sheet4!PivotTable3</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30098661979179209"/>
          <c:y val="4.3781094527363187E-2"/>
          <c:w val="0.45695661530211951"/>
          <c:h val="0.85278959533043441"/>
        </c:manualLayout>
      </c:layout>
      <c:barChart>
        <c:barDir val="bar"/>
        <c:grouping val="percentStacked"/>
        <c:varyColors val="0"/>
        <c:ser>
          <c:idx val="0"/>
          <c:order val="0"/>
          <c:tx>
            <c:strRef>
              <c:f>Sheet4!$B$19:$B$20</c:f>
              <c:strCache>
                <c:ptCount val="1"/>
                <c:pt idx="0">
                  <c:v>Implemented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Sheet4!$A$21:$A$31</c:f>
              <c:strCache>
                <c:ptCount val="10"/>
                <c:pt idx="0">
                  <c:v>1. No documentation or inadequate documentation</c:v>
                </c:pt>
                <c:pt idx="1">
                  <c:v>10. PPE management</c:v>
                </c:pt>
                <c:pt idx="2">
                  <c:v>2. Accounting system and procedures</c:v>
                </c:pt>
                <c:pt idx="3">
                  <c:v>3. Financial reporting system and procedures</c:v>
                </c:pt>
                <c:pt idx="4">
                  <c:v>4. IT systems and procedures (computerised information systems)</c:v>
                </c:pt>
                <c:pt idx="5">
                  <c:v>5. Control environment</c:v>
                </c:pt>
                <c:pt idx="6">
                  <c:v>6. Procurement process and procedures</c:v>
                </c:pt>
                <c:pt idx="7">
                  <c:v>7. Cash and bank management (treasury)</c:v>
                </c:pt>
                <c:pt idx="8">
                  <c:v>8. Expenditure control including related procurement process and procedures</c:v>
                </c:pt>
                <c:pt idx="9">
                  <c:v>9. Human resources and payroll management</c:v>
                </c:pt>
              </c:strCache>
            </c:strRef>
          </c:cat>
          <c:val>
            <c:numRef>
              <c:f>Sheet4!$B$21:$B$31</c:f>
              <c:numCache>
                <c:formatCode>General</c:formatCode>
                <c:ptCount val="10"/>
                <c:pt idx="0">
                  <c:v>4</c:v>
                </c:pt>
                <c:pt idx="2">
                  <c:v>11</c:v>
                </c:pt>
                <c:pt idx="3">
                  <c:v>3</c:v>
                </c:pt>
                <c:pt idx="4">
                  <c:v>27</c:v>
                </c:pt>
                <c:pt idx="5">
                  <c:v>10</c:v>
                </c:pt>
                <c:pt idx="6">
                  <c:v>2</c:v>
                </c:pt>
                <c:pt idx="7">
                  <c:v>3</c:v>
                </c:pt>
                <c:pt idx="8">
                  <c:v>9</c:v>
                </c:pt>
                <c:pt idx="9">
                  <c:v>5</c:v>
                </c:pt>
              </c:numCache>
            </c:numRef>
          </c:val>
          <c:extLst>
            <c:ext xmlns:c16="http://schemas.microsoft.com/office/drawing/2014/chart" uri="{C3380CC4-5D6E-409C-BE32-E72D297353CC}">
              <c16:uniqueId val="{00000000-350B-4FD2-8D4D-38F54BD65ADD}"/>
            </c:ext>
          </c:extLst>
        </c:ser>
        <c:ser>
          <c:idx val="1"/>
          <c:order val="1"/>
          <c:tx>
            <c:strRef>
              <c:f>Sheet4!$C$19:$C$20</c:f>
              <c:strCache>
                <c:ptCount val="1"/>
                <c:pt idx="0">
                  <c:v>Not implemented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Sheet4!$A$21:$A$31</c:f>
              <c:strCache>
                <c:ptCount val="10"/>
                <c:pt idx="0">
                  <c:v>1. No documentation or inadequate documentation</c:v>
                </c:pt>
                <c:pt idx="1">
                  <c:v>10. PPE management</c:v>
                </c:pt>
                <c:pt idx="2">
                  <c:v>2. Accounting system and procedures</c:v>
                </c:pt>
                <c:pt idx="3">
                  <c:v>3. Financial reporting system and procedures</c:v>
                </c:pt>
                <c:pt idx="4">
                  <c:v>4. IT systems and procedures (computerised information systems)</c:v>
                </c:pt>
                <c:pt idx="5">
                  <c:v>5. Control environment</c:v>
                </c:pt>
                <c:pt idx="6">
                  <c:v>6. Procurement process and procedures</c:v>
                </c:pt>
                <c:pt idx="7">
                  <c:v>7. Cash and bank management (treasury)</c:v>
                </c:pt>
                <c:pt idx="8">
                  <c:v>8. Expenditure control including related procurement process and procedures</c:v>
                </c:pt>
                <c:pt idx="9">
                  <c:v>9. Human resources and payroll management</c:v>
                </c:pt>
              </c:strCache>
            </c:strRef>
          </c:cat>
          <c:val>
            <c:numRef>
              <c:f>Sheet4!$C$21:$C$31</c:f>
              <c:numCache>
                <c:formatCode>General</c:formatCode>
                <c:ptCount val="10"/>
                <c:pt idx="0">
                  <c:v>1</c:v>
                </c:pt>
                <c:pt idx="2">
                  <c:v>6</c:v>
                </c:pt>
                <c:pt idx="3">
                  <c:v>3</c:v>
                </c:pt>
                <c:pt idx="4">
                  <c:v>1</c:v>
                </c:pt>
                <c:pt idx="5">
                  <c:v>12</c:v>
                </c:pt>
                <c:pt idx="6">
                  <c:v>2</c:v>
                </c:pt>
                <c:pt idx="7">
                  <c:v>2</c:v>
                </c:pt>
                <c:pt idx="8">
                  <c:v>7</c:v>
                </c:pt>
              </c:numCache>
            </c:numRef>
          </c:val>
          <c:extLst>
            <c:ext xmlns:c16="http://schemas.microsoft.com/office/drawing/2014/chart" uri="{C3380CC4-5D6E-409C-BE32-E72D297353CC}">
              <c16:uniqueId val="{00000001-350B-4FD2-8D4D-38F54BD65ADD}"/>
            </c:ext>
          </c:extLst>
        </c:ser>
        <c:ser>
          <c:idx val="2"/>
          <c:order val="2"/>
          <c:tx>
            <c:strRef>
              <c:f>Sheet4!$D$19:$D$20</c:f>
              <c:strCache>
                <c:ptCount val="1"/>
                <c:pt idx="0">
                  <c:v>Partially implemented</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Sheet4!$A$21:$A$31</c:f>
              <c:strCache>
                <c:ptCount val="10"/>
                <c:pt idx="0">
                  <c:v>1. No documentation or inadequate documentation</c:v>
                </c:pt>
                <c:pt idx="1">
                  <c:v>10. PPE management</c:v>
                </c:pt>
                <c:pt idx="2">
                  <c:v>2. Accounting system and procedures</c:v>
                </c:pt>
                <c:pt idx="3">
                  <c:v>3. Financial reporting system and procedures</c:v>
                </c:pt>
                <c:pt idx="4">
                  <c:v>4. IT systems and procedures (computerised information systems)</c:v>
                </c:pt>
                <c:pt idx="5">
                  <c:v>5. Control environment</c:v>
                </c:pt>
                <c:pt idx="6">
                  <c:v>6. Procurement process and procedures</c:v>
                </c:pt>
                <c:pt idx="7">
                  <c:v>7. Cash and bank management (treasury)</c:v>
                </c:pt>
                <c:pt idx="8">
                  <c:v>8. Expenditure control including related procurement process and procedures</c:v>
                </c:pt>
                <c:pt idx="9">
                  <c:v>9. Human resources and payroll management</c:v>
                </c:pt>
              </c:strCache>
            </c:strRef>
          </c:cat>
          <c:val>
            <c:numRef>
              <c:f>Sheet4!$D$21:$D$31</c:f>
              <c:numCache>
                <c:formatCode>General</c:formatCode>
                <c:ptCount val="10"/>
                <c:pt idx="0">
                  <c:v>2</c:v>
                </c:pt>
                <c:pt idx="1">
                  <c:v>1</c:v>
                </c:pt>
                <c:pt idx="2">
                  <c:v>5</c:v>
                </c:pt>
                <c:pt idx="3">
                  <c:v>3</c:v>
                </c:pt>
                <c:pt idx="4">
                  <c:v>41</c:v>
                </c:pt>
                <c:pt idx="5">
                  <c:v>20</c:v>
                </c:pt>
                <c:pt idx="6">
                  <c:v>7</c:v>
                </c:pt>
                <c:pt idx="7">
                  <c:v>2</c:v>
                </c:pt>
                <c:pt idx="8">
                  <c:v>3</c:v>
                </c:pt>
                <c:pt idx="9">
                  <c:v>5</c:v>
                </c:pt>
              </c:numCache>
            </c:numRef>
          </c:val>
          <c:extLst>
            <c:ext xmlns:c16="http://schemas.microsoft.com/office/drawing/2014/chart" uri="{C3380CC4-5D6E-409C-BE32-E72D297353CC}">
              <c16:uniqueId val="{00000002-350B-4FD2-8D4D-38F54BD65ADD}"/>
            </c:ext>
          </c:extLst>
        </c:ser>
        <c:ser>
          <c:idx val="3"/>
          <c:order val="3"/>
          <c:tx>
            <c:strRef>
              <c:f>Sheet4!$E$19:$E$20</c:f>
              <c:strCache>
                <c:ptCount val="1"/>
                <c:pt idx="0">
                  <c:v>Status (in process of confirmation)</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Sheet4!$A$21:$A$31</c:f>
              <c:strCache>
                <c:ptCount val="10"/>
                <c:pt idx="0">
                  <c:v>1. No documentation or inadequate documentation</c:v>
                </c:pt>
                <c:pt idx="1">
                  <c:v>10. PPE management</c:v>
                </c:pt>
                <c:pt idx="2">
                  <c:v>2. Accounting system and procedures</c:v>
                </c:pt>
                <c:pt idx="3">
                  <c:v>3. Financial reporting system and procedures</c:v>
                </c:pt>
                <c:pt idx="4">
                  <c:v>4. IT systems and procedures (computerised information systems)</c:v>
                </c:pt>
                <c:pt idx="5">
                  <c:v>5. Control environment</c:v>
                </c:pt>
                <c:pt idx="6">
                  <c:v>6. Procurement process and procedures</c:v>
                </c:pt>
                <c:pt idx="7">
                  <c:v>7. Cash and bank management (treasury)</c:v>
                </c:pt>
                <c:pt idx="8">
                  <c:v>8. Expenditure control including related procurement process and procedures</c:v>
                </c:pt>
                <c:pt idx="9">
                  <c:v>9. Human resources and payroll management</c:v>
                </c:pt>
              </c:strCache>
            </c:strRef>
          </c:cat>
          <c:val>
            <c:numRef>
              <c:f>Sheet4!$E$21:$E$31</c:f>
              <c:numCache>
                <c:formatCode>General</c:formatCode>
                <c:ptCount val="10"/>
                <c:pt idx="0">
                  <c:v>3</c:v>
                </c:pt>
                <c:pt idx="2">
                  <c:v>2</c:v>
                </c:pt>
                <c:pt idx="3">
                  <c:v>1</c:v>
                </c:pt>
                <c:pt idx="4">
                  <c:v>73</c:v>
                </c:pt>
                <c:pt idx="5">
                  <c:v>6</c:v>
                </c:pt>
                <c:pt idx="6">
                  <c:v>2</c:v>
                </c:pt>
                <c:pt idx="7">
                  <c:v>1</c:v>
                </c:pt>
              </c:numCache>
            </c:numRef>
          </c:val>
          <c:extLst>
            <c:ext xmlns:c16="http://schemas.microsoft.com/office/drawing/2014/chart" uri="{C3380CC4-5D6E-409C-BE32-E72D297353CC}">
              <c16:uniqueId val="{00000003-350B-4FD2-8D4D-38F54BD65ADD}"/>
            </c:ext>
          </c:extLst>
        </c:ser>
        <c:dLbls>
          <c:showLegendKey val="0"/>
          <c:showVal val="0"/>
          <c:showCatName val="0"/>
          <c:showSerName val="0"/>
          <c:showPercent val="0"/>
          <c:showBubbleSize val="0"/>
        </c:dLbls>
        <c:gapWidth val="150"/>
        <c:overlap val="100"/>
        <c:axId val="500773439"/>
        <c:axId val="163009023"/>
      </c:barChart>
      <c:catAx>
        <c:axId val="5007734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crossAx val="163009023"/>
        <c:crosses val="autoZero"/>
        <c:auto val="1"/>
        <c:lblAlgn val="ctr"/>
        <c:lblOffset val="100"/>
        <c:noMultiLvlLbl val="0"/>
      </c:catAx>
      <c:valAx>
        <c:axId val="1630090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crossAx val="500773439"/>
        <c:crosses val="autoZero"/>
        <c:crossBetween val="between"/>
      </c:valAx>
      <c:spPr>
        <a:noFill/>
        <a:ln>
          <a:noFill/>
        </a:ln>
        <a:effectLst/>
      </c:spPr>
    </c:plotArea>
    <c:legend>
      <c:legendPos val="r"/>
      <c:layout>
        <c:manualLayout>
          <c:xMode val="edge"/>
          <c:yMode val="edge"/>
          <c:x val="0.78777754847176362"/>
          <c:y val="0.14822485995220747"/>
          <c:w val="0.19999003400784579"/>
          <c:h val="0.7592713597367493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fr-F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1499</Words>
  <Characters>8250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17</cp:revision>
  <dcterms:created xsi:type="dcterms:W3CDTF">2024-04-26T06:53:00Z</dcterms:created>
  <dcterms:modified xsi:type="dcterms:W3CDTF">2024-05-10T11:08:00Z</dcterms:modified>
</cp:coreProperties>
</file>