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9C50C64" w:rsidR="00EC22CC" w:rsidRDefault="00D03521" w:rsidP="00854EEA">
            <w:pPr>
              <w:jc w:val="center"/>
              <w:rPr>
                <w:rFonts w:ascii="Verdana" w:hAnsi="Verdana"/>
                <w:b/>
                <w:bCs/>
                <w:sz w:val="20"/>
                <w:szCs w:val="20"/>
              </w:rPr>
            </w:pPr>
            <w:r>
              <w:rPr>
                <w:rFonts w:ascii="Verdana" w:hAnsi="Verdana"/>
                <w:b/>
                <w:bCs/>
                <w:sz w:val="20"/>
                <w:szCs w:val="20"/>
              </w:rPr>
              <w:t>ECOFISH/PRSP</w:t>
            </w:r>
          </w:p>
        </w:tc>
      </w:tr>
      <w:tr w:rsidR="00EC22CC" w14:paraId="7F1B63D2" w14:textId="77777777" w:rsidTr="002A0933">
        <w:tc>
          <w:tcPr>
            <w:tcW w:w="7225" w:type="dxa"/>
          </w:tcPr>
          <w:p w14:paraId="056D9B10" w14:textId="2C7B102B" w:rsidR="00EC22CC" w:rsidRPr="00773B8D" w:rsidRDefault="00AE6D76" w:rsidP="00AE6D76">
            <w:pPr>
              <w:spacing w:after="100"/>
              <w:rPr>
                <w:rFonts w:ascii="Verdana" w:hAnsi="Verdana"/>
                <w:sz w:val="20"/>
                <w:szCs w:val="20"/>
              </w:rPr>
            </w:pPr>
            <w:r w:rsidRPr="00773B8D">
              <w:rPr>
                <w:rFonts w:ascii="Verdana" w:hAnsi="Verdana"/>
                <w:sz w:val="20"/>
                <w:szCs w:val="20"/>
              </w:rPr>
              <w:t>38e Conseil des ministres</w:t>
            </w:r>
            <w:r w:rsidR="00773B8D" w:rsidRPr="00773B8D">
              <w:rPr>
                <w:rFonts w:ascii="Verdana" w:hAnsi="Verdana"/>
                <w:sz w:val="20"/>
                <w:szCs w:val="20"/>
              </w:rPr>
              <w:t xml:space="preserve"> de la COI |</w:t>
            </w:r>
            <w:r w:rsidRPr="00773B8D">
              <w:rPr>
                <w:rFonts w:ascii="Verdana" w:hAnsi="Verdana"/>
                <w:sz w:val="20"/>
                <w:szCs w:val="20"/>
              </w:rPr>
              <w:t xml:space="preserve"> 16 mai 2024</w:t>
            </w:r>
            <w:r w:rsidR="00773B8D" w:rsidRPr="00773B8D">
              <w:rPr>
                <w:rFonts w:ascii="Verdana" w:hAnsi="Verdana"/>
                <w:sz w:val="20"/>
                <w:szCs w:val="20"/>
              </w:rPr>
              <w:t>, Maurice</w:t>
            </w:r>
          </w:p>
        </w:tc>
        <w:tc>
          <w:tcPr>
            <w:tcW w:w="1837" w:type="dxa"/>
          </w:tcPr>
          <w:p w14:paraId="58E25D1F" w14:textId="44729791"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CE3FC7">
              <w:rPr>
                <w:rFonts w:ascii="Verdana" w:hAnsi="Verdana"/>
                <w:sz w:val="20"/>
                <w:szCs w:val="20"/>
              </w:rPr>
              <w:t>2.</w:t>
            </w:r>
            <w:r w:rsidR="00AE6D76">
              <w:rPr>
                <w:rFonts w:ascii="Verdana" w:hAnsi="Verdana"/>
                <w:sz w:val="20"/>
                <w:szCs w:val="20"/>
              </w:rPr>
              <w:t>11</w:t>
            </w:r>
          </w:p>
        </w:tc>
      </w:tr>
      <w:tr w:rsidR="00EC22CC" w14:paraId="537D1DE5" w14:textId="77777777" w:rsidTr="002A0933">
        <w:tc>
          <w:tcPr>
            <w:tcW w:w="7225" w:type="dxa"/>
          </w:tcPr>
          <w:p w14:paraId="43DEF09E" w14:textId="47AB9CB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03521">
              <w:rPr>
                <w:rFonts w:ascii="Verdana" w:hAnsi="Verdana"/>
                <w:sz w:val="20"/>
                <w:szCs w:val="20"/>
              </w:rPr>
              <w:t>Marc MAMINIAINA, Chargé de mission.</w:t>
            </w:r>
          </w:p>
        </w:tc>
        <w:tc>
          <w:tcPr>
            <w:tcW w:w="1837" w:type="dxa"/>
          </w:tcPr>
          <w:p w14:paraId="5AC1AFAB" w14:textId="551D2E6D" w:rsidR="00EC22CC" w:rsidRPr="002778B6" w:rsidRDefault="004607F7" w:rsidP="00854EEA">
            <w:pPr>
              <w:jc w:val="center"/>
              <w:rPr>
                <w:rFonts w:ascii="Verdana" w:hAnsi="Verdana"/>
                <w:sz w:val="20"/>
                <w:szCs w:val="20"/>
              </w:rPr>
            </w:pPr>
            <w:r w:rsidRPr="002778B6">
              <w:rPr>
                <w:rFonts w:ascii="Verdana" w:hAnsi="Verdana"/>
                <w:sz w:val="20"/>
                <w:szCs w:val="20"/>
              </w:rPr>
              <w:t xml:space="preserve">Décision </w:t>
            </w:r>
          </w:p>
        </w:tc>
      </w:tr>
      <w:tr w:rsidR="00A90305" w14:paraId="6896DB30" w14:textId="77777777" w:rsidTr="009F5233">
        <w:tc>
          <w:tcPr>
            <w:tcW w:w="9062" w:type="dxa"/>
            <w:gridSpan w:val="2"/>
          </w:tcPr>
          <w:p w14:paraId="0495241B" w14:textId="662770FA" w:rsidR="00A90305" w:rsidRDefault="00A90305" w:rsidP="00A90305">
            <w:pPr>
              <w:rPr>
                <w:rFonts w:ascii="Verdana" w:hAnsi="Verdana"/>
                <w:sz w:val="20"/>
                <w:szCs w:val="20"/>
              </w:rPr>
            </w:pPr>
            <w:r>
              <w:rPr>
                <w:rFonts w:ascii="Verdana" w:hAnsi="Verdana"/>
                <w:i/>
                <w:iCs/>
                <w:sz w:val="20"/>
                <w:szCs w:val="20"/>
              </w:rPr>
              <w:t>Version du</w:t>
            </w:r>
            <w:r w:rsidR="006C6513">
              <w:rPr>
                <w:rFonts w:ascii="Verdana" w:hAnsi="Verdana"/>
                <w:i/>
                <w:iCs/>
                <w:sz w:val="20"/>
                <w:szCs w:val="20"/>
              </w:rPr>
              <w:t xml:space="preserve"> </w:t>
            </w:r>
            <w:r w:rsidR="00AE6D76">
              <w:rPr>
                <w:rFonts w:ascii="Verdana" w:hAnsi="Verdana"/>
                <w:i/>
                <w:iCs/>
                <w:sz w:val="20"/>
                <w:szCs w:val="20"/>
              </w:rPr>
              <w:t>09</w:t>
            </w:r>
            <w:r w:rsidR="006C6513">
              <w:rPr>
                <w:rFonts w:ascii="Verdana" w:hAnsi="Verdana"/>
                <w:i/>
                <w:iCs/>
                <w:sz w:val="20"/>
                <w:szCs w:val="20"/>
              </w:rPr>
              <w:t xml:space="preserve"> ma</w:t>
            </w:r>
            <w:r w:rsidR="00AE6D76">
              <w:rPr>
                <w:rFonts w:ascii="Verdana" w:hAnsi="Verdana"/>
                <w:i/>
                <w:iCs/>
                <w:sz w:val="20"/>
                <w:szCs w:val="20"/>
              </w:rPr>
              <w:t>i</w:t>
            </w:r>
            <w:r w:rsidR="006C6513">
              <w:rPr>
                <w:rFonts w:ascii="Verdana" w:hAnsi="Verdana"/>
                <w:i/>
                <w:iCs/>
                <w:sz w:val="20"/>
                <w:szCs w:val="20"/>
              </w:rPr>
              <w:t xml:space="preserve">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570D6955" w14:textId="6993AF42" w:rsidR="001B5D63" w:rsidRPr="001B5D63" w:rsidRDefault="001B5D63" w:rsidP="001B5D63">
      <w:pPr>
        <w:pStyle w:val="Titrepartie"/>
      </w:pPr>
      <w:r w:rsidRPr="001B5D63">
        <w:t>État de lieux de la mise en œuvre du programme COI-ECOFISH</w:t>
      </w:r>
    </w:p>
    <w:p w14:paraId="5670F744" w14:textId="4D29C16F" w:rsidR="001B5D63" w:rsidRPr="0056478C" w:rsidRDefault="001B5D63" w:rsidP="000651CE">
      <w:pPr>
        <w:ind w:right="399"/>
        <w:jc w:val="both"/>
        <w:rPr>
          <w:rFonts w:ascii="Verdana" w:hAnsi="Verdana"/>
          <w:sz w:val="20"/>
          <w:szCs w:val="20"/>
        </w:rPr>
      </w:pPr>
      <w:r w:rsidRPr="0056478C">
        <w:rPr>
          <w:rFonts w:ascii="Verdana" w:hAnsi="Verdana"/>
          <w:sz w:val="20"/>
          <w:szCs w:val="20"/>
        </w:rPr>
        <w:t xml:space="preserve">Le programme </w:t>
      </w:r>
      <w:r>
        <w:rPr>
          <w:rFonts w:ascii="Verdana" w:hAnsi="Verdana"/>
          <w:sz w:val="20"/>
          <w:szCs w:val="20"/>
        </w:rPr>
        <w:t xml:space="preserve">COI-ECOFISH </w:t>
      </w:r>
      <w:r w:rsidRPr="0056478C">
        <w:rPr>
          <w:rFonts w:ascii="Verdana" w:hAnsi="Verdana"/>
          <w:sz w:val="20"/>
          <w:szCs w:val="20"/>
        </w:rPr>
        <w:t xml:space="preserve">entre actuellement dans la dernière année de </w:t>
      </w:r>
      <w:r w:rsidR="006C6513">
        <w:rPr>
          <w:rFonts w:ascii="Verdana" w:hAnsi="Verdana"/>
          <w:sz w:val="20"/>
          <w:szCs w:val="20"/>
        </w:rPr>
        <w:t>s</w:t>
      </w:r>
      <w:r w:rsidRPr="0056478C">
        <w:rPr>
          <w:rFonts w:ascii="Verdana" w:hAnsi="Verdana"/>
          <w:sz w:val="20"/>
          <w:szCs w:val="20"/>
        </w:rPr>
        <w:t xml:space="preserve">a période de mise en œuvre. </w:t>
      </w:r>
      <w:r>
        <w:rPr>
          <w:rFonts w:ascii="Verdana" w:hAnsi="Verdana"/>
          <w:sz w:val="20"/>
          <w:szCs w:val="20"/>
        </w:rPr>
        <w:t xml:space="preserve">Conformément aux </w:t>
      </w:r>
      <w:r w:rsidRPr="0056478C">
        <w:rPr>
          <w:rFonts w:ascii="Verdana" w:hAnsi="Verdana"/>
          <w:sz w:val="20"/>
          <w:szCs w:val="20"/>
        </w:rPr>
        <w:t xml:space="preserve">dispositions de la Convention de financement signée avec l’Union </w:t>
      </w:r>
      <w:r w:rsidR="00CE3FC7">
        <w:rPr>
          <w:rFonts w:ascii="Verdana" w:hAnsi="Verdana"/>
          <w:sz w:val="20"/>
          <w:szCs w:val="20"/>
        </w:rPr>
        <w:t>e</w:t>
      </w:r>
      <w:r w:rsidRPr="0056478C">
        <w:rPr>
          <w:rFonts w:ascii="Verdana" w:hAnsi="Verdana"/>
          <w:sz w:val="20"/>
          <w:szCs w:val="20"/>
        </w:rPr>
        <w:t>uropéenne, la clôture du programme est prévue en septembre 2024.</w:t>
      </w:r>
    </w:p>
    <w:p w14:paraId="46CAC983" w14:textId="7FF6AEBA" w:rsidR="001B5D63" w:rsidRDefault="001B5D63" w:rsidP="000651CE">
      <w:pPr>
        <w:ind w:right="399"/>
        <w:jc w:val="both"/>
        <w:rPr>
          <w:rFonts w:ascii="Verdana" w:hAnsi="Verdana"/>
          <w:sz w:val="20"/>
          <w:szCs w:val="20"/>
        </w:rPr>
      </w:pPr>
      <w:r w:rsidRPr="0056478C">
        <w:rPr>
          <w:rFonts w:ascii="Verdana" w:hAnsi="Verdana"/>
          <w:sz w:val="20"/>
          <w:szCs w:val="20"/>
        </w:rPr>
        <w:t xml:space="preserve">Dans cadre de l’application de la décision 7 e) du 37eme </w:t>
      </w:r>
      <w:r w:rsidR="00CE3FC7">
        <w:rPr>
          <w:rFonts w:ascii="Verdana" w:hAnsi="Verdana"/>
          <w:sz w:val="20"/>
          <w:szCs w:val="20"/>
        </w:rPr>
        <w:t>C</w:t>
      </w:r>
      <w:r w:rsidRPr="0056478C">
        <w:rPr>
          <w:rFonts w:ascii="Verdana" w:hAnsi="Verdana"/>
          <w:sz w:val="20"/>
          <w:szCs w:val="20"/>
        </w:rPr>
        <w:t xml:space="preserve">onseil, le Secrétariat a entamé les démarches auprès de la Délégation de l’Union </w:t>
      </w:r>
      <w:r w:rsidR="00CE3FC7">
        <w:rPr>
          <w:rFonts w:ascii="Verdana" w:hAnsi="Verdana"/>
          <w:sz w:val="20"/>
          <w:szCs w:val="20"/>
        </w:rPr>
        <w:t>e</w:t>
      </w:r>
      <w:r w:rsidRPr="0056478C">
        <w:rPr>
          <w:rFonts w:ascii="Verdana" w:hAnsi="Verdana"/>
          <w:sz w:val="20"/>
          <w:szCs w:val="20"/>
        </w:rPr>
        <w:t xml:space="preserve">uropéenne à Maurice en vue de l’extension </w:t>
      </w:r>
      <w:r>
        <w:rPr>
          <w:rFonts w:ascii="Verdana" w:hAnsi="Verdana"/>
          <w:sz w:val="20"/>
          <w:szCs w:val="20"/>
        </w:rPr>
        <w:t>s</w:t>
      </w:r>
      <w:r w:rsidRPr="0056478C">
        <w:rPr>
          <w:rFonts w:ascii="Verdana" w:hAnsi="Verdana"/>
          <w:sz w:val="20"/>
          <w:szCs w:val="20"/>
        </w:rPr>
        <w:t xml:space="preserve">ans budget additionnel de la période de mise en œuvre du Programme pour une durée de 18 mois. </w:t>
      </w:r>
    </w:p>
    <w:p w14:paraId="6CA19050"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Les partenaires de mise en œuvre du Programme ont réitéré la nécessité d’une extension du programme ECOFISH à l’issue</w:t>
      </w:r>
      <w:r>
        <w:rPr>
          <w:rFonts w:ascii="Verdana" w:hAnsi="Verdana"/>
          <w:sz w:val="20"/>
          <w:szCs w:val="20"/>
        </w:rPr>
        <w:t xml:space="preserve"> </w:t>
      </w:r>
      <w:r w:rsidRPr="0056478C">
        <w:rPr>
          <w:rFonts w:ascii="Verdana" w:hAnsi="Verdana"/>
          <w:sz w:val="20"/>
          <w:szCs w:val="20"/>
        </w:rPr>
        <w:t xml:space="preserve">du comité de pilotage tenu le 21 mars 2024 à Arusha. </w:t>
      </w:r>
    </w:p>
    <w:p w14:paraId="0D2A3238"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 xml:space="preserve">La DUE </w:t>
      </w:r>
      <w:proofErr w:type="spellStart"/>
      <w:r w:rsidRPr="0056478C">
        <w:rPr>
          <w:rFonts w:ascii="Verdana" w:hAnsi="Verdana"/>
          <w:sz w:val="20"/>
          <w:szCs w:val="20"/>
        </w:rPr>
        <w:t>a</w:t>
      </w:r>
      <w:proofErr w:type="spellEnd"/>
      <w:r w:rsidRPr="0056478C">
        <w:rPr>
          <w:rFonts w:ascii="Verdana" w:hAnsi="Verdana"/>
          <w:sz w:val="20"/>
          <w:szCs w:val="20"/>
        </w:rPr>
        <w:t xml:space="preserve"> insisté sur les impacts tangibles du programme et la priorisation des activités à mettre en œuvre pendant la période d’extension avant de se prononcer sur la demande d’extension soumise par la COI.</w:t>
      </w:r>
    </w:p>
    <w:p w14:paraId="26D54A10" w14:textId="77777777" w:rsidR="001B5D63" w:rsidRPr="0056478C" w:rsidRDefault="001B5D63" w:rsidP="000651CE">
      <w:pPr>
        <w:ind w:right="399"/>
        <w:jc w:val="both"/>
        <w:rPr>
          <w:rFonts w:ascii="Verdana" w:hAnsi="Verdana"/>
          <w:sz w:val="20"/>
          <w:szCs w:val="20"/>
        </w:rPr>
      </w:pPr>
      <w:r w:rsidRPr="0056478C">
        <w:rPr>
          <w:rFonts w:ascii="Verdana" w:hAnsi="Verdana"/>
          <w:sz w:val="20"/>
          <w:szCs w:val="20"/>
        </w:rPr>
        <w:t>Concernant le devis programme marin géré par la COI, le taux d’engagement est de 38% (3 752 000 EUR) en f</w:t>
      </w:r>
      <w:r>
        <w:rPr>
          <w:rFonts w:ascii="Verdana" w:hAnsi="Verdana"/>
          <w:sz w:val="20"/>
          <w:szCs w:val="20"/>
        </w:rPr>
        <w:t>é</w:t>
      </w:r>
      <w:r w:rsidRPr="0056478C">
        <w:rPr>
          <w:rFonts w:ascii="Verdana" w:hAnsi="Verdana"/>
          <w:sz w:val="20"/>
          <w:szCs w:val="20"/>
        </w:rPr>
        <w:t>vrier 2024 pour un budget total de 9 800 000 EUR</w:t>
      </w:r>
    </w:p>
    <w:p w14:paraId="5F8718BC" w14:textId="39DEC5AB" w:rsidR="001B5D63" w:rsidRPr="0056478C" w:rsidRDefault="001B5D63" w:rsidP="000651CE">
      <w:pPr>
        <w:ind w:right="399"/>
        <w:jc w:val="both"/>
        <w:rPr>
          <w:rFonts w:ascii="Verdana" w:hAnsi="Verdana"/>
          <w:sz w:val="20"/>
          <w:szCs w:val="20"/>
        </w:rPr>
      </w:pPr>
      <w:r w:rsidRPr="0056478C">
        <w:rPr>
          <w:rFonts w:ascii="Verdana" w:hAnsi="Verdana"/>
          <w:sz w:val="20"/>
          <w:szCs w:val="20"/>
        </w:rPr>
        <w:t xml:space="preserve">S’agissant de la progression de la mise en œuvre des </w:t>
      </w:r>
      <w:proofErr w:type="spellStart"/>
      <w:r w:rsidRPr="0056478C">
        <w:rPr>
          <w:rFonts w:ascii="Verdana" w:hAnsi="Verdana"/>
          <w:sz w:val="20"/>
          <w:szCs w:val="20"/>
        </w:rPr>
        <w:t>activites</w:t>
      </w:r>
      <w:proofErr w:type="spellEnd"/>
      <w:r w:rsidR="008827A2">
        <w:rPr>
          <w:rFonts w:ascii="Verdana" w:hAnsi="Verdana"/>
          <w:sz w:val="20"/>
          <w:szCs w:val="20"/>
        </w:rPr>
        <w:t xml:space="preserve"> </w:t>
      </w:r>
      <w:proofErr w:type="gramStart"/>
      <w:r w:rsidR="008827A2">
        <w:rPr>
          <w:rFonts w:ascii="Verdana" w:hAnsi="Verdana"/>
          <w:sz w:val="20"/>
          <w:szCs w:val="20"/>
        </w:rPr>
        <w:t>( Résultats</w:t>
      </w:r>
      <w:proofErr w:type="gramEnd"/>
      <w:r w:rsidR="008827A2">
        <w:rPr>
          <w:rFonts w:ascii="Verdana" w:hAnsi="Verdana"/>
          <w:sz w:val="20"/>
          <w:szCs w:val="20"/>
        </w:rPr>
        <w:t xml:space="preserve"> 1 et 2)</w:t>
      </w:r>
      <w:r w:rsidRPr="0056478C">
        <w:rPr>
          <w:rFonts w:ascii="Verdana" w:hAnsi="Verdana"/>
          <w:sz w:val="20"/>
          <w:szCs w:val="20"/>
        </w:rPr>
        <w:t xml:space="preserve">, le taux de réalisation est de </w:t>
      </w:r>
      <w:r w:rsidR="00401ED2" w:rsidRPr="003E387F">
        <w:rPr>
          <w:rFonts w:ascii="Verdana" w:hAnsi="Verdana"/>
          <w:sz w:val="20"/>
          <w:szCs w:val="20"/>
        </w:rPr>
        <w:t>6</w:t>
      </w:r>
      <w:r w:rsidR="008827A2">
        <w:rPr>
          <w:rFonts w:ascii="Verdana" w:hAnsi="Verdana"/>
          <w:sz w:val="20"/>
          <w:szCs w:val="20"/>
        </w:rPr>
        <w:t>7</w:t>
      </w:r>
      <w:r w:rsidRPr="0056478C">
        <w:rPr>
          <w:rFonts w:ascii="Verdana" w:hAnsi="Verdana"/>
          <w:sz w:val="20"/>
          <w:szCs w:val="20"/>
        </w:rPr>
        <w:t>%.</w:t>
      </w:r>
    </w:p>
    <w:p w14:paraId="5CCCC4BA" w14:textId="77777777" w:rsidR="001B5D63" w:rsidRPr="0056478C" w:rsidRDefault="001B5D63" w:rsidP="001B5D63">
      <w:pPr>
        <w:ind w:right="399"/>
        <w:rPr>
          <w:rFonts w:ascii="Verdana" w:hAnsi="Verdana"/>
          <w:sz w:val="20"/>
          <w:szCs w:val="20"/>
        </w:rPr>
      </w:pPr>
    </w:p>
    <w:p w14:paraId="36A40B02" w14:textId="77777777" w:rsidR="001B5D63" w:rsidRPr="001B5D63" w:rsidRDefault="001B5D63" w:rsidP="001B5D63">
      <w:pPr>
        <w:pStyle w:val="Titrepartie"/>
      </w:pPr>
      <w:r w:rsidRPr="001B5D63">
        <w:t>Institutionnalisation et pérennisation du Plan Régional de Surveillance des Pêches (PRSP)</w:t>
      </w:r>
    </w:p>
    <w:p w14:paraId="4E4713BB" w14:textId="3CD9A5E5" w:rsidR="001B5D63" w:rsidRPr="0056478C" w:rsidRDefault="001B5D63" w:rsidP="003E387F">
      <w:pPr>
        <w:jc w:val="both"/>
        <w:rPr>
          <w:rFonts w:ascii="Verdana" w:hAnsi="Verdana"/>
          <w:sz w:val="20"/>
          <w:szCs w:val="20"/>
        </w:rPr>
      </w:pPr>
      <w:r w:rsidRPr="0056478C">
        <w:rPr>
          <w:rFonts w:ascii="Verdana" w:hAnsi="Verdana"/>
          <w:sz w:val="20"/>
          <w:szCs w:val="20"/>
        </w:rPr>
        <w:t xml:space="preserve">L'une des principales recommandations issues de la </w:t>
      </w:r>
      <w:r w:rsidR="00CE3FC7">
        <w:rPr>
          <w:rFonts w:ascii="Verdana" w:hAnsi="Verdana"/>
          <w:sz w:val="20"/>
          <w:szCs w:val="20"/>
        </w:rPr>
        <w:t>C</w:t>
      </w:r>
      <w:r w:rsidRPr="0056478C">
        <w:rPr>
          <w:rFonts w:ascii="Verdana" w:hAnsi="Verdana"/>
          <w:sz w:val="20"/>
          <w:szCs w:val="20"/>
        </w:rPr>
        <w:t>onférence ministérielle des pêches pour la lutte contre les pêches</w:t>
      </w:r>
      <w:r>
        <w:rPr>
          <w:rFonts w:ascii="Verdana" w:hAnsi="Verdana"/>
          <w:sz w:val="20"/>
          <w:szCs w:val="20"/>
        </w:rPr>
        <w:t xml:space="preserve"> </w:t>
      </w:r>
      <w:r w:rsidRPr="0056478C">
        <w:rPr>
          <w:rFonts w:ascii="Verdana" w:hAnsi="Verdana"/>
          <w:sz w:val="20"/>
          <w:szCs w:val="20"/>
        </w:rPr>
        <w:t>INN</w:t>
      </w:r>
      <w:r>
        <w:rPr>
          <w:rFonts w:ascii="Verdana" w:hAnsi="Verdana"/>
          <w:sz w:val="20"/>
          <w:szCs w:val="20"/>
        </w:rPr>
        <w:t xml:space="preserve"> </w:t>
      </w:r>
      <w:r w:rsidRPr="0056478C">
        <w:rPr>
          <w:rFonts w:ascii="Verdana" w:hAnsi="Verdana"/>
          <w:sz w:val="20"/>
          <w:szCs w:val="20"/>
        </w:rPr>
        <w:t xml:space="preserve">dans le </w:t>
      </w:r>
      <w:r w:rsidR="00CE3FC7">
        <w:rPr>
          <w:rFonts w:ascii="Verdana" w:hAnsi="Verdana"/>
          <w:sz w:val="20"/>
          <w:szCs w:val="20"/>
        </w:rPr>
        <w:t>S</w:t>
      </w:r>
      <w:r w:rsidRPr="0056478C">
        <w:rPr>
          <w:rFonts w:ascii="Verdana" w:hAnsi="Verdana"/>
          <w:sz w:val="20"/>
          <w:szCs w:val="20"/>
        </w:rPr>
        <w:t>ud-</w:t>
      </w:r>
      <w:r w:rsidR="00CE3FC7">
        <w:rPr>
          <w:rFonts w:ascii="Verdana" w:hAnsi="Verdana"/>
          <w:sz w:val="20"/>
          <w:szCs w:val="20"/>
        </w:rPr>
        <w:t>O</w:t>
      </w:r>
      <w:r w:rsidRPr="0056478C">
        <w:rPr>
          <w:rFonts w:ascii="Verdana" w:hAnsi="Verdana"/>
          <w:sz w:val="20"/>
          <w:szCs w:val="20"/>
        </w:rPr>
        <w:t>uest de l'océan Indien, tenue à Antananarivo</w:t>
      </w:r>
      <w:r>
        <w:rPr>
          <w:rFonts w:ascii="Verdana" w:hAnsi="Verdana"/>
          <w:sz w:val="20"/>
          <w:szCs w:val="20"/>
        </w:rPr>
        <w:t xml:space="preserve"> </w:t>
      </w:r>
      <w:r w:rsidRPr="0056478C">
        <w:rPr>
          <w:rFonts w:ascii="Verdana" w:hAnsi="Verdana"/>
          <w:sz w:val="20"/>
          <w:szCs w:val="20"/>
        </w:rPr>
        <w:t>le 21 juillet 2017 consiste à l'institutionnalisation du mécanisme du PRSP.</w:t>
      </w:r>
    </w:p>
    <w:p w14:paraId="2925A6BF" w14:textId="0AE1C09E" w:rsidR="001B5D63" w:rsidRPr="0056478C" w:rsidRDefault="001B5D63" w:rsidP="003E387F">
      <w:pPr>
        <w:jc w:val="both"/>
        <w:rPr>
          <w:rFonts w:ascii="Verdana" w:hAnsi="Verdana"/>
          <w:sz w:val="20"/>
          <w:szCs w:val="20"/>
        </w:rPr>
      </w:pPr>
      <w:r w:rsidRPr="0056478C">
        <w:rPr>
          <w:rFonts w:ascii="Verdana" w:hAnsi="Verdana"/>
          <w:sz w:val="20"/>
          <w:szCs w:val="20"/>
        </w:rPr>
        <w:t xml:space="preserve">Cette démarche est prévue dans le devis-programme du projet COI-E€OFISH, action stratégique 2.1.9, </w:t>
      </w:r>
      <w:r>
        <w:rPr>
          <w:rFonts w:ascii="Verdana" w:hAnsi="Verdana"/>
          <w:sz w:val="20"/>
          <w:szCs w:val="20"/>
        </w:rPr>
        <w:t xml:space="preserve">à travers </w:t>
      </w:r>
      <w:r w:rsidRPr="0056478C">
        <w:rPr>
          <w:rFonts w:ascii="Verdana" w:hAnsi="Verdana"/>
          <w:sz w:val="20"/>
          <w:szCs w:val="20"/>
        </w:rPr>
        <w:t>un appui technique et financier à la réalisation des activités du PRSP.</w:t>
      </w:r>
      <w:r w:rsidR="00CE3FC7">
        <w:rPr>
          <w:rFonts w:ascii="Verdana" w:hAnsi="Verdana"/>
          <w:sz w:val="20"/>
          <w:szCs w:val="20"/>
        </w:rPr>
        <w:t xml:space="preserve"> </w:t>
      </w:r>
      <w:r w:rsidRPr="0056478C">
        <w:rPr>
          <w:rFonts w:ascii="Verdana" w:hAnsi="Verdana"/>
          <w:sz w:val="20"/>
          <w:szCs w:val="20"/>
        </w:rPr>
        <w:t>A ce titre, une étude a été menée en vue de l'élaboration d'un cadre formel de gouvernance pour le PRSP dans le contexte de son institutionnalisation.</w:t>
      </w:r>
    </w:p>
    <w:p w14:paraId="247AAF2D" w14:textId="77777777" w:rsidR="001B5D63" w:rsidRPr="0056478C" w:rsidRDefault="001B5D63" w:rsidP="003E387F">
      <w:pPr>
        <w:ind w:right="399"/>
        <w:jc w:val="both"/>
        <w:rPr>
          <w:rFonts w:ascii="Verdana" w:hAnsi="Verdana"/>
          <w:sz w:val="20"/>
          <w:szCs w:val="20"/>
        </w:rPr>
      </w:pPr>
      <w:r w:rsidRPr="0056478C">
        <w:rPr>
          <w:rFonts w:ascii="Verdana" w:hAnsi="Verdana"/>
          <w:sz w:val="20"/>
          <w:szCs w:val="20"/>
        </w:rPr>
        <w:t>Les résultats de l'étude ont été validés à l’occasion d</w:t>
      </w:r>
      <w:r>
        <w:rPr>
          <w:rFonts w:ascii="Verdana" w:hAnsi="Verdana"/>
          <w:sz w:val="20"/>
          <w:szCs w:val="20"/>
        </w:rPr>
        <w:t>e la r</w:t>
      </w:r>
      <w:r w:rsidRPr="0056478C">
        <w:rPr>
          <w:rFonts w:ascii="Verdana" w:hAnsi="Verdana"/>
          <w:sz w:val="20"/>
          <w:szCs w:val="20"/>
        </w:rPr>
        <w:t>éunion de l'Unité de Coordination Régionale Élargie (UCRE) qui s'est tenue à Antananarivo en juillet 2023.</w:t>
      </w:r>
    </w:p>
    <w:p w14:paraId="119F1742" w14:textId="77777777" w:rsidR="001B5D63" w:rsidRPr="0056478C" w:rsidRDefault="001B5D63" w:rsidP="003E387F">
      <w:pPr>
        <w:ind w:right="399"/>
        <w:jc w:val="both"/>
        <w:rPr>
          <w:rFonts w:ascii="Verdana" w:hAnsi="Verdana"/>
          <w:sz w:val="20"/>
          <w:szCs w:val="20"/>
        </w:rPr>
      </w:pPr>
      <w:r w:rsidRPr="0056478C">
        <w:rPr>
          <w:rFonts w:ascii="Verdana" w:hAnsi="Verdana"/>
          <w:sz w:val="20"/>
          <w:szCs w:val="20"/>
        </w:rPr>
        <w:t>Les principales recommandations de l'étude sont les suivantes :</w:t>
      </w:r>
    </w:p>
    <w:p w14:paraId="1F4C0483" w14:textId="44695B59" w:rsidR="001B5D63" w:rsidRPr="0056478C" w:rsidRDefault="006C6513" w:rsidP="001B5D63">
      <w:pPr>
        <w:pStyle w:val="Paragraphedeliste"/>
        <w:numPr>
          <w:ilvl w:val="0"/>
          <w:numId w:val="11"/>
        </w:numPr>
        <w:spacing w:after="178" w:line="248" w:lineRule="auto"/>
        <w:ind w:right="399"/>
        <w:jc w:val="both"/>
        <w:rPr>
          <w:rFonts w:ascii="Verdana" w:hAnsi="Verdana"/>
          <w:sz w:val="20"/>
          <w:szCs w:val="20"/>
        </w:rPr>
      </w:pPr>
      <w:r>
        <w:rPr>
          <w:rFonts w:ascii="Verdana" w:hAnsi="Verdana"/>
          <w:sz w:val="20"/>
          <w:szCs w:val="20"/>
        </w:rPr>
        <w:t>Etablissement d’un n</w:t>
      </w:r>
      <w:r w:rsidR="001B5D63" w:rsidRPr="0056478C">
        <w:rPr>
          <w:rFonts w:ascii="Verdana" w:hAnsi="Verdana"/>
          <w:sz w:val="20"/>
          <w:szCs w:val="20"/>
        </w:rPr>
        <w:t>ouveau cadre de gouvernance.</w:t>
      </w:r>
    </w:p>
    <w:p w14:paraId="4255DEA5" w14:textId="77777777" w:rsidR="001B5D63" w:rsidRPr="0056478C" w:rsidRDefault="001B5D63" w:rsidP="001B5D63">
      <w:pPr>
        <w:pStyle w:val="Paragraphedeliste"/>
        <w:numPr>
          <w:ilvl w:val="0"/>
          <w:numId w:val="11"/>
        </w:numPr>
        <w:spacing w:after="178" w:line="248" w:lineRule="auto"/>
        <w:ind w:right="399"/>
        <w:jc w:val="both"/>
        <w:rPr>
          <w:rFonts w:ascii="Verdana" w:hAnsi="Verdana"/>
          <w:sz w:val="20"/>
          <w:szCs w:val="20"/>
        </w:rPr>
      </w:pPr>
      <w:r w:rsidRPr="0056478C">
        <w:rPr>
          <w:rFonts w:ascii="Verdana" w:hAnsi="Verdana"/>
          <w:sz w:val="20"/>
          <w:szCs w:val="20"/>
        </w:rPr>
        <w:t>Création d’un Centre sous-régional de surveillance, de contrôle, et d'observation des pêches.</w:t>
      </w:r>
    </w:p>
    <w:p w14:paraId="734B3D99" w14:textId="77777777" w:rsidR="001B5D63" w:rsidRPr="0056478C" w:rsidRDefault="001B5D63" w:rsidP="001B5D63">
      <w:pPr>
        <w:pStyle w:val="Paragraphedeliste"/>
        <w:numPr>
          <w:ilvl w:val="0"/>
          <w:numId w:val="11"/>
        </w:numPr>
        <w:spacing w:after="178" w:line="248" w:lineRule="auto"/>
        <w:ind w:right="399"/>
        <w:jc w:val="both"/>
        <w:rPr>
          <w:rFonts w:ascii="Verdana" w:hAnsi="Verdana"/>
          <w:sz w:val="20"/>
          <w:szCs w:val="20"/>
        </w:rPr>
      </w:pPr>
      <w:r w:rsidRPr="0056478C">
        <w:rPr>
          <w:rFonts w:ascii="Verdana" w:hAnsi="Verdana"/>
          <w:sz w:val="20"/>
          <w:szCs w:val="20"/>
        </w:rPr>
        <w:t>Établissement des termes de références pour les unités opérationnelles et de gouvernance de PRSP.</w:t>
      </w:r>
    </w:p>
    <w:p w14:paraId="288718BC" w14:textId="77777777" w:rsidR="001B5D63" w:rsidRPr="0056478C" w:rsidRDefault="001B5D63" w:rsidP="001B5D63">
      <w:pPr>
        <w:pStyle w:val="Paragraphedeliste"/>
        <w:numPr>
          <w:ilvl w:val="0"/>
          <w:numId w:val="11"/>
        </w:numPr>
        <w:spacing w:after="178" w:line="248" w:lineRule="auto"/>
        <w:ind w:right="399"/>
        <w:jc w:val="both"/>
        <w:rPr>
          <w:rFonts w:ascii="Verdana" w:hAnsi="Verdana"/>
          <w:sz w:val="20"/>
          <w:szCs w:val="20"/>
        </w:rPr>
      </w:pPr>
      <w:r w:rsidRPr="0056478C">
        <w:rPr>
          <w:rFonts w:ascii="Verdana" w:hAnsi="Verdana"/>
          <w:sz w:val="20"/>
          <w:szCs w:val="20"/>
        </w:rPr>
        <w:t>Établissement d’accord de siège dans un État participant pour héberger le centre PRSP.</w:t>
      </w:r>
    </w:p>
    <w:p w14:paraId="61CCAB67" w14:textId="77777777" w:rsidR="001B5D63" w:rsidRPr="0056478C" w:rsidRDefault="001B5D63" w:rsidP="000651CE">
      <w:pPr>
        <w:spacing w:after="0" w:line="240" w:lineRule="auto"/>
        <w:ind w:right="399"/>
        <w:jc w:val="both"/>
        <w:rPr>
          <w:rFonts w:ascii="Verdana" w:hAnsi="Verdana"/>
          <w:sz w:val="20"/>
          <w:szCs w:val="20"/>
        </w:rPr>
      </w:pPr>
      <w:r w:rsidRPr="0056478C">
        <w:rPr>
          <w:rFonts w:ascii="Verdana" w:hAnsi="Verdana"/>
          <w:sz w:val="20"/>
          <w:szCs w:val="20"/>
        </w:rPr>
        <w:lastRenderedPageBreak/>
        <w:t>Les consultations en vue de l'institutionnalisation du PRSP ont été menées à travers des réunions de l’UCRE aux Seychelles (octobre 2021), à La Réunion (février 2023) et à Madagascar (juillet 2023).</w:t>
      </w:r>
    </w:p>
    <w:p w14:paraId="03D876B9" w14:textId="77777777" w:rsidR="001B5D63" w:rsidRPr="0056478C" w:rsidRDefault="001B5D63" w:rsidP="001B5D63">
      <w:pPr>
        <w:spacing w:after="0" w:line="240" w:lineRule="auto"/>
        <w:ind w:left="720" w:right="399"/>
        <w:rPr>
          <w:rFonts w:ascii="Verdana" w:hAnsi="Verdana"/>
          <w:sz w:val="20"/>
          <w:szCs w:val="20"/>
        </w:rPr>
      </w:pPr>
    </w:p>
    <w:p w14:paraId="224F44B1" w14:textId="77777777" w:rsidR="001B5D63" w:rsidRDefault="001B5D63" w:rsidP="001B5D63">
      <w:pPr>
        <w:spacing w:after="0" w:line="240" w:lineRule="auto"/>
        <w:ind w:right="399"/>
        <w:rPr>
          <w:rFonts w:ascii="Verdana" w:hAnsi="Verdana"/>
          <w:b/>
          <w:bCs/>
          <w:sz w:val="20"/>
          <w:szCs w:val="20"/>
        </w:rPr>
      </w:pPr>
    </w:p>
    <w:p w14:paraId="560AF797" w14:textId="77777777" w:rsidR="001B5D63" w:rsidRDefault="001B5D63" w:rsidP="001B5D63">
      <w:pPr>
        <w:pStyle w:val="Sous-partie2"/>
      </w:pPr>
      <w:r w:rsidRPr="001B5D63">
        <w:t>Développement des instruments juridiques du PRSP :</w:t>
      </w:r>
    </w:p>
    <w:p w14:paraId="7DC94C05" w14:textId="3DAE62F1" w:rsidR="001B5D63" w:rsidRPr="0056478C" w:rsidRDefault="001B5D63" w:rsidP="000651CE">
      <w:pPr>
        <w:spacing w:after="0" w:line="240" w:lineRule="auto"/>
        <w:ind w:right="399"/>
        <w:jc w:val="both"/>
        <w:rPr>
          <w:rFonts w:ascii="Verdana" w:hAnsi="Verdana"/>
          <w:sz w:val="20"/>
          <w:szCs w:val="20"/>
        </w:rPr>
      </w:pPr>
      <w:r w:rsidRPr="0056478C">
        <w:rPr>
          <w:rFonts w:ascii="Verdana" w:hAnsi="Verdana"/>
          <w:sz w:val="20"/>
          <w:szCs w:val="20"/>
        </w:rPr>
        <w:t>Les instruments juridiques PRSP ont fait l'objet d'amendement. Des nouveaux termes de référence ont été également établis pour fixer les modalités de fonctionnement de l’UCR et de l’UCRE :</w:t>
      </w:r>
    </w:p>
    <w:p w14:paraId="2E7658CC" w14:textId="77777777" w:rsidR="001B5D63" w:rsidRPr="0056478C" w:rsidRDefault="001B5D63" w:rsidP="000651CE">
      <w:pPr>
        <w:spacing w:after="0" w:line="240" w:lineRule="auto"/>
        <w:ind w:right="399"/>
        <w:jc w:val="both"/>
        <w:rPr>
          <w:rFonts w:ascii="Verdana" w:hAnsi="Verdana"/>
          <w:sz w:val="20"/>
          <w:szCs w:val="20"/>
        </w:rPr>
      </w:pPr>
    </w:p>
    <w:p w14:paraId="0D39630D"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Accord sur l'arrangement administratif entre le COI et les États participants au PRSP pour la gestion et l'opérationnalisation du PRSP, lequel remplace les arrangements administratifs de 2014.</w:t>
      </w:r>
    </w:p>
    <w:p w14:paraId="6D99B480"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Termes de référence pour l'Unité régionale de coordination (UCR) du PRSP.</w:t>
      </w:r>
    </w:p>
    <w:p w14:paraId="3CAE76FB" w14:textId="48A4395B"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Termes de référence pour</w:t>
      </w:r>
      <w:r w:rsidR="008C3DE0" w:rsidRPr="008C3DE0">
        <w:rPr>
          <w:rFonts w:ascii="Verdana" w:hAnsi="Verdana"/>
          <w:sz w:val="20"/>
          <w:szCs w:val="20"/>
        </w:rPr>
        <w:t xml:space="preserve"> </w:t>
      </w:r>
      <w:r w:rsidR="008C3DE0" w:rsidRPr="0056478C">
        <w:rPr>
          <w:rFonts w:ascii="Verdana" w:hAnsi="Verdana"/>
          <w:sz w:val="20"/>
          <w:szCs w:val="20"/>
        </w:rPr>
        <w:t>l'Unité régionale de coordination</w:t>
      </w:r>
      <w:r w:rsidR="008C3DE0">
        <w:rPr>
          <w:rFonts w:ascii="Verdana" w:hAnsi="Verdana"/>
          <w:sz w:val="20"/>
          <w:szCs w:val="20"/>
        </w:rPr>
        <w:t xml:space="preserve"> Elargie (</w:t>
      </w:r>
      <w:r w:rsidRPr="0056478C">
        <w:rPr>
          <w:rFonts w:ascii="Verdana" w:hAnsi="Verdana"/>
          <w:sz w:val="20"/>
          <w:szCs w:val="20"/>
        </w:rPr>
        <w:t>UCRE</w:t>
      </w:r>
      <w:r w:rsidR="008C3DE0">
        <w:rPr>
          <w:rFonts w:ascii="Verdana" w:hAnsi="Verdana"/>
          <w:sz w:val="20"/>
          <w:szCs w:val="20"/>
        </w:rPr>
        <w:t>)</w:t>
      </w:r>
      <w:r w:rsidRPr="0056478C">
        <w:rPr>
          <w:rFonts w:ascii="Verdana" w:hAnsi="Verdana"/>
          <w:sz w:val="20"/>
          <w:szCs w:val="20"/>
        </w:rPr>
        <w:t xml:space="preserve"> du PRSP.</w:t>
      </w:r>
    </w:p>
    <w:p w14:paraId="0C1744FE"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Termes de référence pour le Groupe de travail des gestionnaires de programmes d'observateurs nationaux.</w:t>
      </w:r>
    </w:p>
    <w:p w14:paraId="73BE7486"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Accord entre les États participants au PRSP pour l'échange d'informations sur les pêches aux fins du Suivi, Contrôle et Surveillance.  La nouvelle version de l’accord remplace le Protocole VMS de 2014.</w:t>
      </w:r>
    </w:p>
    <w:p w14:paraId="6C8937FB" w14:textId="77777777" w:rsidR="001B5D63" w:rsidRPr="0056478C" w:rsidRDefault="001B5D63" w:rsidP="000651CE">
      <w:pPr>
        <w:numPr>
          <w:ilvl w:val="1"/>
          <w:numId w:val="10"/>
        </w:numPr>
        <w:tabs>
          <w:tab w:val="clear" w:pos="1440"/>
        </w:tabs>
        <w:spacing w:after="0" w:line="240" w:lineRule="auto"/>
        <w:ind w:left="709" w:right="399"/>
        <w:jc w:val="both"/>
        <w:rPr>
          <w:rFonts w:ascii="Verdana" w:hAnsi="Verdana"/>
          <w:sz w:val="20"/>
          <w:szCs w:val="20"/>
        </w:rPr>
      </w:pPr>
      <w:r w:rsidRPr="0056478C">
        <w:rPr>
          <w:rFonts w:ascii="Verdana" w:hAnsi="Verdana"/>
          <w:sz w:val="20"/>
          <w:szCs w:val="20"/>
        </w:rPr>
        <w:t>Protocole d'accord pour la certification et la coordination des observateurs scientifiques des États côtiers au niveau sous-régional et le partage des informations et des données des observateurs.</w:t>
      </w:r>
    </w:p>
    <w:p w14:paraId="67358966" w14:textId="77777777" w:rsidR="001B5D63" w:rsidRPr="0056478C" w:rsidRDefault="001B5D63" w:rsidP="000651CE">
      <w:pPr>
        <w:jc w:val="both"/>
        <w:rPr>
          <w:rFonts w:ascii="Verdana" w:hAnsi="Verdana"/>
          <w:sz w:val="20"/>
          <w:szCs w:val="20"/>
        </w:rPr>
      </w:pPr>
    </w:p>
    <w:p w14:paraId="0BE4F995" w14:textId="77777777" w:rsidR="001B5D63" w:rsidRPr="0056478C" w:rsidRDefault="001B5D63" w:rsidP="001B5D63">
      <w:pPr>
        <w:pStyle w:val="Sous-partie2"/>
      </w:pPr>
      <w:r w:rsidRPr="001B5D63">
        <w:t>Conférence ministérielle sur la pêche et processus d'institutionnalisation du PRSP</w:t>
      </w:r>
    </w:p>
    <w:p w14:paraId="6A476F57" w14:textId="61D96003" w:rsidR="001B5D63" w:rsidRPr="0056478C" w:rsidRDefault="001B5D63" w:rsidP="000651CE">
      <w:pPr>
        <w:jc w:val="both"/>
        <w:rPr>
          <w:rFonts w:ascii="Verdana" w:hAnsi="Verdana"/>
          <w:sz w:val="20"/>
          <w:szCs w:val="20"/>
        </w:rPr>
      </w:pPr>
      <w:r w:rsidRPr="0056478C">
        <w:rPr>
          <w:rFonts w:ascii="Verdana" w:hAnsi="Verdana"/>
          <w:sz w:val="20"/>
          <w:szCs w:val="20"/>
        </w:rPr>
        <w:t xml:space="preserve">Une </w:t>
      </w:r>
      <w:r w:rsidR="00CE3FC7">
        <w:rPr>
          <w:rFonts w:ascii="Verdana" w:hAnsi="Verdana"/>
          <w:sz w:val="20"/>
          <w:szCs w:val="20"/>
        </w:rPr>
        <w:t>C</w:t>
      </w:r>
      <w:r w:rsidRPr="0056478C">
        <w:rPr>
          <w:rFonts w:ascii="Verdana" w:hAnsi="Verdana"/>
          <w:sz w:val="20"/>
          <w:szCs w:val="20"/>
        </w:rPr>
        <w:t>onférence des ministres en charge de la pêche des pays participants au PRSP est prévue de se tenir pendant l</w:t>
      </w:r>
      <w:r w:rsidR="00CE3FC7">
        <w:rPr>
          <w:rFonts w:ascii="Verdana" w:hAnsi="Verdana"/>
          <w:sz w:val="20"/>
          <w:szCs w:val="20"/>
        </w:rPr>
        <w:t>e</w:t>
      </w:r>
      <w:r w:rsidRPr="0056478C">
        <w:rPr>
          <w:rFonts w:ascii="Verdana" w:hAnsi="Verdana"/>
          <w:sz w:val="20"/>
          <w:szCs w:val="20"/>
        </w:rPr>
        <w:t xml:space="preserve"> deuxième semestre 2024.</w:t>
      </w:r>
    </w:p>
    <w:p w14:paraId="51874EDF" w14:textId="296B3F88" w:rsidR="001B5D63" w:rsidRPr="0056478C" w:rsidRDefault="001B5D63" w:rsidP="000651CE">
      <w:pPr>
        <w:jc w:val="both"/>
        <w:rPr>
          <w:rFonts w:ascii="Verdana" w:hAnsi="Verdana"/>
          <w:sz w:val="20"/>
          <w:szCs w:val="20"/>
        </w:rPr>
      </w:pPr>
      <w:r w:rsidRPr="0056478C">
        <w:rPr>
          <w:rFonts w:ascii="Verdana" w:hAnsi="Verdana"/>
          <w:sz w:val="20"/>
          <w:szCs w:val="20"/>
        </w:rPr>
        <w:t>L’organisation de cette conférence ministérielle consiste à définir la</w:t>
      </w:r>
      <w:r>
        <w:rPr>
          <w:rFonts w:ascii="Verdana" w:hAnsi="Verdana"/>
          <w:sz w:val="20"/>
          <w:szCs w:val="20"/>
        </w:rPr>
        <w:t xml:space="preserve"> marche </w:t>
      </w:r>
      <w:r w:rsidRPr="0056478C">
        <w:rPr>
          <w:rFonts w:ascii="Verdana" w:hAnsi="Verdana"/>
          <w:sz w:val="20"/>
          <w:szCs w:val="20"/>
        </w:rPr>
        <w:t xml:space="preserve">à suivre en matière de gouvernance, de viabilité opérationnelle et financière du PRSP en tant que mécanisme sous-régional de gestion des pêches visant à prévenir, dissuader et éliminer la pêche INN dans la région du </w:t>
      </w:r>
      <w:r w:rsidR="00E22AD2">
        <w:rPr>
          <w:rFonts w:ascii="Verdana" w:hAnsi="Verdana"/>
          <w:sz w:val="20"/>
          <w:szCs w:val="20"/>
        </w:rPr>
        <w:t>S</w:t>
      </w:r>
      <w:r w:rsidRPr="0056478C">
        <w:rPr>
          <w:rFonts w:ascii="Verdana" w:hAnsi="Verdana"/>
          <w:sz w:val="20"/>
          <w:szCs w:val="20"/>
        </w:rPr>
        <w:t>ud-</w:t>
      </w:r>
      <w:r w:rsidR="00E22AD2">
        <w:rPr>
          <w:rFonts w:ascii="Verdana" w:hAnsi="Verdana"/>
          <w:sz w:val="20"/>
          <w:szCs w:val="20"/>
        </w:rPr>
        <w:t>O</w:t>
      </w:r>
      <w:r w:rsidRPr="0056478C">
        <w:rPr>
          <w:rFonts w:ascii="Verdana" w:hAnsi="Verdana"/>
          <w:sz w:val="20"/>
          <w:szCs w:val="20"/>
        </w:rPr>
        <w:t>uest de l’</w:t>
      </w:r>
      <w:r w:rsidR="00E22AD2">
        <w:rPr>
          <w:rFonts w:ascii="Verdana" w:hAnsi="Verdana"/>
          <w:sz w:val="20"/>
          <w:szCs w:val="20"/>
        </w:rPr>
        <w:t>o</w:t>
      </w:r>
      <w:r w:rsidRPr="0056478C">
        <w:rPr>
          <w:rFonts w:ascii="Verdana" w:hAnsi="Verdana"/>
          <w:sz w:val="20"/>
          <w:szCs w:val="20"/>
        </w:rPr>
        <w:t>céan Indien.</w:t>
      </w:r>
      <w:r>
        <w:rPr>
          <w:rFonts w:ascii="Verdana" w:hAnsi="Verdana"/>
          <w:sz w:val="20"/>
          <w:szCs w:val="20"/>
        </w:rPr>
        <w:t xml:space="preserve"> </w:t>
      </w:r>
      <w:r w:rsidRPr="0056478C">
        <w:rPr>
          <w:rFonts w:ascii="Verdana" w:hAnsi="Verdana"/>
          <w:sz w:val="20"/>
          <w:szCs w:val="20"/>
        </w:rPr>
        <w:t>Elle sera également l’occasion de procéder à la signature des instruments juridiques du PRSP.</w:t>
      </w:r>
    </w:p>
    <w:p w14:paraId="4EE99AED"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 xml:space="preserve">La Décision 7, j) du 37ème Conseil a souligné la </w:t>
      </w:r>
      <w:proofErr w:type="spellStart"/>
      <w:r w:rsidRPr="0056478C">
        <w:rPr>
          <w:rFonts w:ascii="Verdana" w:hAnsi="Verdana"/>
          <w:sz w:val="20"/>
          <w:szCs w:val="20"/>
        </w:rPr>
        <w:t>nécéssité</w:t>
      </w:r>
      <w:proofErr w:type="spellEnd"/>
      <w:r w:rsidRPr="0056478C">
        <w:rPr>
          <w:rFonts w:ascii="Verdana" w:hAnsi="Verdana"/>
          <w:sz w:val="20"/>
          <w:szCs w:val="20"/>
        </w:rPr>
        <w:t xml:space="preserve"> d’une approbation préalable des rapports et documents juridiques du PRSP par les instances de la COI en vue de leur signature à l’occasion de cette prochaine conférence ministérielle du PRSP.</w:t>
      </w:r>
    </w:p>
    <w:p w14:paraId="72E94EBC" w14:textId="77777777" w:rsidR="001B5D63" w:rsidRPr="0056478C" w:rsidRDefault="001B5D63" w:rsidP="000651CE">
      <w:pPr>
        <w:spacing w:after="0" w:line="0" w:lineRule="atLeast"/>
        <w:jc w:val="both"/>
        <w:rPr>
          <w:rFonts w:ascii="Verdana" w:hAnsi="Verdana"/>
          <w:sz w:val="20"/>
          <w:szCs w:val="20"/>
        </w:rPr>
      </w:pPr>
    </w:p>
    <w:p w14:paraId="7B7E7DED" w14:textId="597CB7C8"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L’établissement de ces documents juridiques s’inscrit dans le cadre de l’élargissement du PRSP</w:t>
      </w:r>
      <w:r w:rsidR="008C3DE0">
        <w:rPr>
          <w:rFonts w:ascii="Verdana" w:hAnsi="Verdana"/>
          <w:sz w:val="20"/>
          <w:szCs w:val="20"/>
        </w:rPr>
        <w:t xml:space="preserve"> </w:t>
      </w:r>
      <w:r w:rsidRPr="0056478C">
        <w:rPr>
          <w:rFonts w:ascii="Verdana" w:hAnsi="Verdana"/>
          <w:sz w:val="20"/>
          <w:szCs w:val="20"/>
        </w:rPr>
        <w:t xml:space="preserve">à d’autres pays, à savoir, la Somalie, ainsi que cette perspective d’institutionnalisation et de </w:t>
      </w:r>
      <w:proofErr w:type="spellStart"/>
      <w:r w:rsidRPr="0056478C">
        <w:rPr>
          <w:rFonts w:ascii="Verdana" w:hAnsi="Verdana"/>
          <w:sz w:val="20"/>
          <w:szCs w:val="20"/>
        </w:rPr>
        <w:t>pérénnisation</w:t>
      </w:r>
      <w:proofErr w:type="spellEnd"/>
      <w:r w:rsidRPr="0056478C">
        <w:rPr>
          <w:rFonts w:ascii="Verdana" w:hAnsi="Verdana"/>
          <w:sz w:val="20"/>
          <w:szCs w:val="20"/>
        </w:rPr>
        <w:t xml:space="preserve"> de ce mécanisme de coopération régionale dans le domaine de la surveillance des pêches.</w:t>
      </w:r>
    </w:p>
    <w:p w14:paraId="3EB1E210" w14:textId="77777777" w:rsidR="001B5D63" w:rsidRPr="0056478C" w:rsidRDefault="001B5D63" w:rsidP="000651CE">
      <w:pPr>
        <w:spacing w:after="0" w:line="0" w:lineRule="atLeast"/>
        <w:jc w:val="both"/>
        <w:rPr>
          <w:rFonts w:ascii="Verdana" w:hAnsi="Verdana"/>
          <w:sz w:val="20"/>
          <w:szCs w:val="20"/>
        </w:rPr>
      </w:pPr>
    </w:p>
    <w:p w14:paraId="493A481E"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Ces documents ont été traduits en trois langues à savoir l’anglais, le français et le portugais.</w:t>
      </w:r>
    </w:p>
    <w:p w14:paraId="5BED8B9A" w14:textId="77777777" w:rsidR="001B5D63" w:rsidRPr="0056478C" w:rsidRDefault="001B5D63" w:rsidP="000651CE">
      <w:pPr>
        <w:spacing w:after="0" w:line="0" w:lineRule="atLeast"/>
        <w:jc w:val="both"/>
        <w:rPr>
          <w:rFonts w:ascii="Verdana" w:hAnsi="Verdana"/>
          <w:sz w:val="20"/>
          <w:szCs w:val="20"/>
        </w:rPr>
      </w:pPr>
    </w:p>
    <w:p w14:paraId="43117194" w14:textId="77777777" w:rsidR="001B5D63" w:rsidRPr="0056478C" w:rsidRDefault="001B5D63" w:rsidP="000651CE">
      <w:pPr>
        <w:jc w:val="both"/>
        <w:rPr>
          <w:rFonts w:ascii="Verdana" w:hAnsi="Verdana"/>
          <w:sz w:val="20"/>
          <w:szCs w:val="20"/>
        </w:rPr>
      </w:pPr>
      <w:r w:rsidRPr="0056478C">
        <w:rPr>
          <w:rFonts w:ascii="Verdana" w:hAnsi="Verdana"/>
          <w:sz w:val="20"/>
          <w:szCs w:val="20"/>
        </w:rPr>
        <w:t>Ces documents ont fait l’objet d’une validation technique par les juristes, représentants des Etats participants au PRSP à l’occasion de l’atelier juridique qui s’est tenu du 13 au 17 mars 2023 à Zanzibar. Cette validation technique a été suivie d’une approbation des membres de l’UCRE lors de la 12ème réunion organisée les 04 et 05 juillet 2023 à Antananarivo.</w:t>
      </w:r>
    </w:p>
    <w:p w14:paraId="0F3F246B" w14:textId="17B95309" w:rsidR="001B5D63" w:rsidRPr="0056478C" w:rsidRDefault="001B5D63" w:rsidP="000651CE">
      <w:pPr>
        <w:spacing w:after="0"/>
        <w:jc w:val="both"/>
        <w:rPr>
          <w:rFonts w:ascii="Verdana" w:hAnsi="Verdana"/>
          <w:sz w:val="20"/>
          <w:szCs w:val="20"/>
        </w:rPr>
      </w:pPr>
      <w:r w:rsidRPr="0056478C">
        <w:rPr>
          <w:rFonts w:ascii="Verdana" w:hAnsi="Verdana"/>
          <w:sz w:val="20"/>
          <w:szCs w:val="20"/>
        </w:rPr>
        <w:lastRenderedPageBreak/>
        <w:t>Il prévu également qu’une Déclaration ministérielle 2024 des États participants au PRSP sur la pêche</w:t>
      </w:r>
      <w:r w:rsidRPr="0056478C">
        <w:rPr>
          <w:rFonts w:ascii="Verdana" w:hAnsi="Verdana"/>
          <w:b/>
          <w:bCs/>
          <w:sz w:val="20"/>
          <w:szCs w:val="20"/>
        </w:rPr>
        <w:t xml:space="preserve"> </w:t>
      </w:r>
      <w:r w:rsidRPr="0056478C">
        <w:rPr>
          <w:rFonts w:ascii="Verdana" w:hAnsi="Verdana"/>
          <w:sz w:val="20"/>
          <w:szCs w:val="20"/>
        </w:rPr>
        <w:t xml:space="preserve">sera émise à l’issue de ladite </w:t>
      </w:r>
      <w:r w:rsidR="00E22AD2">
        <w:rPr>
          <w:rFonts w:ascii="Verdana" w:hAnsi="Verdana"/>
          <w:sz w:val="20"/>
          <w:szCs w:val="20"/>
        </w:rPr>
        <w:t>C</w:t>
      </w:r>
      <w:r w:rsidRPr="0056478C">
        <w:rPr>
          <w:rFonts w:ascii="Verdana" w:hAnsi="Verdana"/>
          <w:sz w:val="20"/>
          <w:szCs w:val="20"/>
        </w:rPr>
        <w:t>onférence.</w:t>
      </w:r>
    </w:p>
    <w:p w14:paraId="0464D4B2" w14:textId="77777777" w:rsidR="001B5D63" w:rsidRDefault="001B5D63" w:rsidP="001B5D63">
      <w:pPr>
        <w:rPr>
          <w:rFonts w:ascii="Verdana" w:hAnsi="Verdana"/>
          <w:sz w:val="20"/>
          <w:szCs w:val="20"/>
        </w:rPr>
      </w:pPr>
    </w:p>
    <w:p w14:paraId="2B407081" w14:textId="77777777" w:rsidR="001B5D63" w:rsidRPr="0056478C" w:rsidRDefault="001B5D63" w:rsidP="001B5D63">
      <w:pPr>
        <w:pStyle w:val="Sous-partie2"/>
      </w:pPr>
      <w:r w:rsidRPr="001B5D63">
        <w:t>Le processus d’institutionnalisation du PRSP</w:t>
      </w:r>
    </w:p>
    <w:p w14:paraId="6228D569" w14:textId="77777777" w:rsidR="001B5D63" w:rsidRPr="0056478C" w:rsidRDefault="001B5D63" w:rsidP="000651CE">
      <w:pPr>
        <w:jc w:val="both"/>
        <w:rPr>
          <w:rFonts w:ascii="Verdana" w:hAnsi="Verdana"/>
          <w:sz w:val="20"/>
          <w:szCs w:val="20"/>
        </w:rPr>
      </w:pPr>
      <w:r w:rsidRPr="0056478C">
        <w:rPr>
          <w:rFonts w:ascii="Verdana" w:hAnsi="Verdana"/>
          <w:sz w:val="20"/>
          <w:szCs w:val="20"/>
        </w:rPr>
        <w:t>Le processus lié à l’institutionnalisation du PRSP se réalise à travers une approche à deux phases :</w:t>
      </w:r>
    </w:p>
    <w:p w14:paraId="53900119" w14:textId="77777777" w:rsidR="001B5D63" w:rsidRPr="0056478C" w:rsidRDefault="001B5D63" w:rsidP="000651CE">
      <w:pPr>
        <w:pStyle w:val="Paragraphedeliste"/>
        <w:numPr>
          <w:ilvl w:val="0"/>
          <w:numId w:val="13"/>
        </w:numPr>
        <w:spacing w:after="178" w:line="248" w:lineRule="auto"/>
        <w:jc w:val="both"/>
        <w:rPr>
          <w:rFonts w:ascii="Verdana" w:hAnsi="Verdana"/>
          <w:sz w:val="20"/>
          <w:szCs w:val="20"/>
        </w:rPr>
      </w:pPr>
      <w:r w:rsidRPr="0056478C">
        <w:rPr>
          <w:rFonts w:ascii="Verdana" w:hAnsi="Verdana"/>
          <w:sz w:val="20"/>
          <w:szCs w:val="20"/>
        </w:rPr>
        <w:t>Établissement des instruments administratifs, juridiques et opérationnels</w:t>
      </w:r>
    </w:p>
    <w:p w14:paraId="145B5BFA" w14:textId="0D62BAEE" w:rsidR="001B5D63" w:rsidRPr="001B5D63" w:rsidRDefault="001B5D63" w:rsidP="000651CE">
      <w:pPr>
        <w:pStyle w:val="Paragraphedeliste"/>
        <w:numPr>
          <w:ilvl w:val="0"/>
          <w:numId w:val="13"/>
        </w:numPr>
        <w:spacing w:after="178" w:line="248" w:lineRule="auto"/>
        <w:jc w:val="both"/>
        <w:rPr>
          <w:rFonts w:ascii="Verdana" w:hAnsi="Verdana"/>
          <w:sz w:val="20"/>
          <w:szCs w:val="20"/>
        </w:rPr>
      </w:pPr>
      <w:r w:rsidRPr="0056478C">
        <w:rPr>
          <w:rFonts w:ascii="Verdana" w:hAnsi="Verdana"/>
          <w:sz w:val="20"/>
          <w:szCs w:val="20"/>
        </w:rPr>
        <w:t>Réalisation d’une étude sur l’impact socio-économique, rapport coût-bénéfice, mécanisme de financement.</w:t>
      </w:r>
    </w:p>
    <w:p w14:paraId="0FE439E6" w14:textId="77777777" w:rsidR="001B5D63" w:rsidRPr="0056478C" w:rsidRDefault="001B5D63" w:rsidP="000651CE">
      <w:pPr>
        <w:jc w:val="both"/>
        <w:rPr>
          <w:rFonts w:ascii="Verdana" w:hAnsi="Verdana"/>
          <w:sz w:val="20"/>
          <w:szCs w:val="20"/>
        </w:rPr>
      </w:pPr>
      <w:r w:rsidRPr="0056478C">
        <w:rPr>
          <w:rFonts w:ascii="Verdana" w:hAnsi="Verdana"/>
          <w:sz w:val="20"/>
          <w:szCs w:val="20"/>
        </w:rPr>
        <w:t xml:space="preserve">Les études sur l'impact socio-économique, les coûts-bénéfices, le mécanisme de financement seront par la suite réalisées. </w:t>
      </w:r>
    </w:p>
    <w:p w14:paraId="418DE93F" w14:textId="77777777" w:rsidR="001B5D63" w:rsidRPr="0056478C" w:rsidRDefault="001B5D63" w:rsidP="001B5D63">
      <w:pPr>
        <w:rPr>
          <w:rFonts w:ascii="Verdana" w:hAnsi="Verdana"/>
          <w:sz w:val="20"/>
          <w:szCs w:val="20"/>
        </w:rPr>
      </w:pPr>
    </w:p>
    <w:p w14:paraId="7C39F4AB" w14:textId="77777777" w:rsidR="001B5D63" w:rsidRPr="001B5D63" w:rsidRDefault="001B5D63" w:rsidP="001B5D63">
      <w:pPr>
        <w:pStyle w:val="Sous-partie2"/>
      </w:pPr>
      <w:r w:rsidRPr="001B5D63">
        <w:t>La pérennisation du PRSP</w:t>
      </w:r>
    </w:p>
    <w:p w14:paraId="566C3BB5" w14:textId="77777777" w:rsidR="001B5D63" w:rsidRPr="0053627D" w:rsidRDefault="001B5D63" w:rsidP="000651CE">
      <w:pPr>
        <w:jc w:val="both"/>
        <w:rPr>
          <w:rFonts w:ascii="Verdana" w:hAnsi="Verdana"/>
          <w:sz w:val="20"/>
          <w:szCs w:val="20"/>
        </w:rPr>
      </w:pPr>
      <w:r w:rsidRPr="0053627D">
        <w:rPr>
          <w:rFonts w:ascii="Verdana" w:hAnsi="Verdana"/>
          <w:sz w:val="20"/>
          <w:szCs w:val="20"/>
        </w:rPr>
        <w:t xml:space="preserve">Le PRSP a bénéficié de l’appui des partenaires technico-financiers </w:t>
      </w:r>
      <w:r>
        <w:rPr>
          <w:rFonts w:ascii="Verdana" w:hAnsi="Verdana"/>
          <w:sz w:val="20"/>
          <w:szCs w:val="20"/>
        </w:rPr>
        <w:t xml:space="preserve">de la COI </w:t>
      </w:r>
      <w:r w:rsidRPr="0053627D">
        <w:rPr>
          <w:rFonts w:ascii="Verdana" w:hAnsi="Verdana"/>
          <w:sz w:val="20"/>
          <w:szCs w:val="20"/>
        </w:rPr>
        <w:t>depuis son lancement à l’issue de la conférence ministérielle de 2007.</w:t>
      </w:r>
    </w:p>
    <w:p w14:paraId="113B64B3" w14:textId="3C1762CE" w:rsidR="001B5D63" w:rsidRPr="0053627D" w:rsidRDefault="001B5D63" w:rsidP="000651CE">
      <w:pPr>
        <w:jc w:val="both"/>
        <w:rPr>
          <w:rFonts w:ascii="Verdana" w:hAnsi="Verdana"/>
          <w:sz w:val="20"/>
          <w:szCs w:val="20"/>
        </w:rPr>
      </w:pPr>
      <w:r w:rsidRPr="0053627D">
        <w:rPr>
          <w:rFonts w:ascii="Verdana" w:hAnsi="Verdana"/>
          <w:sz w:val="20"/>
          <w:szCs w:val="20"/>
        </w:rPr>
        <w:t xml:space="preserve">La Direction Générale des Affaires Maritimes et de la Pêche de l’Union </w:t>
      </w:r>
      <w:r w:rsidR="00E22AD2">
        <w:rPr>
          <w:rFonts w:ascii="Verdana" w:hAnsi="Verdana"/>
          <w:sz w:val="20"/>
          <w:szCs w:val="20"/>
        </w:rPr>
        <w:t>e</w:t>
      </w:r>
      <w:r w:rsidRPr="0053627D">
        <w:rPr>
          <w:rFonts w:ascii="Verdana" w:hAnsi="Verdana"/>
          <w:sz w:val="20"/>
          <w:szCs w:val="20"/>
        </w:rPr>
        <w:t xml:space="preserve">uropéenne (EU DG MARE) a apporté son appui financier de 2007 à 2014. Ensuite, l’Union </w:t>
      </w:r>
      <w:r w:rsidR="00E22AD2">
        <w:rPr>
          <w:rFonts w:ascii="Verdana" w:hAnsi="Verdana"/>
          <w:sz w:val="20"/>
          <w:szCs w:val="20"/>
        </w:rPr>
        <w:t>e</w:t>
      </w:r>
      <w:r w:rsidRPr="0053627D">
        <w:rPr>
          <w:rFonts w:ascii="Verdana" w:hAnsi="Verdana"/>
          <w:sz w:val="20"/>
          <w:szCs w:val="20"/>
        </w:rPr>
        <w:t xml:space="preserve">uropéenne (SMARTFISH) et la Banque Mondiale (SWIOFISH 1) ont financé respectivement les activités du PRSP de 2014 à 2018. Actuellement, un appui technique et financier est apporté par l’Union </w:t>
      </w:r>
      <w:r w:rsidR="00E22AD2">
        <w:rPr>
          <w:rFonts w:ascii="Verdana" w:hAnsi="Verdana"/>
          <w:sz w:val="20"/>
          <w:szCs w:val="20"/>
        </w:rPr>
        <w:t>e</w:t>
      </w:r>
      <w:r w:rsidRPr="0053627D">
        <w:rPr>
          <w:rFonts w:ascii="Verdana" w:hAnsi="Verdana"/>
          <w:sz w:val="20"/>
          <w:szCs w:val="20"/>
        </w:rPr>
        <w:t xml:space="preserve">uropéenne à travers le programme ECOFISH. </w:t>
      </w:r>
    </w:p>
    <w:p w14:paraId="54CC61E7" w14:textId="03B8CEEF" w:rsidR="001B5D63" w:rsidRPr="0053627D" w:rsidRDefault="001B5D63" w:rsidP="000651CE">
      <w:pPr>
        <w:jc w:val="both"/>
        <w:rPr>
          <w:rFonts w:ascii="Verdana" w:hAnsi="Verdana"/>
          <w:sz w:val="20"/>
          <w:szCs w:val="20"/>
        </w:rPr>
      </w:pPr>
      <w:r w:rsidRPr="0053627D">
        <w:rPr>
          <w:rFonts w:ascii="Verdana" w:hAnsi="Verdana"/>
          <w:sz w:val="20"/>
          <w:szCs w:val="20"/>
        </w:rPr>
        <w:t>En 2017, les ministres charge de la pêche des pays participants ont émis une déclaration sur l’institutionnalisation du PRSP.</w:t>
      </w:r>
      <w:r w:rsidR="00E22AD2">
        <w:rPr>
          <w:rFonts w:ascii="Verdana" w:hAnsi="Verdana"/>
          <w:sz w:val="20"/>
          <w:szCs w:val="20"/>
        </w:rPr>
        <w:t xml:space="preserve"> </w:t>
      </w:r>
      <w:r w:rsidRPr="0053627D">
        <w:rPr>
          <w:rFonts w:ascii="Verdana" w:hAnsi="Verdana"/>
          <w:sz w:val="20"/>
          <w:szCs w:val="20"/>
        </w:rPr>
        <w:t>La pérennisation du PRSP doit être accompagnée d’un mécanisme de financement pour assurer la durabilité de ce mécanisme et sa réelle appropriation par les États participants.</w:t>
      </w:r>
    </w:p>
    <w:p w14:paraId="3FD4BC06" w14:textId="63E7562D" w:rsidR="001B5D63" w:rsidRPr="0053627D" w:rsidRDefault="001B5D63" w:rsidP="000651CE">
      <w:pPr>
        <w:jc w:val="both"/>
        <w:rPr>
          <w:rFonts w:ascii="Verdana" w:hAnsi="Verdana"/>
          <w:sz w:val="20"/>
          <w:szCs w:val="20"/>
        </w:rPr>
      </w:pPr>
      <w:r w:rsidRPr="0053627D">
        <w:rPr>
          <w:rFonts w:ascii="Verdana" w:hAnsi="Verdana"/>
          <w:sz w:val="20"/>
          <w:szCs w:val="20"/>
        </w:rPr>
        <w:t>L’une des options issues de l’étude menée dans le cadre de l’institutionnalisation consiste à la transformation du PRSP en un “Centre sous-régional de surveillance, de contrôle, et d'observation des pêches », lequel sera hébergé par l’un</w:t>
      </w:r>
      <w:r w:rsidR="008C3DE0">
        <w:rPr>
          <w:rFonts w:ascii="Verdana" w:hAnsi="Verdana"/>
          <w:sz w:val="20"/>
          <w:szCs w:val="20"/>
        </w:rPr>
        <w:t xml:space="preserve"> </w:t>
      </w:r>
      <w:r w:rsidRPr="0053627D">
        <w:rPr>
          <w:rFonts w:ascii="Verdana" w:hAnsi="Verdana"/>
          <w:sz w:val="20"/>
          <w:szCs w:val="20"/>
        </w:rPr>
        <w:t>de</w:t>
      </w:r>
      <w:r w:rsidR="00E22AD2">
        <w:rPr>
          <w:rFonts w:ascii="Verdana" w:hAnsi="Verdana"/>
          <w:sz w:val="20"/>
          <w:szCs w:val="20"/>
        </w:rPr>
        <w:t>s</w:t>
      </w:r>
      <w:r w:rsidRPr="0053627D">
        <w:rPr>
          <w:rFonts w:ascii="Verdana" w:hAnsi="Verdana"/>
          <w:sz w:val="20"/>
          <w:szCs w:val="20"/>
        </w:rPr>
        <w:t xml:space="preserve"> pays participants. Il appartient par la suite </w:t>
      </w:r>
      <w:r>
        <w:rPr>
          <w:rFonts w:ascii="Verdana" w:hAnsi="Verdana"/>
          <w:sz w:val="20"/>
          <w:szCs w:val="20"/>
        </w:rPr>
        <w:t xml:space="preserve">à la COI </w:t>
      </w:r>
      <w:r w:rsidRPr="0053627D">
        <w:rPr>
          <w:rFonts w:ascii="Verdana" w:hAnsi="Verdana"/>
          <w:sz w:val="20"/>
          <w:szCs w:val="20"/>
        </w:rPr>
        <w:t>de conclure un accord de siège avec le pays hôte pour fixer les responsabilités des deux Parties.</w:t>
      </w:r>
    </w:p>
    <w:p w14:paraId="5F3E1B9A" w14:textId="77777777" w:rsidR="001B5D63" w:rsidRPr="0056478C" w:rsidRDefault="001B5D63" w:rsidP="001B5D63">
      <w:pPr>
        <w:rPr>
          <w:rFonts w:ascii="Verdana" w:hAnsi="Verdana"/>
          <w:sz w:val="20"/>
          <w:szCs w:val="20"/>
        </w:rPr>
      </w:pPr>
      <w:r w:rsidRPr="0053627D">
        <w:rPr>
          <w:rFonts w:ascii="Verdana" w:hAnsi="Verdana"/>
          <w:sz w:val="20"/>
          <w:szCs w:val="20"/>
        </w:rPr>
        <w:t xml:space="preserve"> </w:t>
      </w:r>
    </w:p>
    <w:p w14:paraId="6CB5D296" w14:textId="77777777" w:rsidR="001B5D63" w:rsidRPr="001B5D63" w:rsidRDefault="001B5D63" w:rsidP="001B5D63">
      <w:pPr>
        <w:pStyle w:val="Sous-partie2"/>
      </w:pPr>
      <w:r w:rsidRPr="001B5D63">
        <w:t>Les positions des États membres par rapport à la redéfinition de la zone de coopération PRSP :</w:t>
      </w:r>
    </w:p>
    <w:p w14:paraId="165CB70F"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La zone de coopération du PRSP a fait l’objet d’une modification compte tenu de l’intégration de la Somalie dans le mécanisme.</w:t>
      </w:r>
    </w:p>
    <w:p w14:paraId="7DE789F2" w14:textId="77777777" w:rsidR="001B5D63" w:rsidRDefault="001B5D63" w:rsidP="000651CE">
      <w:pPr>
        <w:spacing w:after="0" w:line="0" w:lineRule="atLeast"/>
        <w:jc w:val="both"/>
        <w:rPr>
          <w:rFonts w:ascii="Verdana" w:hAnsi="Verdana"/>
          <w:sz w:val="20"/>
          <w:szCs w:val="20"/>
        </w:rPr>
      </w:pPr>
    </w:p>
    <w:p w14:paraId="36A3FE67"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t>A ce titre, trois États membres de la COI ont émis</w:t>
      </w:r>
      <w:r>
        <w:rPr>
          <w:rFonts w:ascii="Verdana" w:hAnsi="Verdana"/>
          <w:sz w:val="20"/>
          <w:szCs w:val="20"/>
        </w:rPr>
        <w:t xml:space="preserve"> </w:t>
      </w:r>
      <w:r w:rsidRPr="0056478C">
        <w:rPr>
          <w:rFonts w:ascii="Verdana" w:hAnsi="Verdana"/>
          <w:sz w:val="20"/>
          <w:szCs w:val="20"/>
        </w:rPr>
        <w:t>les positions suivantes à l’occasion de l’atelier juridique qui s’est tenu du 13 au 17 mars 2023 à Zanzibar.</w:t>
      </w:r>
      <w:r>
        <w:rPr>
          <w:rFonts w:ascii="Verdana" w:hAnsi="Verdana"/>
          <w:sz w:val="20"/>
          <w:szCs w:val="20"/>
        </w:rPr>
        <w:t xml:space="preserve"> </w:t>
      </w:r>
      <w:r w:rsidRPr="0056478C">
        <w:rPr>
          <w:rFonts w:ascii="Verdana" w:hAnsi="Verdana"/>
          <w:sz w:val="20"/>
          <w:szCs w:val="20"/>
        </w:rPr>
        <w:t>Il s’agit de :</w:t>
      </w:r>
    </w:p>
    <w:p w14:paraId="4C638810" w14:textId="77777777" w:rsidR="001B5D63" w:rsidRPr="0056478C" w:rsidRDefault="001B5D63" w:rsidP="000651CE">
      <w:pPr>
        <w:spacing w:after="0" w:line="0" w:lineRule="atLeast"/>
        <w:jc w:val="both"/>
        <w:rPr>
          <w:rFonts w:ascii="Verdana" w:hAnsi="Verdana"/>
          <w:sz w:val="20"/>
          <w:szCs w:val="20"/>
        </w:rPr>
      </w:pPr>
    </w:p>
    <w:p w14:paraId="2167B511" w14:textId="77777777" w:rsidR="001B5D63" w:rsidRPr="0056478C" w:rsidRDefault="001B5D63" w:rsidP="000651CE">
      <w:pPr>
        <w:pStyle w:val="Paragraphedeliste"/>
        <w:numPr>
          <w:ilvl w:val="0"/>
          <w:numId w:val="12"/>
        </w:numPr>
        <w:spacing w:after="0" w:line="0" w:lineRule="atLeast"/>
        <w:jc w:val="both"/>
        <w:rPr>
          <w:rFonts w:ascii="Verdana" w:hAnsi="Verdana"/>
          <w:sz w:val="20"/>
          <w:szCs w:val="20"/>
        </w:rPr>
      </w:pPr>
      <w:r w:rsidRPr="0053627D">
        <w:rPr>
          <w:rFonts w:ascii="Verdana" w:hAnsi="Verdana"/>
          <w:b/>
          <w:bCs/>
          <w:sz w:val="20"/>
          <w:szCs w:val="20"/>
        </w:rPr>
        <w:t>Maurice</w:t>
      </w:r>
      <w:r w:rsidRPr="0056478C">
        <w:rPr>
          <w:rFonts w:ascii="Verdana" w:hAnsi="Verdana"/>
          <w:sz w:val="20"/>
          <w:szCs w:val="20"/>
        </w:rPr>
        <w:t> : proposition relative à inclusion de l’archipel des Chagos et de la zone de gestion commune dans la zone de coopération PRSP.</w:t>
      </w:r>
    </w:p>
    <w:p w14:paraId="229A0C31" w14:textId="77777777" w:rsidR="001B5D63" w:rsidRPr="0056478C" w:rsidRDefault="001B5D63" w:rsidP="000651CE">
      <w:pPr>
        <w:pStyle w:val="Paragraphedeliste"/>
        <w:numPr>
          <w:ilvl w:val="0"/>
          <w:numId w:val="12"/>
        </w:numPr>
        <w:spacing w:after="0" w:line="0" w:lineRule="atLeast"/>
        <w:jc w:val="both"/>
        <w:rPr>
          <w:rFonts w:ascii="Verdana" w:hAnsi="Verdana"/>
          <w:sz w:val="20"/>
          <w:szCs w:val="20"/>
        </w:rPr>
      </w:pPr>
      <w:r w:rsidRPr="0053627D">
        <w:rPr>
          <w:rFonts w:ascii="Verdana" w:hAnsi="Verdana"/>
          <w:b/>
          <w:bCs/>
          <w:sz w:val="20"/>
          <w:szCs w:val="20"/>
        </w:rPr>
        <w:t>Madagascar </w:t>
      </w:r>
      <w:r w:rsidRPr="0056478C">
        <w:rPr>
          <w:rFonts w:ascii="Verdana" w:hAnsi="Verdana"/>
          <w:sz w:val="20"/>
          <w:szCs w:val="20"/>
        </w:rPr>
        <w:t>: proposition relative à l’inscription des Iles Éparses du Canal de Mozambique dans la zone grise (terme utilisé au début de PRSP en 2007)</w:t>
      </w:r>
    </w:p>
    <w:p w14:paraId="0AD2846D" w14:textId="77777777" w:rsidR="001B5D63" w:rsidRPr="0056478C" w:rsidRDefault="001B5D63" w:rsidP="000651CE">
      <w:pPr>
        <w:pStyle w:val="Paragraphedeliste"/>
        <w:numPr>
          <w:ilvl w:val="0"/>
          <w:numId w:val="12"/>
        </w:numPr>
        <w:spacing w:after="0" w:line="0" w:lineRule="atLeast"/>
        <w:jc w:val="both"/>
        <w:rPr>
          <w:rFonts w:ascii="Verdana" w:hAnsi="Verdana"/>
          <w:sz w:val="20"/>
          <w:szCs w:val="20"/>
        </w:rPr>
      </w:pPr>
      <w:r w:rsidRPr="0053627D">
        <w:rPr>
          <w:rFonts w:ascii="Verdana" w:hAnsi="Verdana"/>
          <w:b/>
          <w:bCs/>
          <w:sz w:val="20"/>
          <w:szCs w:val="20"/>
        </w:rPr>
        <w:t>France/Réunion</w:t>
      </w:r>
      <w:r w:rsidRPr="0056478C">
        <w:rPr>
          <w:rFonts w:ascii="Verdana" w:hAnsi="Verdana"/>
          <w:sz w:val="20"/>
          <w:szCs w:val="20"/>
        </w:rPr>
        <w:t> : proposition relative à la suppression de la zone grise dans la zone de coopération en termes de lutte contre la pêche illégale, non-déclarée et non-réglementée (INN)</w:t>
      </w:r>
    </w:p>
    <w:p w14:paraId="492F0E28" w14:textId="77777777" w:rsidR="001B5D63" w:rsidRPr="0056478C" w:rsidRDefault="001B5D63" w:rsidP="000651CE">
      <w:pPr>
        <w:spacing w:after="0" w:line="0" w:lineRule="atLeast"/>
        <w:jc w:val="both"/>
        <w:rPr>
          <w:rFonts w:ascii="Verdana" w:hAnsi="Verdana"/>
          <w:sz w:val="20"/>
          <w:szCs w:val="20"/>
        </w:rPr>
      </w:pPr>
    </w:p>
    <w:p w14:paraId="2D3EF617" w14:textId="77777777" w:rsidR="001B5D63" w:rsidRPr="0056478C" w:rsidRDefault="001B5D63" w:rsidP="000651CE">
      <w:pPr>
        <w:spacing w:after="0" w:line="0" w:lineRule="atLeast"/>
        <w:jc w:val="both"/>
        <w:rPr>
          <w:rFonts w:ascii="Verdana" w:hAnsi="Verdana"/>
          <w:sz w:val="20"/>
          <w:szCs w:val="20"/>
        </w:rPr>
      </w:pPr>
      <w:r w:rsidRPr="0056478C">
        <w:rPr>
          <w:rFonts w:ascii="Verdana" w:hAnsi="Verdana"/>
          <w:sz w:val="20"/>
          <w:szCs w:val="20"/>
        </w:rPr>
        <w:lastRenderedPageBreak/>
        <w:t>La zone de coopération PRSP est annexée à l’arrangement administratif. Une décision des instances de la COI est attendue en vue de finaliser ce document sur la zone de coopération PRSP.</w:t>
      </w:r>
    </w:p>
    <w:p w14:paraId="637396DC" w14:textId="77777777" w:rsidR="001B5D63" w:rsidRPr="0056478C" w:rsidRDefault="001B5D63" w:rsidP="000651CE">
      <w:pPr>
        <w:spacing w:after="0" w:line="0" w:lineRule="atLeast"/>
        <w:jc w:val="both"/>
        <w:rPr>
          <w:rFonts w:ascii="Verdana" w:hAnsi="Verdana"/>
          <w:sz w:val="20"/>
          <w:szCs w:val="20"/>
        </w:rPr>
      </w:pPr>
    </w:p>
    <w:p w14:paraId="2F7F5914" w14:textId="608AD6BB" w:rsidR="00955BB3" w:rsidRPr="0008468B" w:rsidRDefault="00955BB3" w:rsidP="00A70123">
      <w:pPr>
        <w:pStyle w:val="Titrepartie"/>
      </w:pPr>
      <w:r w:rsidRPr="0008468B">
        <w:t>Proposition de décision</w:t>
      </w:r>
    </w:p>
    <w:p w14:paraId="4FB441C4" w14:textId="4BDFCBB0" w:rsidR="001B5D63" w:rsidRPr="001B5D63" w:rsidRDefault="0008468B" w:rsidP="00E22AD2">
      <w:pPr>
        <w:pStyle w:val="Paragraphe"/>
        <w:spacing w:after="120"/>
      </w:pPr>
      <w:r w:rsidRPr="004F5C4B">
        <w:t xml:space="preserve">Le </w:t>
      </w:r>
      <w:r w:rsidR="001B5D63">
        <w:t>Conseil de</w:t>
      </w:r>
      <w:r w:rsidR="00AE6D76">
        <w:t>s ministres</w:t>
      </w:r>
      <w:r w:rsidR="001B5D63">
        <w:t> :</w:t>
      </w:r>
    </w:p>
    <w:p w14:paraId="6A037392" w14:textId="0F24858A" w:rsidR="00AE6D76" w:rsidRPr="00AE6D76" w:rsidRDefault="00AE6D76" w:rsidP="00AE6D76">
      <w:pPr>
        <w:pStyle w:val="Paragraphedeliste"/>
        <w:numPr>
          <w:ilvl w:val="0"/>
          <w:numId w:val="24"/>
        </w:numPr>
        <w:spacing w:after="120" w:line="248" w:lineRule="auto"/>
        <w:contextualSpacing w:val="0"/>
        <w:jc w:val="both"/>
        <w:rPr>
          <w:rFonts w:ascii="Verdana" w:hAnsi="Verdana"/>
          <w:sz w:val="20"/>
          <w:szCs w:val="20"/>
        </w:rPr>
      </w:pPr>
      <w:proofErr w:type="gramStart"/>
      <w:r w:rsidRPr="00AE6D76">
        <w:rPr>
          <w:rFonts w:ascii="Verdana" w:hAnsi="Verdana"/>
          <w:sz w:val="20"/>
          <w:szCs w:val="20"/>
        </w:rPr>
        <w:t>t</w:t>
      </w:r>
      <w:r w:rsidR="007A2EAF">
        <w:rPr>
          <w:rFonts w:ascii="Verdana" w:hAnsi="Verdana"/>
          <w:sz w:val="20"/>
          <w:szCs w:val="20"/>
        </w:rPr>
        <w:t>enant</w:t>
      </w:r>
      <w:proofErr w:type="gramEnd"/>
      <w:r w:rsidRPr="00AE6D76">
        <w:rPr>
          <w:rFonts w:ascii="Verdana" w:hAnsi="Verdana"/>
          <w:sz w:val="20"/>
          <w:szCs w:val="20"/>
        </w:rPr>
        <w:t xml:space="preserve"> compte des positions émises par les représentants des États membres à l’atelier juridique de Zanzibar (mars 2023)</w:t>
      </w:r>
      <w:r w:rsidR="007A2EAF">
        <w:rPr>
          <w:rFonts w:ascii="Verdana" w:hAnsi="Verdana"/>
          <w:sz w:val="20"/>
          <w:szCs w:val="20"/>
        </w:rPr>
        <w:t xml:space="preserve">, </w:t>
      </w:r>
      <w:r w:rsidRPr="00AE6D76">
        <w:rPr>
          <w:rFonts w:ascii="Verdana" w:hAnsi="Verdana"/>
          <w:sz w:val="20"/>
          <w:szCs w:val="20"/>
        </w:rPr>
        <w:t>demande au Secrétariat général d’intégrer les commentaires des Etats membres aux instruments juridiques du P</w:t>
      </w:r>
      <w:r w:rsidR="00210389">
        <w:rPr>
          <w:rFonts w:ascii="Verdana" w:hAnsi="Verdana"/>
          <w:sz w:val="20"/>
          <w:szCs w:val="20"/>
        </w:rPr>
        <w:t>lan régional de surveillance pêches (P</w:t>
      </w:r>
      <w:r w:rsidRPr="00AE6D76">
        <w:rPr>
          <w:rFonts w:ascii="Verdana" w:hAnsi="Verdana"/>
          <w:sz w:val="20"/>
          <w:szCs w:val="20"/>
        </w:rPr>
        <w:t>RSP</w:t>
      </w:r>
      <w:r w:rsidR="00210389">
        <w:rPr>
          <w:rFonts w:ascii="Verdana" w:hAnsi="Verdana"/>
          <w:sz w:val="20"/>
          <w:szCs w:val="20"/>
        </w:rPr>
        <w:t>)</w:t>
      </w:r>
      <w:r w:rsidRPr="00AE6D76">
        <w:rPr>
          <w:rFonts w:ascii="Verdana" w:hAnsi="Verdana"/>
          <w:sz w:val="20"/>
          <w:szCs w:val="20"/>
        </w:rPr>
        <w:t xml:space="preserve"> </w:t>
      </w:r>
      <w:r w:rsidRPr="00AE6D76">
        <w:rPr>
          <w:rStyle w:val="cf01"/>
          <w:rFonts w:ascii="Verdana" w:hAnsi="Verdana"/>
          <w:sz w:val="20"/>
          <w:szCs w:val="20"/>
        </w:rPr>
        <w:t>et de communiquer la version consolidée à tous les États membres puis à tous les États participants en vue de leur signature à l’occasion de la prochaine conférence ministérielle sur la pêche aux Seychelles</w:t>
      </w:r>
      <w:r w:rsidRPr="00AE6D76">
        <w:rPr>
          <w:rFonts w:ascii="Verdana" w:hAnsi="Verdana"/>
          <w:sz w:val="20"/>
          <w:szCs w:val="20"/>
        </w:rPr>
        <w:t>, à savoir :</w:t>
      </w:r>
    </w:p>
    <w:p w14:paraId="217594E9" w14:textId="77777777" w:rsidR="00AE6D76" w:rsidRPr="00E22AD2" w:rsidRDefault="00AE6D76" w:rsidP="00AE6D76">
      <w:pPr>
        <w:pStyle w:val="Paragraphedeliste"/>
        <w:numPr>
          <w:ilvl w:val="3"/>
          <w:numId w:val="24"/>
        </w:numPr>
        <w:tabs>
          <w:tab w:val="left" w:pos="1560"/>
        </w:tabs>
        <w:spacing w:after="120" w:line="248" w:lineRule="auto"/>
        <w:ind w:left="1418" w:hanging="142"/>
        <w:contextualSpacing w:val="0"/>
        <w:jc w:val="both"/>
        <w:rPr>
          <w:rFonts w:ascii="Verdana" w:hAnsi="Verdana"/>
          <w:sz w:val="20"/>
          <w:szCs w:val="20"/>
        </w:rPr>
      </w:pPr>
      <w:r w:rsidRPr="00E22AD2">
        <w:rPr>
          <w:rFonts w:ascii="Verdana" w:hAnsi="Verdana"/>
          <w:sz w:val="20"/>
          <w:szCs w:val="20"/>
        </w:rPr>
        <w:t>L’Accord</w:t>
      </w:r>
      <w:r>
        <w:rPr>
          <w:rFonts w:ascii="Verdana" w:hAnsi="Verdana"/>
          <w:sz w:val="20"/>
          <w:szCs w:val="20"/>
        </w:rPr>
        <w:t xml:space="preserve"> </w:t>
      </w:r>
      <w:r w:rsidRPr="00E22AD2">
        <w:rPr>
          <w:rFonts w:ascii="Verdana" w:hAnsi="Verdana"/>
          <w:sz w:val="20"/>
          <w:szCs w:val="20"/>
        </w:rPr>
        <w:t>sur l'arrangement administratif entre la COI et les États participants au PRSP pour la gestion et l'opérationnalisation du PRSP, lequel remplace les arrangements administratifs de 2014</w:t>
      </w:r>
      <w:r>
        <w:rPr>
          <w:rFonts w:ascii="Verdana" w:hAnsi="Verdana"/>
          <w:sz w:val="20"/>
          <w:szCs w:val="20"/>
        </w:rPr>
        <w:t xml:space="preserve"> et comporte en annexes la zone de coopération définie en 2007, une déclaration de Madagascar ainsi que des addendas relatifs à son extension</w:t>
      </w:r>
      <w:r w:rsidRPr="00E22AD2">
        <w:rPr>
          <w:rFonts w:ascii="Verdana" w:hAnsi="Verdana"/>
          <w:sz w:val="20"/>
          <w:szCs w:val="20"/>
        </w:rPr>
        <w:t>.</w:t>
      </w:r>
    </w:p>
    <w:p w14:paraId="36DE8590" w14:textId="77777777" w:rsidR="00AE6D76" w:rsidRPr="00E22AD2" w:rsidRDefault="00AE6D76" w:rsidP="00AE6D76">
      <w:pPr>
        <w:pStyle w:val="Paragraphedeliste"/>
        <w:numPr>
          <w:ilvl w:val="3"/>
          <w:numId w:val="24"/>
        </w:numPr>
        <w:tabs>
          <w:tab w:val="left" w:pos="1560"/>
        </w:tabs>
        <w:spacing w:after="120" w:line="248" w:lineRule="auto"/>
        <w:ind w:left="1418" w:hanging="142"/>
        <w:contextualSpacing w:val="0"/>
        <w:jc w:val="both"/>
        <w:rPr>
          <w:rFonts w:ascii="Verdana" w:hAnsi="Verdana"/>
          <w:sz w:val="20"/>
          <w:szCs w:val="20"/>
        </w:rPr>
      </w:pPr>
      <w:r w:rsidRPr="00E22AD2">
        <w:rPr>
          <w:rFonts w:ascii="Verdana" w:hAnsi="Verdana"/>
          <w:sz w:val="20"/>
          <w:szCs w:val="20"/>
        </w:rPr>
        <w:t>Les termes de référence pour l'Unité régionale de coordination (UCR) du PRSP.</w:t>
      </w:r>
    </w:p>
    <w:p w14:paraId="11B6B3C4" w14:textId="77777777" w:rsidR="00AE6D76" w:rsidRPr="00E22AD2" w:rsidRDefault="00AE6D76" w:rsidP="00AE6D76">
      <w:pPr>
        <w:pStyle w:val="Paragraphedeliste"/>
        <w:numPr>
          <w:ilvl w:val="3"/>
          <w:numId w:val="24"/>
        </w:numPr>
        <w:tabs>
          <w:tab w:val="left" w:pos="1560"/>
        </w:tabs>
        <w:spacing w:after="120" w:line="248" w:lineRule="auto"/>
        <w:ind w:left="1418" w:hanging="142"/>
        <w:contextualSpacing w:val="0"/>
        <w:jc w:val="both"/>
        <w:rPr>
          <w:rFonts w:ascii="Verdana" w:hAnsi="Verdana"/>
          <w:sz w:val="20"/>
          <w:szCs w:val="20"/>
        </w:rPr>
      </w:pPr>
      <w:r w:rsidRPr="00E22AD2">
        <w:rPr>
          <w:rFonts w:ascii="Verdana" w:hAnsi="Verdana"/>
          <w:sz w:val="20"/>
          <w:szCs w:val="20"/>
        </w:rPr>
        <w:t>Les termes de référence pour l'Unité régionale de coordination régionale élargie (UCRE) du PRSP.</w:t>
      </w:r>
    </w:p>
    <w:p w14:paraId="291B2080" w14:textId="77777777" w:rsidR="00AE6D76" w:rsidRPr="00E22AD2" w:rsidRDefault="00AE6D76" w:rsidP="00AE6D76">
      <w:pPr>
        <w:pStyle w:val="Paragraphedeliste"/>
        <w:numPr>
          <w:ilvl w:val="3"/>
          <w:numId w:val="24"/>
        </w:numPr>
        <w:tabs>
          <w:tab w:val="left" w:pos="1560"/>
        </w:tabs>
        <w:spacing w:after="120" w:line="248" w:lineRule="auto"/>
        <w:ind w:left="1418" w:hanging="142"/>
        <w:contextualSpacing w:val="0"/>
        <w:jc w:val="both"/>
        <w:rPr>
          <w:rFonts w:ascii="Verdana" w:hAnsi="Verdana"/>
          <w:sz w:val="20"/>
          <w:szCs w:val="20"/>
        </w:rPr>
      </w:pPr>
      <w:r w:rsidRPr="00E22AD2">
        <w:rPr>
          <w:rFonts w:ascii="Verdana" w:hAnsi="Verdana"/>
          <w:sz w:val="20"/>
          <w:szCs w:val="20"/>
        </w:rPr>
        <w:t>Les termes de référence pour le Groupe de travail des gestionnaires de programmes d'observateurs nationaux.</w:t>
      </w:r>
    </w:p>
    <w:p w14:paraId="10BA8E1E" w14:textId="77777777" w:rsidR="00AE6D76" w:rsidRPr="00E22AD2" w:rsidRDefault="00AE6D76" w:rsidP="00AE6D76">
      <w:pPr>
        <w:pStyle w:val="Paragraphedeliste"/>
        <w:numPr>
          <w:ilvl w:val="3"/>
          <w:numId w:val="24"/>
        </w:numPr>
        <w:tabs>
          <w:tab w:val="left" w:pos="1560"/>
        </w:tabs>
        <w:spacing w:after="120" w:line="248" w:lineRule="auto"/>
        <w:ind w:left="1418" w:hanging="142"/>
        <w:contextualSpacing w:val="0"/>
        <w:jc w:val="both"/>
        <w:rPr>
          <w:rFonts w:ascii="Verdana" w:hAnsi="Verdana"/>
          <w:sz w:val="20"/>
          <w:szCs w:val="20"/>
        </w:rPr>
      </w:pPr>
      <w:r w:rsidRPr="00E22AD2">
        <w:rPr>
          <w:rFonts w:ascii="Verdana" w:hAnsi="Verdana"/>
          <w:sz w:val="20"/>
          <w:szCs w:val="20"/>
        </w:rPr>
        <w:t>L’Accord entre les États participants au PRSP pour l'échange d'informations sur les pêches aux fins du Suivi, Contrôle et Surveillance</w:t>
      </w:r>
      <w:r>
        <w:rPr>
          <w:rFonts w:ascii="Verdana" w:hAnsi="Verdana"/>
          <w:sz w:val="20"/>
          <w:szCs w:val="20"/>
        </w:rPr>
        <w:t> ; l</w:t>
      </w:r>
      <w:r w:rsidRPr="00E22AD2">
        <w:rPr>
          <w:rFonts w:ascii="Verdana" w:hAnsi="Verdana"/>
          <w:sz w:val="20"/>
          <w:szCs w:val="20"/>
        </w:rPr>
        <w:t>a nouvelle version de l’accord rempla</w:t>
      </w:r>
      <w:r>
        <w:rPr>
          <w:rFonts w:ascii="Verdana" w:hAnsi="Verdana"/>
          <w:sz w:val="20"/>
          <w:szCs w:val="20"/>
        </w:rPr>
        <w:t>çant</w:t>
      </w:r>
      <w:r w:rsidRPr="00E22AD2">
        <w:rPr>
          <w:rFonts w:ascii="Verdana" w:hAnsi="Verdana"/>
          <w:sz w:val="20"/>
          <w:szCs w:val="20"/>
        </w:rPr>
        <w:t xml:space="preserve"> le Protocole VMS de 2014.</w:t>
      </w:r>
    </w:p>
    <w:p w14:paraId="5FEAD08A" w14:textId="77777777" w:rsidR="00AE6D76" w:rsidRPr="00ED66E9" w:rsidRDefault="00AE6D76" w:rsidP="00AE6D76">
      <w:pPr>
        <w:pStyle w:val="Paragraphedeliste"/>
        <w:numPr>
          <w:ilvl w:val="3"/>
          <w:numId w:val="24"/>
        </w:numPr>
        <w:tabs>
          <w:tab w:val="left" w:pos="1560"/>
        </w:tabs>
        <w:spacing w:after="120" w:line="248" w:lineRule="auto"/>
        <w:ind w:left="1418" w:hanging="142"/>
        <w:contextualSpacing w:val="0"/>
        <w:jc w:val="both"/>
        <w:rPr>
          <w:rFonts w:ascii="Verdana" w:hAnsi="Verdana"/>
          <w:sz w:val="20"/>
          <w:szCs w:val="20"/>
        </w:rPr>
      </w:pPr>
      <w:r w:rsidRPr="00E22AD2">
        <w:rPr>
          <w:rFonts w:ascii="Verdana" w:hAnsi="Verdana"/>
          <w:sz w:val="20"/>
          <w:szCs w:val="20"/>
        </w:rPr>
        <w:t>Le protocole d'Accord pour la certification et la coordination des observateurs scientifiques des États côtiers au niveau sous-régional et le partage des informations et des données des observateurs.</w:t>
      </w:r>
    </w:p>
    <w:p w14:paraId="0D64C2C7" w14:textId="3FB14ED8" w:rsidR="00AE6D76" w:rsidRDefault="00AE6D76" w:rsidP="00AE6D76">
      <w:pPr>
        <w:pStyle w:val="Paragraphedeliste"/>
        <w:numPr>
          <w:ilvl w:val="0"/>
          <w:numId w:val="24"/>
        </w:numPr>
        <w:spacing w:after="120" w:line="248" w:lineRule="auto"/>
        <w:contextualSpacing w:val="0"/>
        <w:jc w:val="both"/>
        <w:rPr>
          <w:rFonts w:ascii="Verdana" w:hAnsi="Verdana"/>
          <w:sz w:val="20"/>
          <w:szCs w:val="20"/>
        </w:rPr>
      </w:pPr>
      <w:r w:rsidRPr="00AE6D76">
        <w:rPr>
          <w:rFonts w:ascii="Verdana" w:hAnsi="Verdana"/>
          <w:sz w:val="20"/>
          <w:szCs w:val="20"/>
        </w:rPr>
        <w:t>Rappel</w:t>
      </w:r>
      <w:r w:rsidR="002778B6">
        <w:rPr>
          <w:rFonts w:ascii="Verdana" w:hAnsi="Verdana"/>
          <w:sz w:val="20"/>
          <w:szCs w:val="20"/>
        </w:rPr>
        <w:t>l</w:t>
      </w:r>
      <w:r w:rsidRPr="00AE6D76">
        <w:rPr>
          <w:rFonts w:ascii="Verdana" w:hAnsi="Verdana"/>
          <w:sz w:val="20"/>
          <w:szCs w:val="20"/>
        </w:rPr>
        <w:t>e que l’organe suprême décisionnel du PRSP demeure le Conseil des ministres de la COI.</w:t>
      </w:r>
    </w:p>
    <w:p w14:paraId="7524D2E8" w14:textId="6A4196A6" w:rsidR="00AE6D76" w:rsidRPr="00AE6D76" w:rsidRDefault="00AE6D76" w:rsidP="00AE6D76">
      <w:pPr>
        <w:pStyle w:val="Paragraphedeliste"/>
        <w:numPr>
          <w:ilvl w:val="0"/>
          <w:numId w:val="24"/>
        </w:numPr>
        <w:spacing w:after="120" w:line="248" w:lineRule="auto"/>
        <w:contextualSpacing w:val="0"/>
        <w:jc w:val="both"/>
        <w:rPr>
          <w:rFonts w:ascii="Verdana" w:hAnsi="Verdana"/>
          <w:sz w:val="20"/>
          <w:szCs w:val="20"/>
        </w:rPr>
      </w:pPr>
      <w:r w:rsidRPr="00AE6D76">
        <w:rPr>
          <w:rFonts w:ascii="Verdana" w:hAnsi="Verdana"/>
          <w:sz w:val="20"/>
          <w:szCs w:val="20"/>
        </w:rPr>
        <w:t>Accueil</w:t>
      </w:r>
      <w:r>
        <w:rPr>
          <w:rFonts w:ascii="Verdana" w:hAnsi="Verdana"/>
          <w:sz w:val="20"/>
          <w:szCs w:val="20"/>
        </w:rPr>
        <w:t>le</w:t>
      </w:r>
      <w:r w:rsidRPr="00AE6D76">
        <w:rPr>
          <w:rFonts w:ascii="Verdana" w:hAnsi="Verdana"/>
          <w:sz w:val="20"/>
          <w:szCs w:val="20"/>
        </w:rPr>
        <w:t xml:space="preserve"> favorablement la proposition des Seychelles d’a</w:t>
      </w:r>
      <w:r w:rsidR="00B52FA0">
        <w:rPr>
          <w:rFonts w:ascii="Verdana" w:hAnsi="Verdana"/>
          <w:sz w:val="20"/>
          <w:szCs w:val="20"/>
        </w:rPr>
        <w:t>ccueillir</w:t>
      </w:r>
      <w:r w:rsidRPr="00AE6D76">
        <w:rPr>
          <w:rFonts w:ascii="Verdana" w:hAnsi="Verdana"/>
          <w:sz w:val="20"/>
          <w:szCs w:val="20"/>
        </w:rPr>
        <w:t xml:space="preserve"> la prochaine conférence ministérielle sur la pêche durant le deuxième semestre 2024 après validation des textes juridiques du PRSP par les Etats membres de la COI.</w:t>
      </w:r>
    </w:p>
    <w:p w14:paraId="6C6140E5" w14:textId="77777777" w:rsidR="00AE6D76" w:rsidRPr="001B5D63" w:rsidRDefault="00AE6D76" w:rsidP="00D35B23">
      <w:pPr>
        <w:pStyle w:val="Paragraphe"/>
      </w:pPr>
    </w:p>
    <w:p w14:paraId="7EAEB404" w14:textId="72ACB4A7" w:rsidR="00955BB3" w:rsidRPr="0008468B" w:rsidRDefault="00955BB3" w:rsidP="00FE285D">
      <w:pPr>
        <w:pStyle w:val="Titrepartie"/>
      </w:pPr>
      <w:r w:rsidRPr="0008468B">
        <w:t>Rappel des décisions antérieures</w:t>
      </w:r>
    </w:p>
    <w:bookmarkEnd w:id="0"/>
    <w:p w14:paraId="623000D0" w14:textId="1D702371" w:rsidR="0008468B" w:rsidRDefault="00FE285D" w:rsidP="00060CA0">
      <w:pPr>
        <w:pStyle w:val="Exergue"/>
      </w:pPr>
      <w:r>
        <w:t>Cf.</w:t>
      </w:r>
      <w:r w:rsidR="0008468B" w:rsidRPr="00FE285D">
        <w:t xml:space="preserve"> Décision </w:t>
      </w:r>
      <w:r w:rsidR="0060119B">
        <w:t xml:space="preserve">7 e) ; j) </w:t>
      </w:r>
      <w:r w:rsidR="001D14CB">
        <w:t>P</w:t>
      </w:r>
      <w:r w:rsidR="001D14CB" w:rsidRPr="00DD6A79">
        <w:t>êche</w:t>
      </w:r>
      <w:r w:rsidR="0060119B">
        <w:t>, 37</w:t>
      </w:r>
      <w:r w:rsidR="00B52FA0" w:rsidRPr="00B52FA0">
        <w:rPr>
          <w:vertAlign w:val="superscript"/>
        </w:rPr>
        <w:t>ème</w:t>
      </w:r>
      <w:r w:rsidR="00B52FA0">
        <w:t xml:space="preserve"> C</w:t>
      </w:r>
      <w:r w:rsidR="0060119B">
        <w:t>onseil, 17 mai 2023</w:t>
      </w:r>
    </w:p>
    <w:p w14:paraId="53A3242E" w14:textId="7144109C" w:rsidR="0060119B" w:rsidRPr="00FE285D" w:rsidRDefault="0060119B" w:rsidP="00060CA0">
      <w:pPr>
        <w:pStyle w:val="Exergue"/>
      </w:pPr>
      <w:r>
        <w:t xml:space="preserve">    </w:t>
      </w:r>
    </w:p>
    <w:p w14:paraId="1D6F1669" w14:textId="72833CAD" w:rsidR="00417683" w:rsidRPr="0008468B" w:rsidRDefault="00417683" w:rsidP="00060CA0">
      <w:pPr>
        <w:pStyle w:val="Titrepartie"/>
      </w:pPr>
      <w:r w:rsidRPr="0008468B">
        <w:t>Annexe</w:t>
      </w:r>
      <w:r w:rsidR="008F173C" w:rsidRPr="0008468B">
        <w:t>s</w:t>
      </w:r>
      <w:r w:rsidRPr="0008468B">
        <w:t> :</w:t>
      </w:r>
    </w:p>
    <w:p w14:paraId="7BA201A4" w14:textId="0FB4F5C3" w:rsidR="0060119B" w:rsidRDefault="00620B90" w:rsidP="0060119B">
      <w:pPr>
        <w:pStyle w:val="Paragraphe"/>
        <w:numPr>
          <w:ilvl w:val="0"/>
          <w:numId w:val="9"/>
        </w:numPr>
      </w:pPr>
      <w:r>
        <w:t xml:space="preserve">Annexe 1 : </w:t>
      </w:r>
      <w:r w:rsidR="0060119B" w:rsidRPr="0060119B">
        <w:t>Accord sur l'arrangement administratif entre le COI et les États participants au PRSP pour la gestion et l'opérationnalisation du PRSP, lequel remplace les arrangements administratifs de 2014.</w:t>
      </w:r>
    </w:p>
    <w:p w14:paraId="30D3F3E1" w14:textId="77777777" w:rsidR="0060119B" w:rsidRDefault="0060119B" w:rsidP="0060119B">
      <w:pPr>
        <w:pStyle w:val="Paragraphe"/>
        <w:numPr>
          <w:ilvl w:val="0"/>
          <w:numId w:val="9"/>
        </w:numPr>
      </w:pPr>
      <w:r>
        <w:t>Annexe 2 : T</w:t>
      </w:r>
      <w:r w:rsidRPr="0060119B">
        <w:t>ermes de référence pour l'Unité régionale de coordination (UCR) du PRSP.</w:t>
      </w:r>
    </w:p>
    <w:p w14:paraId="7593516C" w14:textId="47E855FC" w:rsidR="0060119B" w:rsidRDefault="0060119B" w:rsidP="0060119B">
      <w:pPr>
        <w:pStyle w:val="Paragraphe"/>
        <w:numPr>
          <w:ilvl w:val="0"/>
          <w:numId w:val="9"/>
        </w:numPr>
      </w:pPr>
      <w:r>
        <w:lastRenderedPageBreak/>
        <w:t>Annexe 3 : T</w:t>
      </w:r>
      <w:r w:rsidRPr="0060119B">
        <w:t>ermes de référence pour l'Unité régionale de coordination régionale élargie (UCRE) du PRSP.</w:t>
      </w:r>
    </w:p>
    <w:p w14:paraId="2FA7813D" w14:textId="4B521709" w:rsidR="0060119B" w:rsidRDefault="0060119B" w:rsidP="0060119B">
      <w:pPr>
        <w:pStyle w:val="Paragraphe"/>
        <w:numPr>
          <w:ilvl w:val="0"/>
          <w:numId w:val="9"/>
        </w:numPr>
      </w:pPr>
      <w:r>
        <w:t>Annexe 4 : T</w:t>
      </w:r>
      <w:r w:rsidRPr="0060119B">
        <w:t>ermes de référence pour le Groupe de travail des gestionnaires de programmes d'observateurs nationaux.</w:t>
      </w:r>
    </w:p>
    <w:p w14:paraId="15D70147" w14:textId="77777777" w:rsidR="0060119B" w:rsidRDefault="0060119B" w:rsidP="0060119B">
      <w:pPr>
        <w:pStyle w:val="Paragraphe"/>
        <w:numPr>
          <w:ilvl w:val="0"/>
          <w:numId w:val="9"/>
        </w:numPr>
      </w:pPr>
      <w:r>
        <w:t xml:space="preserve">Annexe 5 : </w:t>
      </w:r>
      <w:r w:rsidRPr="0060119B">
        <w:t>Accord entre les États participants au PRSP pour l'échange d'informations sur les pêches aux fins du Suivi, Contrôle et Surveillance.  La nouvelle version de l’accord remplace le Protocole VMS de 2014.</w:t>
      </w:r>
    </w:p>
    <w:p w14:paraId="08A4EA81" w14:textId="4EEA4BCD" w:rsidR="0060119B" w:rsidRDefault="0060119B" w:rsidP="0060119B">
      <w:pPr>
        <w:pStyle w:val="Paragraphe"/>
        <w:numPr>
          <w:ilvl w:val="0"/>
          <w:numId w:val="9"/>
        </w:numPr>
      </w:pPr>
      <w:r>
        <w:t>Annexe 6 : P</w:t>
      </w:r>
      <w:r w:rsidRPr="0060119B">
        <w:t>rotocole d'Accord pour la certification et la coordination des observateurs scientifiques des États côtiers au niveau sous-régional et le partage des informations et des données des observateurs.</w:t>
      </w:r>
    </w:p>
    <w:p w14:paraId="593F9574" w14:textId="1BF2850F" w:rsidR="0060119B" w:rsidRPr="0060119B" w:rsidRDefault="0060119B" w:rsidP="0060119B">
      <w:pPr>
        <w:pStyle w:val="Paragraphe"/>
        <w:numPr>
          <w:ilvl w:val="0"/>
          <w:numId w:val="9"/>
        </w:numPr>
      </w:pPr>
      <w:r>
        <w:t>Annexe 7</w:t>
      </w:r>
      <w:proofErr w:type="gramStart"/>
      <w:r>
        <w:t> :</w:t>
      </w:r>
      <w:r w:rsidR="00FF3557">
        <w:t>Rapport</w:t>
      </w:r>
      <w:proofErr w:type="gramEnd"/>
      <w:r w:rsidR="00FF3557">
        <w:t xml:space="preserve"> d’</w:t>
      </w:r>
      <w:r>
        <w:t xml:space="preserve"> </w:t>
      </w:r>
      <w:r w:rsidR="00FF3557">
        <w:t>é</w:t>
      </w:r>
      <w:r>
        <w:t>tude sur l’</w:t>
      </w:r>
      <w:proofErr w:type="spellStart"/>
      <w:r>
        <w:t>insititutionnalisation</w:t>
      </w:r>
      <w:proofErr w:type="spellEnd"/>
      <w:r>
        <w:t xml:space="preserve"> du PRSP</w:t>
      </w:r>
    </w:p>
    <w:p w14:paraId="7DDBFDBC" w14:textId="77777777" w:rsidR="0060119B" w:rsidRPr="00620B90" w:rsidRDefault="0060119B" w:rsidP="0060119B">
      <w:pPr>
        <w:pStyle w:val="Paragraphe"/>
      </w:pPr>
    </w:p>
    <w:sectPr w:rsidR="0060119B" w:rsidRPr="00620B90" w:rsidSect="008C7D3B">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06BEC" w14:textId="77777777" w:rsidR="008C7D3B" w:rsidRDefault="008C7D3B">
      <w:pPr>
        <w:spacing w:after="0" w:line="240" w:lineRule="auto"/>
      </w:pPr>
      <w:r>
        <w:separator/>
      </w:r>
    </w:p>
  </w:endnote>
  <w:endnote w:type="continuationSeparator" w:id="0">
    <w:p w14:paraId="58225789" w14:textId="77777777" w:rsidR="008C7D3B" w:rsidRDefault="008C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8C3F1" w14:textId="77777777" w:rsidR="008C7D3B" w:rsidRDefault="008C7D3B">
      <w:pPr>
        <w:spacing w:after="0" w:line="240" w:lineRule="auto"/>
      </w:pPr>
      <w:r>
        <w:separator/>
      </w:r>
    </w:p>
  </w:footnote>
  <w:footnote w:type="continuationSeparator" w:id="0">
    <w:p w14:paraId="74C281BE" w14:textId="77777777" w:rsidR="008C7D3B" w:rsidRDefault="008C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3A2C71F8"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CE3FC7">
      <w:rPr>
        <w:rFonts w:ascii="Verdana" w:hAnsi="Verdana"/>
        <w:b/>
        <w:bCs/>
        <w:sz w:val="20"/>
        <w:szCs w:val="20"/>
      </w:rPr>
      <w:t>2.</w:t>
    </w:r>
    <w:r w:rsidR="00AE6D76">
      <w:rPr>
        <w:rFonts w:ascii="Verdana" w:hAnsi="Verdana"/>
        <w:b/>
        <w:bCs/>
        <w:sz w:val="20"/>
        <w:szCs w:val="20"/>
      </w:rPr>
      <w:t>11</w:t>
    </w:r>
    <w:r w:rsidR="00CE3FC7">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51692D"/>
    <w:multiLevelType w:val="hybridMultilevel"/>
    <w:tmpl w:val="5384441A"/>
    <w:lvl w:ilvl="0" w:tplc="7B12D80E">
      <w:start w:val="5"/>
      <w:numFmt w:val="lowerLetter"/>
      <w:lvlText w:val="%1)"/>
      <w:lvlJc w:val="left"/>
      <w:pPr>
        <w:ind w:left="72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7"/>
  </w:num>
  <w:num w:numId="2" w16cid:durableId="1406032769">
    <w:abstractNumId w:val="12"/>
  </w:num>
  <w:num w:numId="3" w16cid:durableId="1312053893">
    <w:abstractNumId w:val="4"/>
  </w:num>
  <w:num w:numId="4" w16cid:durableId="1609120088">
    <w:abstractNumId w:val="0"/>
  </w:num>
  <w:num w:numId="5" w16cid:durableId="702173762">
    <w:abstractNumId w:val="10"/>
  </w:num>
  <w:num w:numId="6" w16cid:durableId="855727411">
    <w:abstractNumId w:val="6"/>
  </w:num>
  <w:num w:numId="7" w16cid:durableId="549193256">
    <w:abstractNumId w:val="8"/>
  </w:num>
  <w:num w:numId="8" w16cid:durableId="5788179">
    <w:abstractNumId w:val="4"/>
    <w:lvlOverride w:ilvl="0">
      <w:startOverride w:val="1"/>
    </w:lvlOverride>
  </w:num>
  <w:num w:numId="9" w16cid:durableId="824856041">
    <w:abstractNumId w:val="3"/>
  </w:num>
  <w:num w:numId="10" w16cid:durableId="494151636">
    <w:abstractNumId w:val="9"/>
  </w:num>
  <w:num w:numId="11" w16cid:durableId="112603849">
    <w:abstractNumId w:val="14"/>
  </w:num>
  <w:num w:numId="12" w16cid:durableId="1402484736">
    <w:abstractNumId w:val="1"/>
  </w:num>
  <w:num w:numId="13" w16cid:durableId="2005476647">
    <w:abstractNumId w:val="5"/>
  </w:num>
  <w:num w:numId="14" w16cid:durableId="85200993">
    <w:abstractNumId w:val="4"/>
  </w:num>
  <w:num w:numId="15" w16cid:durableId="22631082">
    <w:abstractNumId w:val="4"/>
  </w:num>
  <w:num w:numId="16" w16cid:durableId="1780181711">
    <w:abstractNumId w:val="4"/>
  </w:num>
  <w:num w:numId="17" w16cid:durableId="1378774018">
    <w:abstractNumId w:val="4"/>
  </w:num>
  <w:num w:numId="18" w16cid:durableId="1897469190">
    <w:abstractNumId w:val="4"/>
  </w:num>
  <w:num w:numId="19" w16cid:durableId="1671445324">
    <w:abstractNumId w:val="4"/>
  </w:num>
  <w:num w:numId="20" w16cid:durableId="1268392566">
    <w:abstractNumId w:val="4"/>
  </w:num>
  <w:num w:numId="21" w16cid:durableId="1173446291">
    <w:abstractNumId w:val="4"/>
  </w:num>
  <w:num w:numId="22" w16cid:durableId="157353528">
    <w:abstractNumId w:val="2"/>
  </w:num>
  <w:num w:numId="23" w16cid:durableId="261839030">
    <w:abstractNumId w:val="13"/>
  </w:num>
  <w:num w:numId="24" w16cid:durableId="478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651CE"/>
    <w:rsid w:val="0008468B"/>
    <w:rsid w:val="000A468A"/>
    <w:rsid w:val="000B0FBD"/>
    <w:rsid w:val="000D6ED8"/>
    <w:rsid w:val="000F4728"/>
    <w:rsid w:val="00107D9D"/>
    <w:rsid w:val="00134639"/>
    <w:rsid w:val="0018252D"/>
    <w:rsid w:val="001A56F1"/>
    <w:rsid w:val="001B4738"/>
    <w:rsid w:val="001B5D63"/>
    <w:rsid w:val="001D14CB"/>
    <w:rsid w:val="00210389"/>
    <w:rsid w:val="00243158"/>
    <w:rsid w:val="002778B6"/>
    <w:rsid w:val="002A0933"/>
    <w:rsid w:val="002A096E"/>
    <w:rsid w:val="002C56ED"/>
    <w:rsid w:val="003604B9"/>
    <w:rsid w:val="003772FB"/>
    <w:rsid w:val="00391152"/>
    <w:rsid w:val="003C2538"/>
    <w:rsid w:val="003D485F"/>
    <w:rsid w:val="003D5328"/>
    <w:rsid w:val="003E387F"/>
    <w:rsid w:val="00401ED2"/>
    <w:rsid w:val="0041278C"/>
    <w:rsid w:val="00417683"/>
    <w:rsid w:val="00426673"/>
    <w:rsid w:val="004607F7"/>
    <w:rsid w:val="004F2EE0"/>
    <w:rsid w:val="004F5C4B"/>
    <w:rsid w:val="0053773D"/>
    <w:rsid w:val="0060119B"/>
    <w:rsid w:val="00620B90"/>
    <w:rsid w:val="006356AF"/>
    <w:rsid w:val="006548BF"/>
    <w:rsid w:val="00660504"/>
    <w:rsid w:val="006C6513"/>
    <w:rsid w:val="006E2D9E"/>
    <w:rsid w:val="00773B8D"/>
    <w:rsid w:val="007A2EAF"/>
    <w:rsid w:val="007B245C"/>
    <w:rsid w:val="007C78FC"/>
    <w:rsid w:val="00816DAC"/>
    <w:rsid w:val="0083290E"/>
    <w:rsid w:val="00843FF2"/>
    <w:rsid w:val="008453AB"/>
    <w:rsid w:val="00854EEA"/>
    <w:rsid w:val="008551DA"/>
    <w:rsid w:val="008827A2"/>
    <w:rsid w:val="008C3DE0"/>
    <w:rsid w:val="008C7D3B"/>
    <w:rsid w:val="008D193F"/>
    <w:rsid w:val="008F173C"/>
    <w:rsid w:val="0094702F"/>
    <w:rsid w:val="00955BB3"/>
    <w:rsid w:val="009A38AD"/>
    <w:rsid w:val="00A148A1"/>
    <w:rsid w:val="00A36C09"/>
    <w:rsid w:val="00A37C9F"/>
    <w:rsid w:val="00A70123"/>
    <w:rsid w:val="00A76B07"/>
    <w:rsid w:val="00A81B98"/>
    <w:rsid w:val="00A90305"/>
    <w:rsid w:val="00AA63A3"/>
    <w:rsid w:val="00AB5EB7"/>
    <w:rsid w:val="00AD4D97"/>
    <w:rsid w:val="00AE2453"/>
    <w:rsid w:val="00AE6D76"/>
    <w:rsid w:val="00B05DFC"/>
    <w:rsid w:val="00B0749D"/>
    <w:rsid w:val="00B36EEA"/>
    <w:rsid w:val="00B52FA0"/>
    <w:rsid w:val="00B75686"/>
    <w:rsid w:val="00BA4B55"/>
    <w:rsid w:val="00C12C93"/>
    <w:rsid w:val="00C325F5"/>
    <w:rsid w:val="00C457E8"/>
    <w:rsid w:val="00C609B9"/>
    <w:rsid w:val="00CD0E8D"/>
    <w:rsid w:val="00CE2386"/>
    <w:rsid w:val="00CE3FC7"/>
    <w:rsid w:val="00D03521"/>
    <w:rsid w:val="00D35B23"/>
    <w:rsid w:val="00D707D5"/>
    <w:rsid w:val="00E22AD2"/>
    <w:rsid w:val="00E32408"/>
    <w:rsid w:val="00E845D4"/>
    <w:rsid w:val="00EC22CC"/>
    <w:rsid w:val="00ED6B69"/>
    <w:rsid w:val="00EE34F4"/>
    <w:rsid w:val="00EF22A4"/>
    <w:rsid w:val="00F54EA0"/>
    <w:rsid w:val="00F96EE9"/>
    <w:rsid w:val="00FE285D"/>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cf01">
    <w:name w:val="cf01"/>
    <w:basedOn w:val="Policepardfaut"/>
    <w:rsid w:val="00AE6D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9736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2024-05-10T10:08:00Z</dcterms:created>
  <dcterms:modified xsi:type="dcterms:W3CDTF">2024-05-10T11:12:00Z</dcterms:modified>
</cp:coreProperties>
</file>