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2EF9" w14:textId="2C956BD3" w:rsidR="006358C4" w:rsidRPr="006358C4" w:rsidRDefault="006358C4" w:rsidP="006358C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0" w:name="_Toc138165790"/>
      <w:r w:rsidRPr="006358C4">
        <w:rPr>
          <w:rFonts w:ascii="Verdana" w:eastAsia="Times New Roman" w:hAnsi="Verdana" w:cs="Calibri Light"/>
          <w:b/>
          <w:bCs/>
          <w:iCs/>
          <w:color w:val="004171"/>
          <w:kern w:val="0"/>
          <w:sz w:val="40"/>
          <w:szCs w:val="40"/>
          <w:lang w:val="fr-FR" w:bidi="fr-FR"/>
          <w14:ligatures w14:val="none"/>
        </w:rPr>
        <w:t>Mandat du groupe de travail des responsables des programmes nationaux d’observateurs</w:t>
      </w:r>
      <w:bookmarkEnd w:id="0"/>
    </w:p>
    <w:p w14:paraId="1709E385"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p>
    <w:p w14:paraId="716A2FB8"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RÉAMBULE</w:t>
      </w:r>
    </w:p>
    <w:p w14:paraId="11B58DD9"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Les membres du groupe de travail des responsables des programmes nationaux d’observateurs (GT-</w:t>
      </w:r>
      <w:proofErr w:type="spellStart"/>
      <w:r w:rsidRPr="006358C4">
        <w:rPr>
          <w:rFonts w:ascii="Verdana" w:hAnsi="Verdana"/>
          <w:b/>
          <w:iCs/>
          <w:color w:val="000000" w:themeColor="text1"/>
          <w:kern w:val="0"/>
          <w:sz w:val="21"/>
          <w:szCs w:val="21"/>
          <w:lang w:val="fr-FR" w:bidi="fr-FR"/>
          <w14:ligatures w14:val="none"/>
        </w:rPr>
        <w:t>rPNO</w:t>
      </w:r>
      <w:proofErr w:type="spellEnd"/>
      <w:r w:rsidRPr="006358C4">
        <w:rPr>
          <w:rFonts w:ascii="Verdana" w:hAnsi="Verdana"/>
          <w:b/>
          <w:iCs/>
          <w:color w:val="000000" w:themeColor="text1"/>
          <w:kern w:val="0"/>
          <w:sz w:val="21"/>
          <w:szCs w:val="21"/>
          <w:lang w:val="fr-FR" w:bidi="fr-FR"/>
          <w14:ligatures w14:val="none"/>
        </w:rPr>
        <w:t>),</w:t>
      </w:r>
    </w:p>
    <w:p w14:paraId="7D0F75CD" w14:textId="33B2C846"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RAPPELANT qu’un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a été mis en place, dont les réunions sont provisoirement financées par la Commission de l’océan Indien (COI) dans le cadre du </w:t>
      </w:r>
      <w:r w:rsidR="00E8637D" w:rsidRPr="00E8637D">
        <w:rPr>
          <w:rFonts w:ascii="Verdana" w:hAnsi="Verdana"/>
          <w:iCs/>
          <w:color w:val="000000" w:themeColor="text1"/>
          <w:kern w:val="0"/>
          <w:sz w:val="21"/>
          <w:szCs w:val="21"/>
          <w:lang w:val="fr-FR" w:bidi="fr-FR"/>
          <w14:ligatures w14:val="none"/>
        </w:rPr>
        <w:t>Centre de Suivi, de Contrôle, de Surveillance et d'Observation des Pêches (CSCSOP)</w:t>
      </w:r>
      <w:r w:rsidRPr="006358C4">
        <w:rPr>
          <w:rFonts w:ascii="Verdana" w:hAnsi="Verdana"/>
          <w:iCs/>
          <w:color w:val="000000" w:themeColor="text1"/>
          <w:kern w:val="0"/>
          <w:sz w:val="21"/>
          <w:szCs w:val="21"/>
          <w:lang w:val="fr-FR" w:bidi="fr-FR"/>
          <w14:ligatures w14:val="none"/>
        </w:rPr>
        <w:t>,</w:t>
      </w:r>
    </w:p>
    <w:p w14:paraId="55272D9C"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RECONNAISSANT que 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a décidé de relever d’une organisation régionale lui permettant d’officialiser son rôle et de trouver un financement à long terme,</w:t>
      </w:r>
    </w:p>
    <w:p w14:paraId="5B0DA87D" w14:textId="03D6F6A4"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GARDANT À L’ESPRIT qu’il existe actuellement cinq initiatives relatives aux activités des observateurs régionaux dans la région d’Afrique de l’Est, d’Afrique australe et de l’océan Indien, financées par l’Union européenne, la Banque mondiale, les États côtiers et d’autres donateurs, dans le cadre de projets et de mécanismes mis en œuvre par la Commission des thons de l’océan Indien (CTOI), la Communauté de développement de l’Afrique australe (SADC), la Commission des pêches pour le sud-ouest de l’océan Indien (</w:t>
      </w:r>
      <w:r w:rsidR="00E8637D">
        <w:rPr>
          <w:rFonts w:ascii="Verdana" w:hAnsi="Verdana"/>
          <w:iCs/>
          <w:color w:val="000000" w:themeColor="text1"/>
          <w:kern w:val="0"/>
          <w:sz w:val="21"/>
          <w:szCs w:val="21"/>
          <w:lang w:val="fr-FR" w:bidi="fr-FR"/>
          <w14:ligatures w14:val="none"/>
        </w:rPr>
        <w:t>CPSOOI</w:t>
      </w:r>
      <w:r w:rsidRPr="006358C4">
        <w:rPr>
          <w:rFonts w:ascii="Verdana" w:hAnsi="Verdana"/>
          <w:iCs/>
          <w:color w:val="000000" w:themeColor="text1"/>
          <w:kern w:val="0"/>
          <w:sz w:val="21"/>
          <w:szCs w:val="21"/>
          <w:lang w:val="fr-FR" w:bidi="fr-FR"/>
          <w14:ligatures w14:val="none"/>
        </w:rPr>
        <w:t>), l’Accord relatif aux pêches dans le sud de l’océan Indien (APSOI) et la Commission de l’océan Indien (COI),</w:t>
      </w:r>
    </w:p>
    <w:p w14:paraId="3605B60D"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NOTANT les avantages et l’efficacité à long terme de la création d’un mandat qui pourrait être envisagé par 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et l’organisation régionale dont il pourrait relever ;</w:t>
      </w:r>
    </w:p>
    <w:p w14:paraId="1425E71E"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Sont convenus</w:t>
      </w:r>
      <w:r w:rsidRPr="006358C4">
        <w:rPr>
          <w:rFonts w:ascii="Verdana" w:hAnsi="Verdana"/>
          <w:iCs/>
          <w:color w:val="000000" w:themeColor="text1"/>
          <w:kern w:val="0"/>
          <w:sz w:val="21"/>
          <w:szCs w:val="21"/>
          <w:lang w:val="fr-FR" w:bidi="fr-FR"/>
          <w14:ligatures w14:val="none"/>
        </w:rPr>
        <w:t xml:space="preserve"> du mandat suivant :</w:t>
      </w:r>
    </w:p>
    <w:p w14:paraId="0D202DF0"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p>
    <w:p w14:paraId="268F00F8" w14:textId="77777777" w:rsidR="006358C4" w:rsidRPr="006358C4" w:rsidRDefault="006358C4" w:rsidP="006358C4">
      <w:pPr>
        <w:numPr>
          <w:ilvl w:val="0"/>
          <w:numId w:val="4"/>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 xml:space="preserve">ÉTABLISSEMENT   </w:t>
      </w:r>
    </w:p>
    <w:p w14:paraId="5724E716" w14:textId="0E18E479"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est créé au sein de la COI et relève de la compétence de </w:t>
      </w:r>
      <w:r w:rsidR="00E8637D">
        <w:rPr>
          <w:rFonts w:ascii="Verdana" w:hAnsi="Verdana"/>
          <w:iCs/>
          <w:color w:val="000000" w:themeColor="text1"/>
          <w:kern w:val="0"/>
          <w:sz w:val="21"/>
          <w:szCs w:val="21"/>
          <w:lang w:val="fr-FR" w:bidi="fr-FR"/>
          <w14:ligatures w14:val="none"/>
        </w:rPr>
        <w:t>Comité de pilotage</w:t>
      </w:r>
      <w:r w:rsidRPr="006358C4">
        <w:rPr>
          <w:rFonts w:ascii="Verdana" w:hAnsi="Verdana"/>
          <w:iCs/>
          <w:color w:val="000000" w:themeColor="text1"/>
          <w:kern w:val="0"/>
          <w:sz w:val="21"/>
          <w:szCs w:val="21"/>
          <w:lang w:val="fr-FR" w:bidi="fr-FR"/>
          <w14:ligatures w14:val="none"/>
        </w:rPr>
        <w:t>, sous réserve des orientations d</w:t>
      </w:r>
      <w:r w:rsidR="00E8637D">
        <w:rPr>
          <w:rFonts w:ascii="Verdana" w:hAnsi="Verdana"/>
          <w:iCs/>
          <w:color w:val="000000" w:themeColor="text1"/>
          <w:kern w:val="0"/>
          <w:sz w:val="21"/>
          <w:szCs w:val="21"/>
          <w:lang w:val="fr-FR" w:bidi="fr-FR"/>
          <w14:ligatures w14:val="none"/>
        </w:rPr>
        <w:t>u</w:t>
      </w:r>
      <w:r w:rsidRPr="006358C4">
        <w:rPr>
          <w:rFonts w:ascii="Verdana" w:hAnsi="Verdana"/>
          <w:iCs/>
          <w:color w:val="000000" w:themeColor="text1"/>
          <w:kern w:val="0"/>
          <w:sz w:val="21"/>
          <w:szCs w:val="21"/>
          <w:lang w:val="fr-FR" w:bidi="fr-FR"/>
          <w14:ligatures w14:val="none"/>
        </w:rPr>
        <w:t xml:space="preserve"> </w:t>
      </w:r>
      <w:r w:rsidR="00E8637D" w:rsidRPr="00E8637D">
        <w:rPr>
          <w:rFonts w:ascii="Verdana" w:hAnsi="Verdana"/>
          <w:iCs/>
          <w:color w:val="000000" w:themeColor="text1"/>
          <w:kern w:val="0"/>
          <w:sz w:val="21"/>
          <w:szCs w:val="21"/>
          <w:lang w:val="fr-FR" w:bidi="fr-FR"/>
          <w14:ligatures w14:val="none"/>
        </w:rPr>
        <w:t>Comité de pilotage</w:t>
      </w:r>
      <w:r w:rsidRPr="006358C4">
        <w:rPr>
          <w:rFonts w:ascii="Verdana" w:hAnsi="Verdana"/>
          <w:iCs/>
          <w:color w:val="000000" w:themeColor="text1"/>
          <w:kern w:val="0"/>
          <w:sz w:val="21"/>
          <w:szCs w:val="21"/>
          <w:lang w:val="fr-FR" w:bidi="fr-FR"/>
          <w14:ligatures w14:val="none"/>
        </w:rPr>
        <w:t>.</w:t>
      </w:r>
    </w:p>
    <w:p w14:paraId="3DC20B49" w14:textId="77777777"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adopte ses propres procédures par consensus de ses membres.</w:t>
      </w:r>
    </w:p>
    <w:p w14:paraId="5837D69F" w14:textId="77777777"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se compose au minimum des personnes suivantes :</w:t>
      </w:r>
    </w:p>
    <w:p w14:paraId="71316933" w14:textId="77777777" w:rsidR="006358C4" w:rsidRPr="006358C4" w:rsidRDefault="006358C4" w:rsidP="006358C4">
      <w:pPr>
        <w:numPr>
          <w:ilvl w:val="1"/>
          <w:numId w:val="1"/>
        </w:numPr>
        <w:spacing w:after="120" w:line="276" w:lineRule="auto"/>
        <w:jc w:val="both"/>
        <w:rPr>
          <w:rFonts w:ascii="Verdana" w:hAnsi="Verdana"/>
          <w:iCs/>
          <w:color w:val="000000" w:themeColor="text1"/>
          <w:spacing w:val="-6"/>
          <w:kern w:val="0"/>
          <w:sz w:val="21"/>
          <w:szCs w:val="21"/>
          <w:lang w:val="fr-FR"/>
          <w14:ligatures w14:val="none"/>
        </w:rPr>
      </w:pPr>
      <w:proofErr w:type="gramStart"/>
      <w:r w:rsidRPr="006358C4">
        <w:rPr>
          <w:rFonts w:ascii="Verdana" w:hAnsi="Verdana"/>
          <w:iCs/>
          <w:color w:val="000000" w:themeColor="text1"/>
          <w:spacing w:val="-6"/>
          <w:kern w:val="0"/>
          <w:sz w:val="21"/>
          <w:szCs w:val="21"/>
          <w:lang w:val="fr-FR" w:bidi="fr-FR"/>
          <w14:ligatures w14:val="none"/>
        </w:rPr>
        <w:t>deux</w:t>
      </w:r>
      <w:proofErr w:type="gramEnd"/>
      <w:r w:rsidRPr="006358C4">
        <w:rPr>
          <w:rFonts w:ascii="Verdana" w:hAnsi="Verdana"/>
          <w:iCs/>
          <w:color w:val="000000" w:themeColor="text1"/>
          <w:spacing w:val="-6"/>
          <w:kern w:val="0"/>
          <w:sz w:val="21"/>
          <w:szCs w:val="21"/>
          <w:lang w:val="fr-FR" w:bidi="fr-FR"/>
          <w14:ligatures w14:val="none"/>
        </w:rPr>
        <w:t xml:space="preserve"> représentants de l’équipe de gestion du programme national d’observateurs de chaque État participant, si possible le coordinateur et le gestionnaire de la base de données ;</w:t>
      </w:r>
    </w:p>
    <w:p w14:paraId="0F9DC8C2" w14:textId="77777777" w:rsidR="006358C4" w:rsidRPr="006358C4" w:rsidRDefault="006358C4" w:rsidP="006358C4">
      <w:pPr>
        <w:numPr>
          <w:ilvl w:val="1"/>
          <w:numId w:val="1"/>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un</w:t>
      </w:r>
      <w:proofErr w:type="gramEnd"/>
      <w:r w:rsidRPr="006358C4">
        <w:rPr>
          <w:rFonts w:ascii="Verdana" w:hAnsi="Verdana"/>
          <w:iCs/>
          <w:color w:val="000000" w:themeColor="text1"/>
          <w:kern w:val="0"/>
          <w:sz w:val="21"/>
          <w:szCs w:val="21"/>
          <w:lang w:val="fr-FR" w:bidi="fr-FR"/>
          <w14:ligatures w14:val="none"/>
        </w:rPr>
        <w:t xml:space="preserve"> représentant de la COI, qui peut être le coordinateur régional des observateurs. </w:t>
      </w:r>
    </w:p>
    <w:p w14:paraId="332B7E70" w14:textId="77777777"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Un État participant peut désigner un successeur à tout moment pour remplacer un membre nommé au titre de l’alinéa a) de la section 2, et ce remplacement prend </w:t>
      </w:r>
      <w:r w:rsidRPr="006358C4">
        <w:rPr>
          <w:rFonts w:ascii="Verdana" w:hAnsi="Verdana"/>
          <w:iCs/>
          <w:color w:val="000000" w:themeColor="text1"/>
          <w:kern w:val="0"/>
          <w:sz w:val="21"/>
          <w:szCs w:val="21"/>
          <w:lang w:val="fr-FR" w:bidi="fr-FR"/>
          <w14:ligatures w14:val="none"/>
        </w:rPr>
        <w:lastRenderedPageBreak/>
        <w:t xml:space="preserve">effet à la date à laquelle l’État participant le notifie à la COI, ladite notification devant être effectuée dès que cela est raisonnablement possible. </w:t>
      </w:r>
    </w:p>
    <w:p w14:paraId="269E5EDD" w14:textId="77777777"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Des observateurs des organismes régionaux des pêches peuvent être invités à participer aux réunions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24AA0566" w14:textId="77777777" w:rsidR="006358C4" w:rsidRPr="006358C4" w:rsidRDefault="006358C4" w:rsidP="006358C4">
      <w:pPr>
        <w:numPr>
          <w:ilvl w:val="0"/>
          <w:numId w:val="6"/>
        </w:numPr>
        <w:spacing w:after="120" w:line="276" w:lineRule="auto"/>
        <w:jc w:val="both"/>
        <w:rPr>
          <w:rFonts w:ascii="Verdana" w:hAnsi="Verdana"/>
          <w:b/>
          <w:bCs/>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DURÉE ET MANDAT DU GT-</w:t>
      </w:r>
      <w:proofErr w:type="spellStart"/>
      <w:r w:rsidRPr="006358C4">
        <w:rPr>
          <w:rFonts w:ascii="Verdana" w:hAnsi="Verdana"/>
          <w:b/>
          <w:iCs/>
          <w:color w:val="000000" w:themeColor="text1"/>
          <w:kern w:val="0"/>
          <w:sz w:val="21"/>
          <w:szCs w:val="21"/>
          <w:lang w:val="fr-FR" w:bidi="fr-FR"/>
          <w14:ligatures w14:val="none"/>
        </w:rPr>
        <w:t>rPNO</w:t>
      </w:r>
      <w:proofErr w:type="spellEnd"/>
    </w:p>
    <w:p w14:paraId="299DEDFA" w14:textId="77777777" w:rsidR="006358C4" w:rsidRPr="006358C4" w:rsidRDefault="006358C4" w:rsidP="006358C4">
      <w:pPr>
        <w:numPr>
          <w:ilvl w:val="0"/>
          <w:numId w:val="7"/>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présent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est établi pour une durée de cinq ans.  </w:t>
      </w:r>
    </w:p>
    <w:p w14:paraId="2ABF5415" w14:textId="77777777" w:rsidR="006358C4" w:rsidRPr="006358C4" w:rsidRDefault="006358C4" w:rsidP="006358C4">
      <w:pPr>
        <w:numPr>
          <w:ilvl w:val="0"/>
          <w:numId w:val="7"/>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COI peut décider de prolonger la durée ou d’étendre le mandat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si nécessaire, avec l’approbation de ce dernier.</w:t>
      </w:r>
    </w:p>
    <w:p w14:paraId="09096F51"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p>
    <w:p w14:paraId="4A00270E"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OBJECTIFS</w:t>
      </w:r>
    </w:p>
    <w:p w14:paraId="02E71982"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entend mettre en place un programme régional d’observateurs ainsi qu’élaborer et mettre en œuvre des activités d’observation en coopération dans un cadre sous-régional, afin d’améliorer l’information sur les pêcheries, notamment les données relatives aux captures et à l’effort de pêche, et le respect des résolutions des organisations régionales de gestion des pêches concernées, comme convenu par les Parties.</w:t>
      </w:r>
    </w:p>
    <w:p w14:paraId="76CA4666"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 </w:t>
      </w:r>
    </w:p>
    <w:p w14:paraId="48FB9D69"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FONCTIONS</w:t>
      </w:r>
    </w:p>
    <w:p w14:paraId="77D29457"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exerce les fonctions décrites dans l’</w:t>
      </w:r>
      <w:r w:rsidR="00000000">
        <w:fldChar w:fldCharType="begin"/>
      </w:r>
      <w:r w:rsidR="00000000" w:rsidRPr="000F3646">
        <w:rPr>
          <w:lang w:val="fr-FR"/>
        </w:rPr>
        <w:instrText>HYPERLINK \l "_Appendix_A"</w:instrText>
      </w:r>
      <w:r w:rsidR="00000000">
        <w:fldChar w:fldCharType="separate"/>
      </w:r>
      <w:r w:rsidRPr="006358C4">
        <w:rPr>
          <w:rFonts w:ascii="Verdana" w:hAnsi="Verdana"/>
          <w:iCs/>
          <w:color w:val="00B0F0"/>
          <w:kern w:val="0"/>
          <w:sz w:val="21"/>
          <w:szCs w:val="21"/>
          <w:u w:val="single"/>
          <w:lang w:val="fr-FR" w:bidi="fr-FR"/>
          <w14:ligatures w14:val="none"/>
        </w:rPr>
        <w:t>appendice A.</w:t>
      </w:r>
      <w:r w:rsidR="00000000">
        <w:rPr>
          <w:rFonts w:ascii="Verdana" w:hAnsi="Verdana"/>
          <w:iCs/>
          <w:color w:val="00B0F0"/>
          <w:kern w:val="0"/>
          <w:sz w:val="21"/>
          <w:szCs w:val="21"/>
          <w:u w:val="single"/>
          <w:lang w:val="fr-FR" w:bidi="fr-FR"/>
          <w14:ligatures w14:val="none"/>
        </w:rPr>
        <w:fldChar w:fldCharType="end"/>
      </w:r>
      <w:r w:rsidRPr="006358C4">
        <w:rPr>
          <w:rFonts w:ascii="Verdana" w:hAnsi="Verdana"/>
          <w:iCs/>
          <w:color w:val="000000" w:themeColor="text1"/>
          <w:kern w:val="0"/>
          <w:sz w:val="21"/>
          <w:szCs w:val="21"/>
          <w:lang w:val="fr-FR" w:bidi="fr-FR"/>
          <w14:ligatures w14:val="none"/>
        </w:rPr>
        <w:t xml:space="preserve">  </w:t>
      </w:r>
    </w:p>
    <w:p w14:paraId="6491CD95"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p>
    <w:p w14:paraId="4888B042"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OBJECTIFS DES RÉUNIONS</w:t>
      </w:r>
    </w:p>
    <w:p w14:paraId="3EDEB9BB" w14:textId="77777777" w:rsidR="006358C4" w:rsidRPr="006358C4" w:rsidRDefault="006358C4" w:rsidP="006358C4">
      <w:pPr>
        <w:numPr>
          <w:ilvl w:val="0"/>
          <w:numId w:val="9"/>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 xml:space="preserve">Placer 1-4 dans les procédures ci-dessous. </w:t>
      </w:r>
      <w:r w:rsidRPr="006358C4">
        <w:rPr>
          <w:rFonts w:ascii="Verdana" w:hAnsi="Verdana"/>
          <w:iCs/>
          <w:color w:val="000000" w:themeColor="text1"/>
          <w:kern w:val="0"/>
          <w:sz w:val="21"/>
          <w:szCs w:val="21"/>
          <w:lang w:val="fr-FR" w:bidi="fr-FR"/>
          <w14:ligatures w14:val="none"/>
        </w:rPr>
        <w:t xml:space="preserve">Les objectifs de la première réunion de chaque année sont les suivants :  </w:t>
      </w:r>
    </w:p>
    <w:p w14:paraId="0188080A"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présenter</w:t>
      </w:r>
      <w:proofErr w:type="gramEnd"/>
      <w:r w:rsidRPr="006358C4">
        <w:rPr>
          <w:rFonts w:ascii="Verdana" w:hAnsi="Verdana"/>
          <w:iCs/>
          <w:color w:val="000000" w:themeColor="text1"/>
          <w:kern w:val="0"/>
          <w:sz w:val="21"/>
          <w:szCs w:val="21"/>
          <w:lang w:val="fr-FR" w:bidi="fr-FR"/>
          <w14:ligatures w14:val="none"/>
        </w:rPr>
        <w:t xml:space="preserve"> un rapport annuel sur les activités des observateurs nationaux et sous-régionaux ;</w:t>
      </w:r>
    </w:p>
    <w:p w14:paraId="5AA91796"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examiner</w:t>
      </w:r>
      <w:proofErr w:type="gramEnd"/>
      <w:r w:rsidRPr="006358C4">
        <w:rPr>
          <w:rFonts w:ascii="Verdana" w:hAnsi="Verdana"/>
          <w:iCs/>
          <w:color w:val="000000" w:themeColor="text1"/>
          <w:kern w:val="0"/>
          <w:sz w:val="21"/>
          <w:szCs w:val="21"/>
          <w:lang w:val="fr-FR" w:bidi="fr-FR"/>
          <w14:ligatures w14:val="none"/>
        </w:rPr>
        <w:t xml:space="preserve"> la liste des candidats proposés par les programmes nationaux d’observateurs pour le processus de certification sous-régionale ;</w:t>
      </w:r>
    </w:p>
    <w:p w14:paraId="23FAB8ED"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coordonner</w:t>
      </w:r>
      <w:proofErr w:type="gramEnd"/>
      <w:r w:rsidRPr="006358C4">
        <w:rPr>
          <w:rFonts w:ascii="Verdana" w:hAnsi="Verdana"/>
          <w:iCs/>
          <w:color w:val="000000" w:themeColor="text1"/>
          <w:kern w:val="0"/>
          <w:sz w:val="21"/>
          <w:szCs w:val="21"/>
          <w:lang w:val="fr-FR" w:bidi="fr-FR"/>
          <w14:ligatures w14:val="none"/>
        </w:rPr>
        <w:t xml:space="preserve"> les déploiements annuels d’observateurs sous-régionaux ;</w:t>
      </w:r>
    </w:p>
    <w:p w14:paraId="64951C76"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examiner</w:t>
      </w:r>
      <w:proofErr w:type="gramEnd"/>
      <w:r w:rsidRPr="006358C4">
        <w:rPr>
          <w:rFonts w:ascii="Verdana" w:hAnsi="Verdana"/>
          <w:iCs/>
          <w:color w:val="000000" w:themeColor="text1"/>
          <w:kern w:val="0"/>
          <w:sz w:val="21"/>
          <w:szCs w:val="21"/>
          <w:lang w:val="fr-FR" w:bidi="fr-FR"/>
          <w14:ligatures w14:val="none"/>
        </w:rPr>
        <w:t xml:space="preserve"> les recommandations et les mesures de conservation et de gestion des organisations régionales de gestion des pêches qui sont pertinentes pour les observateurs ;</w:t>
      </w:r>
    </w:p>
    <w:p w14:paraId="4771B5D4"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veiller</w:t>
      </w:r>
      <w:proofErr w:type="gramEnd"/>
      <w:r w:rsidRPr="006358C4">
        <w:rPr>
          <w:rFonts w:ascii="Verdana" w:hAnsi="Verdana"/>
          <w:iCs/>
          <w:color w:val="000000" w:themeColor="text1"/>
          <w:kern w:val="0"/>
          <w:sz w:val="21"/>
          <w:szCs w:val="21"/>
          <w:lang w:val="fr-FR" w:bidi="fr-FR"/>
          <w14:ligatures w14:val="none"/>
        </w:rPr>
        <w:t xml:space="preserve"> au respect des procédures de partage des données d’observation collectées lors des missions d’observation en coopération et à la mise en œuvre des outils de données ;</w:t>
      </w:r>
    </w:p>
    <w:p w14:paraId="7059737C"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veiller</w:t>
      </w:r>
      <w:proofErr w:type="gramEnd"/>
      <w:r w:rsidRPr="006358C4">
        <w:rPr>
          <w:rFonts w:ascii="Verdana" w:hAnsi="Verdana"/>
          <w:iCs/>
          <w:color w:val="000000" w:themeColor="text1"/>
          <w:kern w:val="0"/>
          <w:sz w:val="21"/>
          <w:szCs w:val="21"/>
          <w:lang w:val="fr-FR" w:bidi="fr-FR"/>
          <w14:ligatures w14:val="none"/>
        </w:rPr>
        <w:t xml:space="preserve"> à ce que les procédures de coordination en temps réel des déploiements d’observateurs soient suivies et à ce que les outils de coordination soient pleinement opérationnels ;</w:t>
      </w:r>
    </w:p>
    <w:p w14:paraId="32B04459"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examiner</w:t>
      </w:r>
      <w:proofErr w:type="gramEnd"/>
      <w:r w:rsidRPr="006358C4">
        <w:rPr>
          <w:rFonts w:ascii="Verdana" w:hAnsi="Verdana"/>
          <w:iCs/>
          <w:color w:val="000000" w:themeColor="text1"/>
          <w:kern w:val="0"/>
          <w:sz w:val="21"/>
          <w:szCs w:val="21"/>
          <w:lang w:val="fr-FR" w:bidi="fr-FR"/>
          <w14:ligatures w14:val="none"/>
        </w:rPr>
        <w:t xml:space="preserve"> les demandes de reconnaissance des organismes nationaux de formation ;</w:t>
      </w:r>
    </w:p>
    <w:p w14:paraId="2F3ADE2E"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lastRenderedPageBreak/>
        <w:t>rendre</w:t>
      </w:r>
      <w:proofErr w:type="gramEnd"/>
      <w:r w:rsidRPr="006358C4">
        <w:rPr>
          <w:rFonts w:ascii="Verdana" w:hAnsi="Verdana"/>
          <w:iCs/>
          <w:color w:val="000000" w:themeColor="text1"/>
          <w:kern w:val="0"/>
          <w:sz w:val="21"/>
          <w:szCs w:val="21"/>
          <w:lang w:val="fr-FR" w:bidi="fr-FR"/>
          <w14:ligatures w14:val="none"/>
        </w:rPr>
        <w:t xml:space="preserve"> compte du plan final de déploiement des observateurs pour l’année. </w:t>
      </w:r>
    </w:p>
    <w:p w14:paraId="006A4802" w14:textId="77777777" w:rsidR="006358C4" w:rsidRPr="006358C4" w:rsidRDefault="006358C4" w:rsidP="006358C4">
      <w:pPr>
        <w:numPr>
          <w:ilvl w:val="0"/>
          <w:numId w:val="9"/>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Les objectifs de la deuxième réunion de chaque année sont les suivants :  </w:t>
      </w:r>
    </w:p>
    <w:p w14:paraId="0859182C"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examiner</w:t>
      </w:r>
      <w:proofErr w:type="gramEnd"/>
      <w:r w:rsidRPr="006358C4">
        <w:rPr>
          <w:rFonts w:ascii="Verdana" w:hAnsi="Verdana"/>
          <w:iCs/>
          <w:color w:val="000000" w:themeColor="text1"/>
          <w:kern w:val="0"/>
          <w:sz w:val="21"/>
          <w:szCs w:val="21"/>
          <w:lang w:val="fr-FR" w:bidi="fr-FR"/>
          <w14:ligatures w14:val="none"/>
        </w:rPr>
        <w:t xml:space="preserve"> la liste des candidats proposés par les programmes nationaux d’observateurs pour le processus de certification sous-régionale ;</w:t>
      </w:r>
    </w:p>
    <w:p w14:paraId="5D01003D"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planifier</w:t>
      </w:r>
      <w:proofErr w:type="gramEnd"/>
      <w:r w:rsidRPr="006358C4">
        <w:rPr>
          <w:rFonts w:ascii="Verdana" w:hAnsi="Verdana"/>
          <w:iCs/>
          <w:color w:val="000000" w:themeColor="text1"/>
          <w:kern w:val="0"/>
          <w:sz w:val="21"/>
          <w:szCs w:val="21"/>
          <w:lang w:val="fr-FR" w:bidi="fr-FR"/>
          <w14:ligatures w14:val="none"/>
        </w:rPr>
        <w:t xml:space="preserve"> une formation conjointe annuelle de remise à niveau pour les candidats sélectionnés pour la certification sous-régionale ;</w:t>
      </w:r>
    </w:p>
    <w:p w14:paraId="0A73089B"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présenter</w:t>
      </w:r>
      <w:proofErr w:type="gramEnd"/>
      <w:r w:rsidRPr="006358C4">
        <w:rPr>
          <w:rFonts w:ascii="Verdana" w:hAnsi="Verdana"/>
          <w:iCs/>
          <w:color w:val="000000" w:themeColor="text1"/>
          <w:kern w:val="0"/>
          <w:sz w:val="21"/>
          <w:szCs w:val="21"/>
          <w:lang w:val="fr-FR" w:bidi="fr-FR"/>
          <w14:ligatures w14:val="none"/>
        </w:rPr>
        <w:t xml:space="preserve"> la planification préliminaire du déploiement des observateurs pour l’année suivante ;</w:t>
      </w:r>
    </w:p>
    <w:p w14:paraId="7A1DD568"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évaluer</w:t>
      </w:r>
      <w:proofErr w:type="gramEnd"/>
      <w:r w:rsidRPr="006358C4">
        <w:rPr>
          <w:rFonts w:ascii="Verdana" w:hAnsi="Verdana"/>
          <w:iCs/>
          <w:color w:val="000000" w:themeColor="text1"/>
          <w:kern w:val="0"/>
          <w:sz w:val="21"/>
          <w:szCs w:val="21"/>
          <w:lang w:val="fr-FR" w:bidi="fr-FR"/>
          <w14:ligatures w14:val="none"/>
        </w:rPr>
        <w:t xml:space="preserve"> les performances des observateurs sous-régionaux certifiés sur la base de l’attestation de compétences délivrée par le coordinateur du plan national d’observateurs ;</w:t>
      </w:r>
    </w:p>
    <w:p w14:paraId="6590F256"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reconduire</w:t>
      </w:r>
      <w:proofErr w:type="gramEnd"/>
      <w:r w:rsidRPr="006358C4">
        <w:rPr>
          <w:rFonts w:ascii="Verdana" w:hAnsi="Verdana"/>
          <w:iCs/>
          <w:color w:val="000000" w:themeColor="text1"/>
          <w:kern w:val="0"/>
          <w:sz w:val="21"/>
          <w:szCs w:val="21"/>
          <w:lang w:val="fr-FR" w:bidi="fr-FR"/>
          <w14:ligatures w14:val="none"/>
        </w:rPr>
        <w:t xml:space="preserve"> la certification d’un observateur sous-régional certifié (par type d’engin) sur la base de l’attestation de compétences de l’observateur concerné ;</w:t>
      </w:r>
    </w:p>
    <w:p w14:paraId="04ADBB51"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décider</w:t>
      </w:r>
      <w:proofErr w:type="gramEnd"/>
      <w:r w:rsidRPr="006358C4">
        <w:rPr>
          <w:rFonts w:ascii="Verdana" w:hAnsi="Verdana"/>
          <w:iCs/>
          <w:color w:val="000000" w:themeColor="text1"/>
          <w:kern w:val="0"/>
          <w:sz w:val="21"/>
          <w:szCs w:val="21"/>
          <w:lang w:val="fr-FR" w:bidi="fr-FR"/>
          <w14:ligatures w14:val="none"/>
        </w:rPr>
        <w:t xml:space="preserve"> du retrait ou de la reconduction de la certification d’un observateur sous-régional certifié (par type d’engin) sur la base de l’attestation de compétences de l’observateur concerné.</w:t>
      </w:r>
    </w:p>
    <w:p w14:paraId="17F7BF63" w14:textId="77777777" w:rsidR="006358C4" w:rsidRPr="006358C4" w:rsidRDefault="006358C4" w:rsidP="006358C4">
      <w:pPr>
        <w:spacing w:after="120" w:line="276" w:lineRule="auto"/>
        <w:ind w:left="720"/>
        <w:jc w:val="both"/>
        <w:rPr>
          <w:rFonts w:ascii="Verdana" w:hAnsi="Verdana"/>
          <w:iCs/>
          <w:color w:val="000000" w:themeColor="text1"/>
          <w:kern w:val="0"/>
          <w:sz w:val="21"/>
          <w:szCs w:val="21"/>
          <w:lang w:val="fr-FR"/>
          <w14:ligatures w14:val="none"/>
        </w:rPr>
      </w:pPr>
    </w:p>
    <w:p w14:paraId="1675EBD8"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RÉUNIONS</w:t>
      </w:r>
    </w:p>
    <w:p w14:paraId="44E57DC2" w14:textId="77777777" w:rsidR="006358C4" w:rsidRPr="006358C4" w:rsidRDefault="006358C4" w:rsidP="006358C4">
      <w:pPr>
        <w:numPr>
          <w:ilvl w:val="0"/>
          <w:numId w:val="10"/>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se réunit deux fois par an selon un système de rotation, ou virtuellement entre les sessions pour des travaux spécifiques si la majorité des membres en convient.</w:t>
      </w:r>
    </w:p>
    <w:p w14:paraId="33164F79"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première réunion annuelle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se tient au cours du premier semestre, et la deuxième réunion, au cours du deuxième semestre de chaque année civile, si possible en février et en septembre.</w:t>
      </w:r>
    </w:p>
    <w:p w14:paraId="79F3A02F"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durée de la réunion n’excède pas deux jours.</w:t>
      </w:r>
    </w:p>
    <w:p w14:paraId="12551301"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Le président peut se réunir plus fréquemment avec la COI afin de gérer l’ordre du jour, de recevoir des rapports, d’établir les priorités de discussion et de s’acquitter de toute autre tâche administrative nécessaire.  </w:t>
      </w:r>
    </w:p>
    <w:p w14:paraId="64C6BE70"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peut inviter par consensus des observateurs d’organisations de pêche ou d’autres organismes pertinents à assister à ses réunions, au cours desquelles les observateurs invités peuvent intervenir conformément aux procédures, mais ne peuvent pas voter.</w:t>
      </w:r>
    </w:p>
    <w:p w14:paraId="3784CDEB"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président et le vice-président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sont élus pour une période maximale d’un an, par roulement, et ne sont pas rééligibles pour une deuxième année consécutive.  </w:t>
      </w:r>
    </w:p>
    <w:p w14:paraId="7CDC742E"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coordinateur régional des observateurs fournit un appui au président et au vice-président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3061F150"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Un secrétaire est désigné par les membres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pour dresser le procès-verbal et assister le président dans la préparation et le suivi des réunions.</w:t>
      </w:r>
    </w:p>
    <w:p w14:paraId="3873536B"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lastRenderedPageBreak/>
        <w:t>Le quorum est déterminé par les membres.</w:t>
      </w:r>
    </w:p>
    <w:p w14:paraId="3B54030B"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Les décisions sont prises par consensus ou à la majorité des deux tiers. </w:t>
      </w:r>
    </w:p>
    <w:p w14:paraId="2105884D"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p>
    <w:p w14:paraId="6C4ABA80"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 xml:space="preserve"> PROCÉDURES et SERVICES DE SECRÉTARIAT</w:t>
      </w:r>
    </w:p>
    <w:p w14:paraId="09E1BA1D"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adopte ses propres procédures lorsque rien n’est prévu par le présent mandat.</w:t>
      </w:r>
    </w:p>
    <w:p w14:paraId="33AD9685"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COI assure les services de secrétariat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257437B2"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Les procédures relatives à l’ordre du jour comprennent ce qui suit :</w:t>
      </w:r>
    </w:p>
    <w:p w14:paraId="76897729" w14:textId="77777777" w:rsidR="006358C4" w:rsidRPr="006358C4" w:rsidRDefault="006358C4" w:rsidP="006358C4">
      <w:pPr>
        <w:numPr>
          <w:ilvl w:val="0"/>
          <w:numId w:val="12"/>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w:t>
      </w:r>
      <w:proofErr w:type="gramEnd"/>
      <w:r w:rsidRPr="006358C4">
        <w:rPr>
          <w:rFonts w:ascii="Verdana" w:hAnsi="Verdana"/>
          <w:iCs/>
          <w:color w:val="000000" w:themeColor="text1"/>
          <w:kern w:val="0"/>
          <w:sz w:val="21"/>
          <w:szCs w:val="21"/>
          <w:lang w:val="fr-FR" w:bidi="fr-FR"/>
          <w14:ligatures w14:val="none"/>
        </w:rPr>
        <w:t xml:space="preserve"> président, à la demande des membres, est chargé de finaliser l’ordre du jour, mais il incombe au secrétariat de préparer l’ordre du jour de la première réunion en attendant l’élection d’un président ;</w:t>
      </w:r>
    </w:p>
    <w:p w14:paraId="12AD5563" w14:textId="77777777" w:rsidR="006358C4" w:rsidRPr="006358C4" w:rsidRDefault="006358C4" w:rsidP="006358C4">
      <w:pPr>
        <w:numPr>
          <w:ilvl w:val="0"/>
          <w:numId w:val="12"/>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contributions aux points de l’ordre du jour peuvent inclure des points déposés par les membres ;   </w:t>
      </w:r>
    </w:p>
    <w:p w14:paraId="1EB16340" w14:textId="77777777" w:rsidR="006358C4" w:rsidRPr="006358C4" w:rsidRDefault="006358C4" w:rsidP="006358C4">
      <w:pPr>
        <w:numPr>
          <w:ilvl w:val="0"/>
          <w:numId w:val="12"/>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l’ordre</w:t>
      </w:r>
      <w:proofErr w:type="gramEnd"/>
      <w:r w:rsidRPr="006358C4">
        <w:rPr>
          <w:rFonts w:ascii="Verdana" w:hAnsi="Verdana"/>
          <w:iCs/>
          <w:color w:val="000000" w:themeColor="text1"/>
          <w:kern w:val="0"/>
          <w:sz w:val="21"/>
          <w:szCs w:val="21"/>
          <w:lang w:val="fr-FR" w:bidi="fr-FR"/>
          <w14:ligatures w14:val="none"/>
        </w:rPr>
        <w:t xml:space="preserve"> du jour provisoire et les documents de la réunion doivent être mis à disposition au moins cinq jours ouvrables avant chaque réunion.</w:t>
      </w:r>
    </w:p>
    <w:p w14:paraId="16394F24"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procès-verbal de chaque réunion est transmis aux membres pour validation dans les quatorze jours ouvrables suivant une réunion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2F9DD718"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COI assure les services de secrétariat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55518457" w14:textId="77777777" w:rsidR="006358C4" w:rsidRPr="006358C4" w:rsidRDefault="006358C4" w:rsidP="006358C4">
      <w:pPr>
        <w:spacing w:after="0" w:line="240" w:lineRule="auto"/>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br w:type="page"/>
      </w:r>
    </w:p>
    <w:p w14:paraId="334EE887" w14:textId="77777777" w:rsidR="006358C4" w:rsidRPr="006358C4" w:rsidRDefault="006358C4" w:rsidP="006358C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1" w:name="_Toc138165791"/>
      <w:r w:rsidRPr="006358C4">
        <w:rPr>
          <w:rFonts w:ascii="Verdana" w:eastAsia="Times New Roman" w:hAnsi="Verdana" w:cs="Calibri Light"/>
          <w:b/>
          <w:bCs/>
          <w:iCs/>
          <w:color w:val="004171"/>
          <w:kern w:val="0"/>
          <w:sz w:val="40"/>
          <w:szCs w:val="40"/>
          <w:lang w:val="fr-FR" w:bidi="fr-FR"/>
          <w14:ligatures w14:val="none"/>
        </w:rPr>
        <w:lastRenderedPageBreak/>
        <w:t>APPENDICE A — Responsabilités et autres questions relevant du mandat du GT-</w:t>
      </w:r>
      <w:proofErr w:type="spellStart"/>
      <w:r w:rsidRPr="006358C4">
        <w:rPr>
          <w:rFonts w:ascii="Verdana" w:eastAsia="Times New Roman" w:hAnsi="Verdana" w:cs="Calibri Light"/>
          <w:b/>
          <w:bCs/>
          <w:iCs/>
          <w:color w:val="004171"/>
          <w:kern w:val="0"/>
          <w:sz w:val="40"/>
          <w:szCs w:val="40"/>
          <w:lang w:val="fr-FR" w:bidi="fr-FR"/>
          <w14:ligatures w14:val="none"/>
        </w:rPr>
        <w:t>rPNO</w:t>
      </w:r>
      <w:bookmarkEnd w:id="1"/>
      <w:proofErr w:type="spellEnd"/>
    </w:p>
    <w:p w14:paraId="753B6499"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Les responsabilités et autres questions relevant du mandat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comprennent notamment ce qui suit : </w:t>
      </w:r>
    </w:p>
    <w:p w14:paraId="028F2E75"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portée des activités de coopération des observateurs sous-régionaux ;</w:t>
      </w:r>
    </w:p>
    <w:p w14:paraId="49F5EF22"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reconnaissance du rôle des observateurs et du groupe de travail ;</w:t>
      </w:r>
    </w:p>
    <w:p w14:paraId="7AE3C0C5"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ou les sources d’observateurs (observateurs d’un État, observateurs indépendants, etc.) ;</w:t>
      </w:r>
    </w:p>
    <w:p w14:paraId="0E67391C"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informations et données minimales à collecter ;</w:t>
      </w:r>
    </w:p>
    <w:p w14:paraId="29069E3F"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w:t>
      </w:r>
      <w:proofErr w:type="gramEnd"/>
      <w:r w:rsidRPr="006358C4">
        <w:rPr>
          <w:rFonts w:ascii="Verdana" w:hAnsi="Verdana"/>
          <w:iCs/>
          <w:color w:val="000000" w:themeColor="text1"/>
          <w:kern w:val="0"/>
          <w:sz w:val="21"/>
          <w:szCs w:val="21"/>
          <w:lang w:val="fr-FR" w:bidi="fr-FR"/>
          <w14:ligatures w14:val="none"/>
        </w:rPr>
        <w:t xml:space="preserve"> niveau de couverture pour différents types d’engins ou de pêches ;</w:t>
      </w:r>
    </w:p>
    <w:p w14:paraId="7DF19DC4"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gestion des activités de coopération des observateurs sous-régionaux ;</w:t>
      </w:r>
    </w:p>
    <w:p w14:paraId="393E61F6"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recherche de moyens de financement des activités de coopération des observateurs sous-régionaux ;</w:t>
      </w:r>
    </w:p>
    <w:p w14:paraId="2940FAA7"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/approbation de normes pour les activités de coopération des observateurs sous-régionaux, notamment l’élaboration de normes minimales pour : </w:t>
      </w:r>
    </w:p>
    <w:p w14:paraId="3CDC9BCE" w14:textId="77777777" w:rsidR="006358C4" w:rsidRPr="006358C4" w:rsidRDefault="006358C4" w:rsidP="006358C4">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la certification et le débriefing des observateurs ;</w:t>
      </w:r>
    </w:p>
    <w:p w14:paraId="7651FE15" w14:textId="77777777" w:rsidR="006358C4" w:rsidRPr="006358C4" w:rsidRDefault="006358C4" w:rsidP="006358C4">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et la certification des responsables des comptes-rendus de fin de mission ;</w:t>
      </w:r>
    </w:p>
    <w:p w14:paraId="428D5A13" w14:textId="77777777" w:rsidR="006358C4" w:rsidRPr="006358C4" w:rsidRDefault="006358C4" w:rsidP="006358C4">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et la certification des formateurs ;</w:t>
      </w:r>
    </w:p>
    <w:p w14:paraId="43C55ADA" w14:textId="77777777" w:rsidR="006358C4" w:rsidRPr="006358C4" w:rsidRDefault="006358C4" w:rsidP="00E44ED8">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et la certification des coordinateurs/responsables ;</w:t>
      </w:r>
    </w:p>
    <w:p w14:paraId="053B2FC5" w14:textId="77777777" w:rsidR="006358C4" w:rsidRPr="006358C4" w:rsidRDefault="006358C4" w:rsidP="006358C4">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et la certification des établissements/prestataires de formation ;</w:t>
      </w:r>
    </w:p>
    <w:p w14:paraId="4AA4527C"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mise au point d’une certification officielle et de processus d’assurance qualité efficaces pour les activités de coopération des observateurs sous-régionaux s’agissant de :</w:t>
      </w:r>
    </w:p>
    <w:p w14:paraId="1CFD488C"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observateurs,</w:t>
      </w:r>
    </w:p>
    <w:p w14:paraId="3BD4F31C"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responsables des comptes-rendus de fin de mission,</w:t>
      </w:r>
    </w:p>
    <w:p w14:paraId="737F4140"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formateurs,</w:t>
      </w:r>
    </w:p>
    <w:p w14:paraId="73F72A69"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coordinateurs/responsables des observateurs,</w:t>
      </w:r>
    </w:p>
    <w:p w14:paraId="6C22E937"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établissements/prestataires de formation ;</w:t>
      </w:r>
    </w:p>
    <w:p w14:paraId="1259D28D"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 (ou des lignes directrices pour l’élaboration) du Code de conduite relatif au comportement des observateurs ;</w:t>
      </w:r>
    </w:p>
    <w:p w14:paraId="1AEF3089"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lastRenderedPageBreak/>
        <w:t>le</w:t>
      </w:r>
      <w:proofErr w:type="gramEnd"/>
      <w:r w:rsidRPr="006358C4">
        <w:rPr>
          <w:rFonts w:ascii="Verdana" w:hAnsi="Verdana"/>
          <w:iCs/>
          <w:color w:val="000000" w:themeColor="text1"/>
          <w:kern w:val="0"/>
          <w:sz w:val="21"/>
          <w:szCs w:val="21"/>
          <w:lang w:val="fr-FR" w:bidi="fr-FR"/>
          <w14:ligatures w14:val="none"/>
        </w:rPr>
        <w:t xml:space="preserve"> partage, la transmission et l’accès aux données conformément aux paramètres de confidentialité convenus ;</w:t>
      </w:r>
    </w:p>
    <w:p w14:paraId="6525ABEB"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coordination avec d’autres programmes/mécanismes régionaux, sous-régionaux et nationaux d’observateurs ;</w:t>
      </w:r>
    </w:p>
    <w:p w14:paraId="71414064"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 de normes minimales pour les fournitures et l’équipement des observateurs ;</w:t>
      </w:r>
    </w:p>
    <w:p w14:paraId="6F503D5A"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 de normes minimales en matière de placement, de santé et de sécurité, y compris la capacité à communiquer de manière indépendante avec les entités appropriées ;</w:t>
      </w:r>
    </w:p>
    <w:p w14:paraId="744E9DCD"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/la révision des manuels de l’observateur, du matériel de formation, des autres supports et des guides d’identification des espèces ;</w:t>
      </w:r>
    </w:p>
    <w:p w14:paraId="0708C846"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conditions des observateurs déployés à bord de navires opérant dans la zone de coopération du sud-ouest de l’océan Indien, notamment l’hébergement, la sécurité, et l’accès aux installations et équipements pertinents et leur utilisation ;</w:t>
      </w:r>
    </w:p>
    <w:p w14:paraId="76F7D036"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questions administratives pertinentes, notamment :</w:t>
      </w:r>
    </w:p>
    <w:p w14:paraId="1BFB9CF5" w14:textId="2B194107" w:rsidR="006358C4" w:rsidRPr="006358C4" w:rsidRDefault="006358C4" w:rsidP="006358C4">
      <w:pPr>
        <w:numPr>
          <w:ilvl w:val="0"/>
          <w:numId w:val="17"/>
        </w:numPr>
        <w:spacing w:after="120" w:line="276" w:lineRule="auto"/>
        <w:ind w:left="1701" w:hanging="283"/>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fourniture d’un rapport sur le plan d’action et les résultats du groupe de travail à</w:t>
      </w:r>
      <w:r w:rsidR="00E8637D">
        <w:rPr>
          <w:rFonts w:ascii="Verdana" w:hAnsi="Verdana"/>
          <w:iCs/>
          <w:color w:val="000000" w:themeColor="text1"/>
          <w:kern w:val="0"/>
          <w:sz w:val="21"/>
          <w:szCs w:val="21"/>
          <w:lang w:val="fr-FR" w:bidi="fr-FR"/>
          <w14:ligatures w14:val="none"/>
        </w:rPr>
        <w:t xml:space="preserve"> COMITE de pilotage</w:t>
      </w:r>
      <w:r w:rsidR="00E8637D" w:rsidRPr="006358C4">
        <w:rPr>
          <w:rFonts w:ascii="Verdana" w:hAnsi="Verdana"/>
          <w:iCs/>
          <w:color w:val="000000" w:themeColor="text1"/>
          <w:kern w:val="0"/>
          <w:sz w:val="21"/>
          <w:szCs w:val="21"/>
          <w:lang w:val="fr-FR" w:bidi="fr-FR"/>
          <w14:ligatures w14:val="none"/>
        </w:rPr>
        <w:t xml:space="preserve"> </w:t>
      </w:r>
      <w:r w:rsidRPr="006358C4">
        <w:rPr>
          <w:rFonts w:ascii="Verdana" w:hAnsi="Verdana"/>
          <w:iCs/>
          <w:color w:val="000000" w:themeColor="text1"/>
          <w:kern w:val="0"/>
          <w:sz w:val="21"/>
          <w:szCs w:val="21"/>
          <w:lang w:val="fr-FR" w:bidi="fr-FR"/>
          <w14:ligatures w14:val="none"/>
        </w:rPr>
        <w:t>pour approbation ;</w:t>
      </w:r>
    </w:p>
    <w:p w14:paraId="1EC127DE" w14:textId="77777777" w:rsidR="006358C4" w:rsidRPr="006358C4" w:rsidRDefault="006358C4" w:rsidP="006358C4">
      <w:pPr>
        <w:numPr>
          <w:ilvl w:val="0"/>
          <w:numId w:val="17"/>
        </w:numPr>
        <w:spacing w:after="120" w:line="276" w:lineRule="auto"/>
        <w:ind w:left="1701" w:hanging="283"/>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pré-validation ou l’examen en comité de tout travail d’assistance technique dont les résultats ont une incidence sur les travaux du groupe de travail ;</w:t>
      </w:r>
    </w:p>
    <w:p w14:paraId="73232059" w14:textId="16779CE1" w:rsidR="006358C4" w:rsidRPr="006358C4" w:rsidRDefault="006358C4" w:rsidP="006358C4">
      <w:pPr>
        <w:numPr>
          <w:ilvl w:val="0"/>
          <w:numId w:val="17"/>
        </w:numPr>
        <w:spacing w:after="120" w:line="276" w:lineRule="auto"/>
        <w:ind w:left="1701" w:hanging="283"/>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une</w:t>
      </w:r>
      <w:proofErr w:type="gramEnd"/>
      <w:r w:rsidRPr="006358C4">
        <w:rPr>
          <w:rFonts w:ascii="Verdana" w:hAnsi="Verdana"/>
          <w:iCs/>
          <w:color w:val="000000" w:themeColor="text1"/>
          <w:kern w:val="0"/>
          <w:sz w:val="21"/>
          <w:szCs w:val="21"/>
          <w:lang w:val="fr-FR" w:bidi="fr-FR"/>
          <w14:ligatures w14:val="none"/>
        </w:rPr>
        <w:t xml:space="preserve"> participation active à la procédure de sélection PAR MISE EN CONCURRENCE d’un coordinateur régional des observateurs qui sera nommé par </w:t>
      </w:r>
      <w:r w:rsidR="00E8637D">
        <w:rPr>
          <w:rFonts w:ascii="Verdana" w:hAnsi="Verdana"/>
          <w:iCs/>
          <w:color w:val="000000" w:themeColor="text1"/>
          <w:kern w:val="0"/>
          <w:sz w:val="21"/>
          <w:szCs w:val="21"/>
          <w:lang w:val="fr-FR" w:bidi="fr-FR"/>
          <w14:ligatures w14:val="none"/>
        </w:rPr>
        <w:t>Comité de pilotage</w:t>
      </w:r>
      <w:r w:rsidRPr="006358C4">
        <w:rPr>
          <w:rFonts w:ascii="Verdana" w:hAnsi="Verdana"/>
          <w:iCs/>
          <w:color w:val="000000" w:themeColor="text1"/>
          <w:kern w:val="0"/>
          <w:sz w:val="21"/>
          <w:szCs w:val="21"/>
          <w:lang w:val="fr-FR" w:bidi="fr-FR"/>
          <w14:ligatures w14:val="none"/>
        </w:rPr>
        <w:t>, notamment :</w:t>
      </w:r>
    </w:p>
    <w:p w14:paraId="259CF915" w14:textId="77777777" w:rsidR="006358C4" w:rsidRPr="006358C4" w:rsidRDefault="006358C4" w:rsidP="006358C4">
      <w:pPr>
        <w:numPr>
          <w:ilvl w:val="1"/>
          <w:numId w:val="18"/>
        </w:numPr>
        <w:tabs>
          <w:tab w:val="left" w:pos="2268"/>
        </w:tabs>
        <w:spacing w:after="120" w:line="276" w:lineRule="auto"/>
        <w:ind w:left="2127" w:hanging="426"/>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rédaction du mandat aux fins de la sélection du coordinateur régional des observateurs, </w:t>
      </w:r>
    </w:p>
    <w:p w14:paraId="120C731F" w14:textId="77777777" w:rsidR="006358C4" w:rsidRPr="006358C4" w:rsidRDefault="006358C4" w:rsidP="006358C4">
      <w:pPr>
        <w:numPr>
          <w:ilvl w:val="1"/>
          <w:numId w:val="18"/>
        </w:numPr>
        <w:tabs>
          <w:tab w:val="left" w:pos="2268"/>
        </w:tabs>
        <w:spacing w:after="120" w:line="276" w:lineRule="auto"/>
        <w:ind w:left="2127" w:hanging="426"/>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l’évaluation</w:t>
      </w:r>
      <w:proofErr w:type="gramEnd"/>
      <w:r w:rsidRPr="006358C4">
        <w:rPr>
          <w:rFonts w:ascii="Verdana" w:hAnsi="Verdana"/>
          <w:iCs/>
          <w:color w:val="000000" w:themeColor="text1"/>
          <w:kern w:val="0"/>
          <w:sz w:val="21"/>
          <w:szCs w:val="21"/>
          <w:lang w:val="fr-FR" w:bidi="fr-FR"/>
          <w14:ligatures w14:val="none"/>
        </w:rPr>
        <w:t xml:space="preserve"> et la pré-sélection des candidats sur la base de leurs propositions techniques ;</w:t>
      </w:r>
    </w:p>
    <w:p w14:paraId="02A93399"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structure du rapport annuel sur la mise en œuvre des activités des observateurs nationaux et des observateurs sous-régionaux en coopération qui doit être présenté par 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et par le coordinateur régional des observateurs ;</w:t>
      </w:r>
    </w:p>
    <w:p w14:paraId="302D2510"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paramètres précis de confidentialité des informations et des données ;</w:t>
      </w:r>
    </w:p>
    <w:p w14:paraId="4EF39E4C"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coordination des déploiements d’observateurs au niveau sous-régional ;</w:t>
      </w:r>
    </w:p>
    <w:p w14:paraId="730C9F06"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 d’un programme sous-régional d’observateurs ;</w:t>
      </w:r>
    </w:p>
    <w:p w14:paraId="463DAC14"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modification, le cas échéant, des points susmentionnés et l’établissement de questions prioritaires à inclure dans ce mandat ; </w:t>
      </w:r>
    </w:p>
    <w:p w14:paraId="46FF61B1"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recherche d’un financement à long terme pour, entre autres, soutenir les réunions et les activités connexes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dans le sud-ouest de l’océan Indien, recruter un coordinateur régional des observateurs, soutenir les </w:t>
      </w:r>
      <w:r w:rsidRPr="006358C4">
        <w:rPr>
          <w:rFonts w:ascii="Verdana" w:hAnsi="Verdana"/>
          <w:iCs/>
          <w:color w:val="000000" w:themeColor="text1"/>
          <w:kern w:val="0"/>
          <w:sz w:val="21"/>
          <w:szCs w:val="21"/>
          <w:lang w:val="fr-FR" w:bidi="fr-FR"/>
          <w14:ligatures w14:val="none"/>
        </w:rPr>
        <w:lastRenderedPageBreak/>
        <w:t xml:space="preserve">États côtiers dans l’élaboration et la normalisation de leurs programmes nationaux d’observateurs, et mettre en œuvre des activités de coopération des observateurs régionaux ; </w:t>
      </w:r>
    </w:p>
    <w:p w14:paraId="4E53A8C1"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mise en œuvre de toute activité accessoire à l’une des activités susmentionnées.</w:t>
      </w:r>
    </w:p>
    <w:p w14:paraId="7A7DCBB4" w14:textId="77777777" w:rsidR="006358C4" w:rsidRPr="006358C4" w:rsidRDefault="006358C4" w:rsidP="006358C4">
      <w:pPr>
        <w:spacing w:after="0" w:line="240" w:lineRule="auto"/>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br w:type="page"/>
      </w:r>
    </w:p>
    <w:p w14:paraId="46FC9F31" w14:textId="2DC263D3" w:rsidR="006358C4" w:rsidRPr="006358C4" w:rsidRDefault="006358C4" w:rsidP="006358C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2" w:name="_Toc138165792"/>
      <w:r w:rsidRPr="006358C4">
        <w:rPr>
          <w:rFonts w:ascii="Verdana" w:eastAsia="Times New Roman" w:hAnsi="Verdana" w:cs="Calibri Light"/>
          <w:b/>
          <w:bCs/>
          <w:iCs/>
          <w:color w:val="004171"/>
          <w:kern w:val="0"/>
          <w:sz w:val="40"/>
          <w:szCs w:val="40"/>
          <w:lang w:val="fr-FR" w:bidi="fr-FR"/>
          <w14:ligatures w14:val="none"/>
        </w:rPr>
        <w:lastRenderedPageBreak/>
        <w:t>ANNEXE </w:t>
      </w:r>
      <w:r>
        <w:rPr>
          <w:rFonts w:ascii="Verdana" w:eastAsia="Times New Roman" w:hAnsi="Verdana" w:cs="Calibri Light"/>
          <w:b/>
          <w:bCs/>
          <w:iCs/>
          <w:color w:val="004171"/>
          <w:kern w:val="0"/>
          <w:sz w:val="40"/>
          <w:szCs w:val="40"/>
          <w:lang w:val="fr-FR" w:bidi="fr-FR"/>
          <w14:ligatures w14:val="none"/>
        </w:rPr>
        <w:t>1</w:t>
      </w:r>
      <w:r w:rsidRPr="006358C4">
        <w:rPr>
          <w:rFonts w:ascii="Verdana" w:eastAsia="Times New Roman" w:hAnsi="Verdana" w:cs="Calibri Light"/>
          <w:b/>
          <w:bCs/>
          <w:iCs/>
          <w:color w:val="004171"/>
          <w:kern w:val="0"/>
          <w:sz w:val="40"/>
          <w:szCs w:val="40"/>
          <w:lang w:val="fr-FR" w:bidi="fr-FR"/>
          <w14:ligatures w14:val="none"/>
        </w:rPr>
        <w:t xml:space="preserve"> – Liste des autorités compétentes en matière de suivi, de contrôle et de surveillance des pêches</w:t>
      </w:r>
      <w:bookmarkEnd w:id="2"/>
    </w:p>
    <w:p w14:paraId="6473FCBB" w14:textId="77777777" w:rsidR="006358C4" w:rsidRPr="006358C4" w:rsidRDefault="006358C4" w:rsidP="006358C4">
      <w:pPr>
        <w:spacing w:after="120" w:line="276" w:lineRule="auto"/>
        <w:ind w:left="720"/>
        <w:jc w:val="both"/>
        <w:rPr>
          <w:rFonts w:ascii="Verdana" w:hAnsi="Verdana"/>
          <w:iCs/>
          <w:color w:val="000000" w:themeColor="text1"/>
          <w:kern w:val="0"/>
          <w:sz w:val="21"/>
          <w:szCs w:val="21"/>
          <w:lang w:val="fr-FR"/>
          <w14:ligatures w14:val="none"/>
        </w:rPr>
      </w:pPr>
    </w:p>
    <w:tbl>
      <w:tblPr>
        <w:tblStyle w:val="TableGrid3"/>
        <w:tblW w:w="10206" w:type="dxa"/>
        <w:jc w:val="center"/>
        <w:tblLook w:val="04A0" w:firstRow="1" w:lastRow="0" w:firstColumn="1" w:lastColumn="0" w:noHBand="0" w:noVBand="1"/>
      </w:tblPr>
      <w:tblGrid>
        <w:gridCol w:w="3823"/>
        <w:gridCol w:w="6383"/>
      </w:tblGrid>
      <w:tr w:rsidR="006358C4" w:rsidRPr="000F3646" w14:paraId="1AEEF8B4" w14:textId="77777777" w:rsidTr="00711F7B">
        <w:trPr>
          <w:trHeight w:val="457"/>
          <w:jc w:val="center"/>
        </w:trPr>
        <w:tc>
          <w:tcPr>
            <w:tcW w:w="3823" w:type="dxa"/>
            <w:shd w:val="clear" w:color="auto" w:fill="D9D9D9"/>
            <w:vAlign w:val="center"/>
          </w:tcPr>
          <w:p w14:paraId="50B37B48" w14:textId="77777777" w:rsidR="006358C4" w:rsidRPr="006358C4" w:rsidRDefault="006358C4" w:rsidP="006358C4">
            <w:pPr>
              <w:tabs>
                <w:tab w:val="left" w:pos="-284"/>
              </w:tabs>
              <w:suppressAutoHyphens/>
              <w:autoSpaceDE w:val="0"/>
              <w:spacing w:line="276" w:lineRule="auto"/>
              <w:ind w:right="686"/>
              <w:jc w:val="center"/>
              <w:rPr>
                <w:rFonts w:ascii="Calibri" w:hAnsi="Calibri" w:cs="Calibri"/>
                <w:b/>
                <w:iCs/>
                <w:color w:val="000000" w:themeColor="text1"/>
                <w:lang w:eastAsia="ar-SA"/>
              </w:rPr>
            </w:pPr>
            <w:bookmarkStart w:id="3" w:name="_Hlk99629196"/>
            <w:r w:rsidRPr="006358C4">
              <w:rPr>
                <w:rFonts w:ascii="Calibri" w:eastAsia="Calibri" w:hAnsi="Calibri" w:cs="Calibri"/>
                <w:b/>
                <w:iCs/>
                <w:color w:val="000000" w:themeColor="text1"/>
                <w:lang w:val="fr-FR" w:bidi="fr-FR"/>
              </w:rPr>
              <w:t>ÉTAT PARTICIPANT</w:t>
            </w:r>
          </w:p>
        </w:tc>
        <w:tc>
          <w:tcPr>
            <w:tcW w:w="6383" w:type="dxa"/>
            <w:shd w:val="clear" w:color="auto" w:fill="D9D9D9"/>
            <w:vAlign w:val="center"/>
          </w:tcPr>
          <w:p w14:paraId="108D61D6" w14:textId="77777777" w:rsidR="006358C4" w:rsidRPr="006358C4" w:rsidRDefault="006358C4" w:rsidP="006358C4">
            <w:pPr>
              <w:tabs>
                <w:tab w:val="left" w:pos="-284"/>
              </w:tabs>
              <w:suppressAutoHyphens/>
              <w:autoSpaceDE w:val="0"/>
              <w:spacing w:line="276" w:lineRule="auto"/>
              <w:ind w:right="686"/>
              <w:jc w:val="center"/>
              <w:rPr>
                <w:rFonts w:ascii="Calibri" w:hAnsi="Calibri" w:cs="Calibri"/>
                <w:b/>
                <w:iCs/>
                <w:color w:val="000000" w:themeColor="text1"/>
                <w:lang w:val="fr-FR" w:eastAsia="ar-SA"/>
              </w:rPr>
            </w:pPr>
            <w:r w:rsidRPr="006358C4">
              <w:rPr>
                <w:rFonts w:ascii="Calibri" w:eastAsia="Calibri" w:hAnsi="Calibri" w:cs="Calibri"/>
                <w:b/>
                <w:iCs/>
                <w:color w:val="000000" w:themeColor="text1"/>
                <w:lang w:val="fr-FR" w:bidi="fr-FR"/>
              </w:rPr>
              <w:t xml:space="preserve">AUTORITÉ COMPÉTENTE EN MATIÉRE DE SUIVI, </w:t>
            </w:r>
            <w:r w:rsidRPr="006358C4">
              <w:rPr>
                <w:rFonts w:ascii="Calibri" w:eastAsia="Calibri" w:hAnsi="Calibri" w:cs="Calibri"/>
                <w:b/>
                <w:iCs/>
                <w:color w:val="000000" w:themeColor="text1"/>
                <w:lang w:val="fr-FR" w:bidi="fr-FR"/>
              </w:rPr>
              <w:br/>
              <w:t>DE CONTRÔLE ET DE SURVEILLANCE</w:t>
            </w:r>
          </w:p>
        </w:tc>
      </w:tr>
      <w:tr w:rsidR="006358C4" w:rsidRPr="000F3646" w14:paraId="208ECEA2" w14:textId="77777777" w:rsidTr="00711F7B">
        <w:trPr>
          <w:jc w:val="center"/>
        </w:trPr>
        <w:tc>
          <w:tcPr>
            <w:tcW w:w="3823" w:type="dxa"/>
          </w:tcPr>
          <w:p w14:paraId="5CC7E07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Comores</w:t>
            </w:r>
          </w:p>
        </w:tc>
        <w:tc>
          <w:tcPr>
            <w:tcW w:w="6383" w:type="dxa"/>
          </w:tcPr>
          <w:p w14:paraId="7AFA1AB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Centre national de contrôle et de surveillance des pêches (CNCSP)</w:t>
            </w:r>
          </w:p>
          <w:p w14:paraId="67E03CF1"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p>
        </w:tc>
      </w:tr>
      <w:tr w:rsidR="006358C4" w:rsidRPr="000F3646" w14:paraId="063D40B1" w14:textId="77777777" w:rsidTr="00711F7B">
        <w:trPr>
          <w:jc w:val="center"/>
        </w:trPr>
        <w:tc>
          <w:tcPr>
            <w:tcW w:w="3823" w:type="dxa"/>
          </w:tcPr>
          <w:p w14:paraId="2199D19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France/Réunion</w:t>
            </w:r>
          </w:p>
        </w:tc>
        <w:tc>
          <w:tcPr>
            <w:tcW w:w="6383" w:type="dxa"/>
          </w:tcPr>
          <w:p w14:paraId="250AD5F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Centre national de surveillance des pêches (CNSP)</w:t>
            </w:r>
          </w:p>
          <w:p w14:paraId="2BC02AF8"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highlight w:val="green"/>
                <w:lang w:val="fr-FR" w:eastAsia="ar-SA"/>
              </w:rPr>
            </w:pPr>
          </w:p>
        </w:tc>
      </w:tr>
      <w:tr w:rsidR="006358C4" w:rsidRPr="000F3646" w14:paraId="2CE58BDD" w14:textId="77777777" w:rsidTr="00711F7B">
        <w:trPr>
          <w:jc w:val="center"/>
        </w:trPr>
        <w:tc>
          <w:tcPr>
            <w:tcW w:w="3823" w:type="dxa"/>
          </w:tcPr>
          <w:p w14:paraId="76E77C8C"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Kenya</w:t>
            </w:r>
          </w:p>
        </w:tc>
        <w:tc>
          <w:tcPr>
            <w:tcW w:w="6383" w:type="dxa"/>
          </w:tcPr>
          <w:p w14:paraId="29A1F42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Service des pêches du Kenya (</w:t>
            </w:r>
            <w:proofErr w:type="spellStart"/>
            <w:r w:rsidRPr="006358C4">
              <w:rPr>
                <w:rFonts w:ascii="Verdana" w:hAnsi="Verdana" w:cs="Calibri"/>
                <w:iCs/>
                <w:color w:val="000000" w:themeColor="text1"/>
                <w:sz w:val="21"/>
                <w:szCs w:val="21"/>
                <w:lang w:val="fr-FR" w:bidi="fr-FR"/>
              </w:rPr>
              <w:t>KeFS</w:t>
            </w:r>
            <w:proofErr w:type="spellEnd"/>
            <w:r w:rsidRPr="006358C4">
              <w:rPr>
                <w:rFonts w:ascii="Verdana" w:hAnsi="Verdana" w:cs="Calibri"/>
                <w:iCs/>
                <w:color w:val="000000" w:themeColor="text1"/>
                <w:sz w:val="21"/>
                <w:szCs w:val="21"/>
                <w:lang w:val="fr-FR" w:bidi="fr-FR"/>
              </w:rPr>
              <w:t>)</w:t>
            </w:r>
          </w:p>
          <w:p w14:paraId="45216326"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p>
        </w:tc>
      </w:tr>
      <w:tr w:rsidR="006358C4" w:rsidRPr="000F3646" w14:paraId="740F393F" w14:textId="77777777" w:rsidTr="00711F7B">
        <w:trPr>
          <w:jc w:val="center"/>
        </w:trPr>
        <w:tc>
          <w:tcPr>
            <w:tcW w:w="3823" w:type="dxa"/>
          </w:tcPr>
          <w:p w14:paraId="7D3355B4"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Madagascar</w:t>
            </w:r>
          </w:p>
        </w:tc>
        <w:tc>
          <w:tcPr>
            <w:tcW w:w="6383" w:type="dxa"/>
          </w:tcPr>
          <w:p w14:paraId="356BD1F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Centre de surveillance des pêches (CSP)</w:t>
            </w:r>
          </w:p>
          <w:p w14:paraId="046339C4"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p>
          <w:p w14:paraId="6DABD4C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p>
        </w:tc>
      </w:tr>
      <w:tr w:rsidR="006358C4" w:rsidRPr="000F3646" w14:paraId="59E5D916" w14:textId="77777777" w:rsidTr="00711F7B">
        <w:trPr>
          <w:jc w:val="center"/>
        </w:trPr>
        <w:tc>
          <w:tcPr>
            <w:tcW w:w="3823" w:type="dxa"/>
          </w:tcPr>
          <w:p w14:paraId="07142D7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Maurice</w:t>
            </w:r>
          </w:p>
        </w:tc>
        <w:tc>
          <w:tcPr>
            <w:tcW w:w="6383" w:type="dxa"/>
          </w:tcPr>
          <w:p w14:paraId="2C1FC56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Ministère de l’économie bleue, des ressources marines, des pêches et de la navigation maritime</w:t>
            </w:r>
          </w:p>
        </w:tc>
      </w:tr>
      <w:tr w:rsidR="006358C4" w:rsidRPr="000F3646" w14:paraId="40084289" w14:textId="77777777" w:rsidTr="00711F7B">
        <w:trPr>
          <w:jc w:val="center"/>
        </w:trPr>
        <w:tc>
          <w:tcPr>
            <w:tcW w:w="3823" w:type="dxa"/>
          </w:tcPr>
          <w:p w14:paraId="61C60FCF"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MOZAMBIQUE</w:t>
            </w:r>
          </w:p>
        </w:tc>
        <w:tc>
          <w:tcPr>
            <w:tcW w:w="6383" w:type="dxa"/>
          </w:tcPr>
          <w:p w14:paraId="06596AD8"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 xml:space="preserve">Ministère de la mer, des eaux intérieures et des pêches </w:t>
            </w:r>
          </w:p>
          <w:p w14:paraId="2F64908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Direction nationale des opérations (DNOP)</w:t>
            </w:r>
          </w:p>
        </w:tc>
      </w:tr>
      <w:tr w:rsidR="006358C4" w:rsidRPr="000F3646" w14:paraId="3F50C24B" w14:textId="77777777" w:rsidTr="00711F7B">
        <w:trPr>
          <w:jc w:val="center"/>
        </w:trPr>
        <w:tc>
          <w:tcPr>
            <w:tcW w:w="3823" w:type="dxa"/>
          </w:tcPr>
          <w:p w14:paraId="17ED58E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Seychelles</w:t>
            </w:r>
          </w:p>
        </w:tc>
        <w:tc>
          <w:tcPr>
            <w:tcW w:w="6383" w:type="dxa"/>
          </w:tcPr>
          <w:p w14:paraId="0778C601"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Autorité de pêche des Seychelles (SFA)</w:t>
            </w:r>
          </w:p>
        </w:tc>
      </w:tr>
      <w:tr w:rsidR="006358C4" w:rsidRPr="000F3646" w14:paraId="0506EBCC" w14:textId="77777777" w:rsidTr="00711F7B">
        <w:trPr>
          <w:jc w:val="center"/>
        </w:trPr>
        <w:tc>
          <w:tcPr>
            <w:tcW w:w="3823" w:type="dxa"/>
          </w:tcPr>
          <w:p w14:paraId="183A9E5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Somalie</w:t>
            </w:r>
          </w:p>
        </w:tc>
        <w:tc>
          <w:tcPr>
            <w:tcW w:w="6383" w:type="dxa"/>
          </w:tcPr>
          <w:p w14:paraId="1BD993C7"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Ministère de la pêche et de l’économie bleue (MFBE)</w:t>
            </w:r>
          </w:p>
        </w:tc>
      </w:tr>
      <w:tr w:rsidR="006358C4" w:rsidRPr="000F3646" w14:paraId="0FC8B0D1" w14:textId="77777777" w:rsidTr="00711F7B">
        <w:trPr>
          <w:jc w:val="center"/>
        </w:trPr>
        <w:tc>
          <w:tcPr>
            <w:tcW w:w="3823" w:type="dxa"/>
          </w:tcPr>
          <w:p w14:paraId="7590B4EB"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pacing w:val="-6"/>
                <w:sz w:val="21"/>
                <w:szCs w:val="21"/>
                <w:lang w:eastAsia="ar-SA"/>
              </w:rPr>
            </w:pPr>
            <w:r w:rsidRPr="006358C4">
              <w:rPr>
                <w:rFonts w:ascii="Verdana" w:hAnsi="Verdana" w:cs="Calibri"/>
                <w:iCs/>
                <w:color w:val="000000" w:themeColor="text1"/>
                <w:spacing w:val="-6"/>
                <w:sz w:val="21"/>
                <w:szCs w:val="21"/>
                <w:lang w:val="fr-FR" w:bidi="fr-FR"/>
              </w:rPr>
              <w:t>République-Unie de Tanzanie</w:t>
            </w:r>
          </w:p>
        </w:tc>
        <w:tc>
          <w:tcPr>
            <w:tcW w:w="6383" w:type="dxa"/>
          </w:tcPr>
          <w:p w14:paraId="4B7983F8"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Autorité de la pêche en eaux profondes (DSFA)</w:t>
            </w:r>
          </w:p>
        </w:tc>
      </w:tr>
      <w:bookmarkEnd w:id="3"/>
    </w:tbl>
    <w:p w14:paraId="2133EEBC" w14:textId="77777777" w:rsidR="006358C4" w:rsidRPr="006358C4" w:rsidRDefault="006358C4" w:rsidP="006358C4">
      <w:pPr>
        <w:spacing w:after="120" w:line="276" w:lineRule="auto"/>
        <w:ind w:left="720"/>
        <w:jc w:val="both"/>
        <w:rPr>
          <w:rFonts w:ascii="Verdana" w:hAnsi="Verdana"/>
          <w:iCs/>
          <w:color w:val="000000" w:themeColor="text1"/>
          <w:kern w:val="0"/>
          <w:sz w:val="21"/>
          <w:szCs w:val="21"/>
          <w:lang w:val="fr-FR"/>
          <w14:ligatures w14:val="none"/>
        </w:rPr>
      </w:pPr>
    </w:p>
    <w:p w14:paraId="605A6D99" w14:textId="77777777" w:rsidR="006358C4" w:rsidRPr="006358C4" w:rsidRDefault="006358C4" w:rsidP="006358C4">
      <w:pPr>
        <w:spacing w:after="0" w:line="240" w:lineRule="auto"/>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br w:type="page"/>
      </w:r>
    </w:p>
    <w:p w14:paraId="082B757B" w14:textId="5D057D89" w:rsidR="006358C4" w:rsidRPr="006358C4" w:rsidRDefault="006358C4" w:rsidP="006358C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4" w:name="_Toc138165793"/>
      <w:r w:rsidRPr="006358C4">
        <w:rPr>
          <w:rFonts w:ascii="Verdana" w:eastAsia="Times New Roman" w:hAnsi="Verdana" w:cs="Calibri Light"/>
          <w:b/>
          <w:bCs/>
          <w:iCs/>
          <w:color w:val="004171"/>
          <w:kern w:val="0"/>
          <w:sz w:val="40"/>
          <w:szCs w:val="40"/>
          <w:lang w:val="fr-FR" w:bidi="fr-FR"/>
          <w14:ligatures w14:val="none"/>
        </w:rPr>
        <w:lastRenderedPageBreak/>
        <w:t>ANNEXE </w:t>
      </w:r>
      <w:r>
        <w:rPr>
          <w:rFonts w:ascii="Verdana" w:eastAsia="Times New Roman" w:hAnsi="Verdana" w:cs="Calibri Light"/>
          <w:b/>
          <w:bCs/>
          <w:iCs/>
          <w:color w:val="004171"/>
          <w:kern w:val="0"/>
          <w:sz w:val="40"/>
          <w:szCs w:val="40"/>
          <w:lang w:val="fr-FR" w:bidi="fr-FR"/>
          <w14:ligatures w14:val="none"/>
        </w:rPr>
        <w:t>2</w:t>
      </w:r>
      <w:r w:rsidRPr="006358C4">
        <w:rPr>
          <w:rFonts w:ascii="Verdana" w:eastAsia="Times New Roman" w:hAnsi="Verdana" w:cs="Calibri Light"/>
          <w:b/>
          <w:bCs/>
          <w:iCs/>
          <w:color w:val="004171"/>
          <w:kern w:val="0"/>
          <w:sz w:val="40"/>
          <w:szCs w:val="40"/>
          <w:lang w:val="fr-FR" w:bidi="fr-FR"/>
          <w14:ligatures w14:val="none"/>
        </w:rPr>
        <w:t xml:space="preserve"> – Liste des autorités compétentes en charge du programme d’observateurs des pêches</w:t>
      </w:r>
      <w:bookmarkEnd w:id="4"/>
      <w:r w:rsidRPr="006358C4">
        <w:rPr>
          <w:rFonts w:ascii="Verdana" w:eastAsia="Times New Roman" w:hAnsi="Verdana" w:cs="Calibri Light"/>
          <w:b/>
          <w:bCs/>
          <w:iCs/>
          <w:color w:val="004171"/>
          <w:kern w:val="0"/>
          <w:sz w:val="40"/>
          <w:szCs w:val="40"/>
          <w:lang w:val="fr-FR" w:bidi="fr-FR"/>
          <w14:ligatures w14:val="none"/>
        </w:rPr>
        <w:t xml:space="preserve"> </w:t>
      </w:r>
    </w:p>
    <w:p w14:paraId="06469C92"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p>
    <w:tbl>
      <w:tblPr>
        <w:tblStyle w:val="TableGrid3"/>
        <w:tblW w:w="10206" w:type="dxa"/>
        <w:jc w:val="center"/>
        <w:tblLook w:val="04A0" w:firstRow="1" w:lastRow="0" w:firstColumn="1" w:lastColumn="0" w:noHBand="0" w:noVBand="1"/>
      </w:tblPr>
      <w:tblGrid>
        <w:gridCol w:w="3823"/>
        <w:gridCol w:w="6383"/>
      </w:tblGrid>
      <w:tr w:rsidR="006358C4" w:rsidRPr="000F3646" w14:paraId="6995E18E" w14:textId="77777777" w:rsidTr="00711F7B">
        <w:trPr>
          <w:trHeight w:val="457"/>
          <w:jc w:val="center"/>
        </w:trPr>
        <w:tc>
          <w:tcPr>
            <w:tcW w:w="3823" w:type="dxa"/>
            <w:shd w:val="clear" w:color="auto" w:fill="D9D9D9"/>
            <w:vAlign w:val="center"/>
          </w:tcPr>
          <w:p w14:paraId="5DF138F2" w14:textId="77777777" w:rsidR="006358C4" w:rsidRPr="006358C4" w:rsidRDefault="006358C4" w:rsidP="006358C4">
            <w:pPr>
              <w:tabs>
                <w:tab w:val="left" w:pos="-284"/>
              </w:tabs>
              <w:suppressAutoHyphens/>
              <w:autoSpaceDE w:val="0"/>
              <w:spacing w:line="276" w:lineRule="auto"/>
              <w:ind w:right="686"/>
              <w:jc w:val="center"/>
              <w:rPr>
                <w:rFonts w:ascii="Calibri" w:hAnsi="Calibri" w:cs="Calibri"/>
                <w:b/>
                <w:iCs/>
                <w:color w:val="000000" w:themeColor="text1"/>
                <w:lang w:eastAsia="ar-SA"/>
              </w:rPr>
            </w:pPr>
            <w:r w:rsidRPr="006358C4">
              <w:rPr>
                <w:rFonts w:ascii="Calibri" w:eastAsia="Calibri" w:hAnsi="Calibri" w:cs="Calibri"/>
                <w:b/>
                <w:iCs/>
                <w:color w:val="000000" w:themeColor="text1"/>
                <w:lang w:val="fr-FR" w:bidi="fr-FR"/>
              </w:rPr>
              <w:t>ÉTAT PARTICIPANT</w:t>
            </w:r>
          </w:p>
        </w:tc>
        <w:tc>
          <w:tcPr>
            <w:tcW w:w="6383" w:type="dxa"/>
            <w:shd w:val="clear" w:color="auto" w:fill="D9D9D9"/>
            <w:vAlign w:val="center"/>
          </w:tcPr>
          <w:p w14:paraId="0A2286B1" w14:textId="77777777" w:rsidR="006358C4" w:rsidRPr="006358C4" w:rsidRDefault="006358C4" w:rsidP="006358C4">
            <w:pPr>
              <w:tabs>
                <w:tab w:val="left" w:pos="-284"/>
              </w:tabs>
              <w:suppressAutoHyphens/>
              <w:autoSpaceDE w:val="0"/>
              <w:spacing w:line="276" w:lineRule="auto"/>
              <w:ind w:right="686"/>
              <w:jc w:val="center"/>
              <w:rPr>
                <w:rFonts w:ascii="Calibri" w:hAnsi="Calibri" w:cs="Calibri"/>
                <w:b/>
                <w:iCs/>
                <w:color w:val="000000" w:themeColor="text1"/>
                <w:lang w:val="fr-FR" w:eastAsia="ar-SA"/>
              </w:rPr>
            </w:pPr>
            <w:r w:rsidRPr="006358C4">
              <w:rPr>
                <w:rFonts w:ascii="Calibri" w:eastAsia="Calibri" w:hAnsi="Calibri" w:cs="Calibri"/>
                <w:b/>
                <w:iCs/>
                <w:color w:val="000000" w:themeColor="text1"/>
                <w:lang w:val="fr-FR" w:bidi="fr-FR"/>
              </w:rPr>
              <w:t>AUTORITÉ COMPÉTENTE EN CHARGE DU PROGRAMME D’OBSERVATEURS DES PÊCHES</w:t>
            </w:r>
          </w:p>
        </w:tc>
      </w:tr>
      <w:tr w:rsidR="006358C4" w:rsidRPr="000F3646" w14:paraId="4E7539A8" w14:textId="77777777" w:rsidTr="00711F7B">
        <w:trPr>
          <w:jc w:val="center"/>
        </w:trPr>
        <w:tc>
          <w:tcPr>
            <w:tcW w:w="3823" w:type="dxa"/>
          </w:tcPr>
          <w:p w14:paraId="35FAF9B3"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Comores</w:t>
            </w:r>
          </w:p>
        </w:tc>
        <w:tc>
          <w:tcPr>
            <w:tcW w:w="6383" w:type="dxa"/>
          </w:tcPr>
          <w:p w14:paraId="784A1E31"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
                <w:iCs/>
                <w:color w:val="000000" w:themeColor="text1"/>
                <w:sz w:val="21"/>
                <w:szCs w:val="21"/>
                <w:lang w:val="fr-FR" w:bidi="fr-FR"/>
              </w:rPr>
              <w:t xml:space="preserve">[Remarque concernant la version anglaise] </w:t>
            </w:r>
            <w:r w:rsidRPr="006358C4">
              <w:rPr>
                <w:rFonts w:ascii="Verdana" w:hAnsi="Verdana" w:cs="Calibri"/>
                <w:iCs/>
                <w:color w:val="000000" w:themeColor="text1"/>
                <w:sz w:val="21"/>
                <w:szCs w:val="21"/>
                <w:lang w:val="fr-FR" w:bidi="fr-FR"/>
              </w:rPr>
              <w:t>Page de signature : ce n’est pas République des Comores mais Union des Comores</w:t>
            </w:r>
          </w:p>
        </w:tc>
      </w:tr>
      <w:tr w:rsidR="006358C4" w:rsidRPr="006358C4" w14:paraId="4CB777C0" w14:textId="77777777" w:rsidTr="00711F7B">
        <w:trPr>
          <w:jc w:val="center"/>
        </w:trPr>
        <w:tc>
          <w:tcPr>
            <w:tcW w:w="3823" w:type="dxa"/>
          </w:tcPr>
          <w:p w14:paraId="0231C59D"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France/Réunion</w:t>
            </w:r>
          </w:p>
        </w:tc>
        <w:tc>
          <w:tcPr>
            <w:tcW w:w="6383" w:type="dxa"/>
          </w:tcPr>
          <w:p w14:paraId="4A76DADF"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highlight w:val="green"/>
                <w:lang w:val="fr-FR" w:eastAsia="ar-SA"/>
              </w:rPr>
            </w:pPr>
          </w:p>
        </w:tc>
      </w:tr>
      <w:tr w:rsidR="006358C4" w:rsidRPr="000F3646" w14:paraId="0F3C535B" w14:textId="77777777" w:rsidTr="00711F7B">
        <w:trPr>
          <w:jc w:val="center"/>
        </w:trPr>
        <w:tc>
          <w:tcPr>
            <w:tcW w:w="3823" w:type="dxa"/>
          </w:tcPr>
          <w:p w14:paraId="3579F052"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Kenya</w:t>
            </w:r>
          </w:p>
        </w:tc>
        <w:tc>
          <w:tcPr>
            <w:tcW w:w="6383" w:type="dxa"/>
          </w:tcPr>
          <w:p w14:paraId="22053F06" w14:textId="77777777" w:rsidR="006358C4" w:rsidRPr="006358C4" w:rsidRDefault="006358C4" w:rsidP="006358C4">
            <w:pPr>
              <w:tabs>
                <w:tab w:val="left" w:pos="-284"/>
              </w:tabs>
              <w:suppressAutoHyphens/>
              <w:autoSpaceDE w:val="0"/>
              <w:spacing w:after="120" w:line="276" w:lineRule="auto"/>
              <w:ind w:right="686"/>
              <w:jc w:val="both"/>
              <w:rPr>
                <w:rFonts w:ascii="Verdana" w:hAnsi="Verdana" w:cs="Calibri"/>
                <w:bCs/>
                <w:iCs/>
                <w:color w:val="000000" w:themeColor="text1"/>
                <w:sz w:val="21"/>
                <w:szCs w:val="21"/>
                <w:lang w:val="fr-FR" w:eastAsia="ar-SA"/>
              </w:rPr>
            </w:pPr>
            <w:proofErr w:type="spellStart"/>
            <w:r w:rsidRPr="006358C4">
              <w:rPr>
                <w:rFonts w:ascii="Verdana" w:hAnsi="Verdana" w:cs="Calibri"/>
                <w:iCs/>
                <w:color w:val="000000" w:themeColor="text1"/>
                <w:sz w:val="21"/>
                <w:szCs w:val="21"/>
                <w:lang w:val="fr-FR" w:bidi="fr-FR"/>
              </w:rPr>
              <w:t>KeFS</w:t>
            </w:r>
            <w:proofErr w:type="spellEnd"/>
          </w:p>
          <w:p w14:paraId="3E4F9CB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Service des pêches du Kenya</w:t>
            </w:r>
          </w:p>
        </w:tc>
      </w:tr>
      <w:tr w:rsidR="006358C4" w:rsidRPr="000F3646" w14:paraId="3848BDC9" w14:textId="77777777" w:rsidTr="00711F7B">
        <w:trPr>
          <w:jc w:val="center"/>
        </w:trPr>
        <w:tc>
          <w:tcPr>
            <w:tcW w:w="3823" w:type="dxa"/>
          </w:tcPr>
          <w:p w14:paraId="18567DFD"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Madagascar</w:t>
            </w:r>
          </w:p>
        </w:tc>
        <w:tc>
          <w:tcPr>
            <w:tcW w:w="6383" w:type="dxa"/>
          </w:tcPr>
          <w:p w14:paraId="492C01A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Centre de surveillance des pêches</w:t>
            </w:r>
          </w:p>
        </w:tc>
      </w:tr>
      <w:tr w:rsidR="006358C4" w:rsidRPr="006358C4" w14:paraId="38225A47" w14:textId="77777777" w:rsidTr="00711F7B">
        <w:trPr>
          <w:jc w:val="center"/>
        </w:trPr>
        <w:tc>
          <w:tcPr>
            <w:tcW w:w="3823" w:type="dxa"/>
          </w:tcPr>
          <w:p w14:paraId="59A5987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Maurice</w:t>
            </w:r>
          </w:p>
        </w:tc>
        <w:tc>
          <w:tcPr>
            <w:tcW w:w="6383" w:type="dxa"/>
          </w:tcPr>
          <w:p w14:paraId="40D7F6C2"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Identique à l’annexe II</w:t>
            </w:r>
          </w:p>
        </w:tc>
      </w:tr>
      <w:tr w:rsidR="006358C4" w:rsidRPr="000F3646" w14:paraId="0429B260" w14:textId="77777777" w:rsidTr="00711F7B">
        <w:trPr>
          <w:jc w:val="center"/>
        </w:trPr>
        <w:tc>
          <w:tcPr>
            <w:tcW w:w="3823" w:type="dxa"/>
          </w:tcPr>
          <w:p w14:paraId="18EE1B8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MOZAMBIQUE</w:t>
            </w:r>
          </w:p>
        </w:tc>
        <w:tc>
          <w:tcPr>
            <w:tcW w:w="6383" w:type="dxa"/>
          </w:tcPr>
          <w:p w14:paraId="01A3CE3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Envoyé à E€OFISH, me transmettre l’information.</w:t>
            </w:r>
          </w:p>
        </w:tc>
      </w:tr>
      <w:tr w:rsidR="006358C4" w:rsidRPr="000F3646" w14:paraId="15A0093D" w14:textId="77777777" w:rsidTr="00711F7B">
        <w:trPr>
          <w:jc w:val="center"/>
        </w:trPr>
        <w:tc>
          <w:tcPr>
            <w:tcW w:w="3823" w:type="dxa"/>
          </w:tcPr>
          <w:p w14:paraId="4EACC36C"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Seychelles</w:t>
            </w:r>
          </w:p>
        </w:tc>
        <w:tc>
          <w:tcPr>
            <w:tcW w:w="6383" w:type="dxa"/>
          </w:tcPr>
          <w:p w14:paraId="54D1F49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Autorité de pêche des Seychelles (SFA)</w:t>
            </w:r>
          </w:p>
        </w:tc>
      </w:tr>
      <w:tr w:rsidR="006358C4" w:rsidRPr="006358C4" w14:paraId="1227C63C" w14:textId="77777777" w:rsidTr="00711F7B">
        <w:trPr>
          <w:jc w:val="center"/>
        </w:trPr>
        <w:tc>
          <w:tcPr>
            <w:tcW w:w="3823" w:type="dxa"/>
          </w:tcPr>
          <w:p w14:paraId="378F233B"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Somalie</w:t>
            </w:r>
          </w:p>
        </w:tc>
        <w:tc>
          <w:tcPr>
            <w:tcW w:w="6383" w:type="dxa"/>
          </w:tcPr>
          <w:p w14:paraId="09475F82"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p>
        </w:tc>
      </w:tr>
      <w:tr w:rsidR="006358C4" w:rsidRPr="000F3646" w14:paraId="22D22BAD" w14:textId="77777777" w:rsidTr="00711F7B">
        <w:trPr>
          <w:jc w:val="center"/>
        </w:trPr>
        <w:tc>
          <w:tcPr>
            <w:tcW w:w="3823" w:type="dxa"/>
          </w:tcPr>
          <w:p w14:paraId="1AECB4A1"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pacing w:val="-6"/>
                <w:sz w:val="21"/>
                <w:szCs w:val="21"/>
                <w:lang w:eastAsia="ar-SA"/>
              </w:rPr>
            </w:pPr>
            <w:r w:rsidRPr="006358C4">
              <w:rPr>
                <w:rFonts w:ascii="Verdana" w:hAnsi="Verdana" w:cs="Calibri"/>
                <w:iCs/>
                <w:color w:val="000000" w:themeColor="text1"/>
                <w:spacing w:val="-6"/>
                <w:sz w:val="21"/>
                <w:szCs w:val="21"/>
                <w:lang w:val="fr-FR" w:bidi="fr-FR"/>
              </w:rPr>
              <w:t>République-Unie de Tanzanie</w:t>
            </w:r>
          </w:p>
        </w:tc>
        <w:tc>
          <w:tcPr>
            <w:tcW w:w="6383" w:type="dxa"/>
          </w:tcPr>
          <w:p w14:paraId="05DA4D3F"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Autorité de la pêche en eaux profondes</w:t>
            </w:r>
          </w:p>
        </w:tc>
      </w:tr>
    </w:tbl>
    <w:p w14:paraId="73E251C1"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p>
    <w:p w14:paraId="4C674502"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 </w:t>
      </w:r>
    </w:p>
    <w:p w14:paraId="30CF4D25" w14:textId="77777777" w:rsidR="006358C4" w:rsidRPr="006358C4" w:rsidRDefault="006358C4" w:rsidP="006358C4">
      <w:pPr>
        <w:spacing w:after="0" w:line="240" w:lineRule="auto"/>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br w:type="page"/>
      </w:r>
    </w:p>
    <w:p w14:paraId="68A45135" w14:textId="77777777" w:rsidR="00E76B19" w:rsidRPr="001B3B88" w:rsidRDefault="00E76B19">
      <w:pPr>
        <w:rPr>
          <w:lang w:val="fr-FR"/>
        </w:rPr>
      </w:pPr>
    </w:p>
    <w:sectPr w:rsidR="00E76B19" w:rsidRPr="001B3B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8E48" w14:textId="77777777" w:rsidR="00690F0A" w:rsidRDefault="00690F0A" w:rsidP="001B3B88">
      <w:pPr>
        <w:spacing w:after="0" w:line="240" w:lineRule="auto"/>
      </w:pPr>
      <w:r>
        <w:separator/>
      </w:r>
    </w:p>
  </w:endnote>
  <w:endnote w:type="continuationSeparator" w:id="0">
    <w:p w14:paraId="6D37F00F" w14:textId="77777777" w:rsidR="00690F0A" w:rsidRDefault="00690F0A" w:rsidP="001B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192DD" w14:textId="77777777" w:rsidR="00690F0A" w:rsidRDefault="00690F0A" w:rsidP="001B3B88">
      <w:pPr>
        <w:spacing w:after="0" w:line="240" w:lineRule="auto"/>
      </w:pPr>
      <w:r>
        <w:separator/>
      </w:r>
    </w:p>
  </w:footnote>
  <w:footnote w:type="continuationSeparator" w:id="0">
    <w:p w14:paraId="63A410C6" w14:textId="77777777" w:rsidR="00690F0A" w:rsidRDefault="00690F0A" w:rsidP="001B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D630" w14:textId="780271E1" w:rsidR="001B3B88" w:rsidRPr="001B3B88" w:rsidRDefault="001B3B88" w:rsidP="001B3B88">
    <w:pPr>
      <w:pStyle w:val="En-tte"/>
      <w:jc w:val="right"/>
      <w:rPr>
        <w:sz w:val="28"/>
        <w:szCs w:val="28"/>
        <w:lang w:val="fr-FR"/>
      </w:rPr>
    </w:pPr>
    <w:r>
      <w:rPr>
        <w:sz w:val="28"/>
        <w:szCs w:val="28"/>
        <w:lang w:val="fr-FR"/>
      </w:rPr>
      <w:t>2.</w:t>
    </w:r>
    <w:r w:rsidR="000F3646">
      <w:rPr>
        <w:sz w:val="28"/>
        <w:szCs w:val="28"/>
        <w:lang w:val="fr-FR"/>
      </w:rPr>
      <w:t>11</w:t>
    </w:r>
    <w:r>
      <w:rPr>
        <w:sz w:val="28"/>
        <w:szCs w:val="28"/>
        <w:lang w:val="fr-FR"/>
      </w:rPr>
      <w:t>. Annexe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68FA"/>
    <w:multiLevelType w:val="hybridMultilevel"/>
    <w:tmpl w:val="3E66554A"/>
    <w:lvl w:ilvl="0" w:tplc="2000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F41DB8"/>
    <w:multiLevelType w:val="hybridMultilevel"/>
    <w:tmpl w:val="92F2CA60"/>
    <w:lvl w:ilvl="0" w:tplc="44A4D2C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16FF9"/>
    <w:multiLevelType w:val="hybridMultilevel"/>
    <w:tmpl w:val="02909222"/>
    <w:lvl w:ilvl="0" w:tplc="CFEE727C">
      <w:start w:val="2"/>
      <w:numFmt w:val="decimal"/>
      <w:lvlText w:val="%1"/>
      <w:lvlJc w:val="left"/>
      <w:pPr>
        <w:ind w:left="36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E2765"/>
    <w:multiLevelType w:val="hybridMultilevel"/>
    <w:tmpl w:val="EC96C732"/>
    <w:lvl w:ilvl="0" w:tplc="74EE3E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E0167E"/>
    <w:multiLevelType w:val="hybridMultilevel"/>
    <w:tmpl w:val="7CF2D6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D1B2C33"/>
    <w:multiLevelType w:val="hybridMultilevel"/>
    <w:tmpl w:val="D716F7C4"/>
    <w:lvl w:ilvl="0" w:tplc="C9346C2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67EF1"/>
    <w:multiLevelType w:val="hybridMultilevel"/>
    <w:tmpl w:val="7CF2D6A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53E3DA1"/>
    <w:multiLevelType w:val="hybridMultilevel"/>
    <w:tmpl w:val="E03AD0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C117C8"/>
    <w:multiLevelType w:val="hybridMultilevel"/>
    <w:tmpl w:val="104CA746"/>
    <w:lvl w:ilvl="0" w:tplc="4516AB50">
      <w:start w:val="3"/>
      <w:numFmt w:val="decimal"/>
      <w:lvlText w:val="%1"/>
      <w:lvlJc w:val="left"/>
      <w:pPr>
        <w:ind w:left="36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AF7143"/>
    <w:multiLevelType w:val="hybridMultilevel"/>
    <w:tmpl w:val="B95C8FFE"/>
    <w:lvl w:ilvl="0" w:tplc="0D48DB76">
      <w:start w:val="1"/>
      <w:numFmt w:val="lowerRoman"/>
      <w:lvlText w:val="%1."/>
      <w:lvlJc w:val="right"/>
      <w:pPr>
        <w:ind w:left="1418" w:hanging="360"/>
      </w:pPr>
      <w:rPr>
        <w:rFonts w:hint="default"/>
      </w:rPr>
    </w:lvl>
    <w:lvl w:ilvl="1" w:tplc="08090019">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0" w15:restartNumberingAfterBreak="0">
    <w:nsid w:val="50324AA1"/>
    <w:multiLevelType w:val="hybridMultilevel"/>
    <w:tmpl w:val="8F005DF4"/>
    <w:lvl w:ilvl="0" w:tplc="453C74E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EE577F"/>
    <w:multiLevelType w:val="hybridMultilevel"/>
    <w:tmpl w:val="C8EC91A8"/>
    <w:lvl w:ilvl="0" w:tplc="2000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07F3615"/>
    <w:multiLevelType w:val="hybridMultilevel"/>
    <w:tmpl w:val="7CF2D6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DC8608E"/>
    <w:multiLevelType w:val="hybridMultilevel"/>
    <w:tmpl w:val="EA02081A"/>
    <w:lvl w:ilvl="0" w:tplc="9BD83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5449B9"/>
    <w:multiLevelType w:val="hybridMultilevel"/>
    <w:tmpl w:val="D23A85EE"/>
    <w:lvl w:ilvl="0" w:tplc="FFFFFFFF">
      <w:start w:val="1"/>
      <w:numFmt w:val="lowerRoman"/>
      <w:lvlText w:val="%1."/>
      <w:lvlJc w:val="right"/>
      <w:pPr>
        <w:ind w:left="1418" w:hanging="360"/>
      </w:pPr>
      <w:rPr>
        <w:rFonts w:hint="default"/>
      </w:rPr>
    </w:lvl>
    <w:lvl w:ilvl="1" w:tplc="8EACDD4E">
      <w:start w:val="1"/>
      <w:numFmt w:val="lowerRoman"/>
      <w:lvlText w:val="(%2)."/>
      <w:lvlJc w:val="left"/>
      <w:pPr>
        <w:ind w:left="1778" w:hanging="360"/>
      </w:pPr>
      <w:rPr>
        <w:rFonts w:hint="default"/>
      </w:rPr>
    </w:lvl>
    <w:lvl w:ilvl="2" w:tplc="FFFFFFFF" w:tentative="1">
      <w:start w:val="1"/>
      <w:numFmt w:val="lowerRoman"/>
      <w:lvlText w:val="%3."/>
      <w:lvlJc w:val="right"/>
      <w:pPr>
        <w:ind w:left="2498" w:hanging="180"/>
      </w:pPr>
    </w:lvl>
    <w:lvl w:ilvl="3" w:tplc="FFFFFFFF" w:tentative="1">
      <w:start w:val="1"/>
      <w:numFmt w:val="decimal"/>
      <w:lvlText w:val="%4."/>
      <w:lvlJc w:val="left"/>
      <w:pPr>
        <w:ind w:left="3218" w:hanging="360"/>
      </w:pPr>
    </w:lvl>
    <w:lvl w:ilvl="4" w:tplc="FFFFFFFF" w:tentative="1">
      <w:start w:val="1"/>
      <w:numFmt w:val="lowerLetter"/>
      <w:lvlText w:val="%5."/>
      <w:lvlJc w:val="left"/>
      <w:pPr>
        <w:ind w:left="3938" w:hanging="360"/>
      </w:pPr>
    </w:lvl>
    <w:lvl w:ilvl="5" w:tplc="FFFFFFFF" w:tentative="1">
      <w:start w:val="1"/>
      <w:numFmt w:val="lowerRoman"/>
      <w:lvlText w:val="%6."/>
      <w:lvlJc w:val="right"/>
      <w:pPr>
        <w:ind w:left="4658" w:hanging="180"/>
      </w:pPr>
    </w:lvl>
    <w:lvl w:ilvl="6" w:tplc="FFFFFFFF" w:tentative="1">
      <w:start w:val="1"/>
      <w:numFmt w:val="decimal"/>
      <w:lvlText w:val="%7."/>
      <w:lvlJc w:val="left"/>
      <w:pPr>
        <w:ind w:left="5378" w:hanging="360"/>
      </w:pPr>
    </w:lvl>
    <w:lvl w:ilvl="7" w:tplc="FFFFFFFF" w:tentative="1">
      <w:start w:val="1"/>
      <w:numFmt w:val="lowerLetter"/>
      <w:lvlText w:val="%8."/>
      <w:lvlJc w:val="left"/>
      <w:pPr>
        <w:ind w:left="6098" w:hanging="360"/>
      </w:pPr>
    </w:lvl>
    <w:lvl w:ilvl="8" w:tplc="FFFFFFFF" w:tentative="1">
      <w:start w:val="1"/>
      <w:numFmt w:val="lowerRoman"/>
      <w:lvlText w:val="%9."/>
      <w:lvlJc w:val="right"/>
      <w:pPr>
        <w:ind w:left="6818" w:hanging="180"/>
      </w:pPr>
    </w:lvl>
  </w:abstractNum>
  <w:abstractNum w:abstractNumId="15" w15:restartNumberingAfterBreak="0">
    <w:nsid w:val="7BD02BA2"/>
    <w:multiLevelType w:val="hybridMultilevel"/>
    <w:tmpl w:val="E03AD0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D93233"/>
    <w:multiLevelType w:val="hybridMultilevel"/>
    <w:tmpl w:val="1E66A3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035C11"/>
    <w:multiLevelType w:val="hybridMultilevel"/>
    <w:tmpl w:val="7FC416F6"/>
    <w:lvl w:ilvl="0" w:tplc="2000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637920">
    <w:abstractNumId w:val="16"/>
  </w:num>
  <w:num w:numId="2" w16cid:durableId="1288387781">
    <w:abstractNumId w:val="6"/>
  </w:num>
  <w:num w:numId="3" w16cid:durableId="1536891996">
    <w:abstractNumId w:val="4"/>
  </w:num>
  <w:num w:numId="4" w16cid:durableId="2073188805">
    <w:abstractNumId w:val="17"/>
  </w:num>
  <w:num w:numId="5" w16cid:durableId="1135296955">
    <w:abstractNumId w:val="0"/>
  </w:num>
  <w:num w:numId="6" w16cid:durableId="1932857648">
    <w:abstractNumId w:val="2"/>
  </w:num>
  <w:num w:numId="7" w16cid:durableId="1330711078">
    <w:abstractNumId w:val="11"/>
  </w:num>
  <w:num w:numId="8" w16cid:durableId="842742019">
    <w:abstractNumId w:val="8"/>
  </w:num>
  <w:num w:numId="9" w16cid:durableId="110827743">
    <w:abstractNumId w:val="5"/>
    <w:lvlOverride w:ilvl="0">
      <w:lvl w:ilvl="0" w:tplc="C9346C20">
        <w:start w:val="1"/>
        <w:numFmt w:val="decimal"/>
        <w:lvlText w:val="%1."/>
        <w:lvlJc w:val="left"/>
        <w:pPr>
          <w:ind w:left="360" w:hanging="360"/>
        </w:pPr>
      </w:lvl>
    </w:lvlOverride>
    <w:lvlOverride w:ilvl="1">
      <w:lvl w:ilvl="1" w:tplc="08090019" w:tentative="1">
        <w:start w:val="1"/>
        <w:numFmt w:val="lowerLetter"/>
        <w:lvlText w:val="%2."/>
        <w:lvlJc w:val="left"/>
        <w:pPr>
          <w:ind w:left="1080" w:hanging="360"/>
        </w:pPr>
      </w:lvl>
    </w:lvlOverride>
    <w:lvlOverride w:ilvl="2">
      <w:lvl w:ilvl="2" w:tplc="0809001B" w:tentative="1">
        <w:start w:val="1"/>
        <w:numFmt w:val="lowerRoman"/>
        <w:lvlText w:val="%3."/>
        <w:lvlJc w:val="right"/>
        <w:pPr>
          <w:ind w:left="1800" w:hanging="180"/>
        </w:pPr>
      </w:lvl>
    </w:lvlOverride>
    <w:lvlOverride w:ilvl="3">
      <w:lvl w:ilvl="3" w:tplc="0809000F" w:tentative="1">
        <w:start w:val="1"/>
        <w:numFmt w:val="decimal"/>
        <w:lvlText w:val="%4."/>
        <w:lvlJc w:val="left"/>
        <w:pPr>
          <w:ind w:left="2520" w:hanging="360"/>
        </w:pPr>
      </w:lvl>
    </w:lvlOverride>
    <w:lvlOverride w:ilvl="4">
      <w:lvl w:ilvl="4" w:tplc="08090019" w:tentative="1">
        <w:start w:val="1"/>
        <w:numFmt w:val="lowerLetter"/>
        <w:lvlText w:val="%5."/>
        <w:lvlJc w:val="left"/>
        <w:pPr>
          <w:ind w:left="3240" w:hanging="360"/>
        </w:pPr>
      </w:lvl>
    </w:lvlOverride>
    <w:lvlOverride w:ilvl="5">
      <w:lvl w:ilvl="5" w:tplc="0809001B" w:tentative="1">
        <w:start w:val="1"/>
        <w:numFmt w:val="lowerRoman"/>
        <w:lvlText w:val="%6."/>
        <w:lvlJc w:val="right"/>
        <w:pPr>
          <w:ind w:left="3960" w:hanging="180"/>
        </w:pPr>
      </w:lvl>
    </w:lvlOverride>
    <w:lvlOverride w:ilvl="6">
      <w:lvl w:ilvl="6" w:tplc="0809000F" w:tentative="1">
        <w:start w:val="1"/>
        <w:numFmt w:val="decimal"/>
        <w:lvlText w:val="%7."/>
        <w:lvlJc w:val="left"/>
        <w:pPr>
          <w:ind w:left="4680" w:hanging="360"/>
        </w:pPr>
      </w:lvl>
    </w:lvlOverride>
    <w:lvlOverride w:ilvl="7">
      <w:lvl w:ilvl="7" w:tplc="08090019" w:tentative="1">
        <w:start w:val="1"/>
        <w:numFmt w:val="lowerLetter"/>
        <w:lvlText w:val="%8."/>
        <w:lvlJc w:val="left"/>
        <w:pPr>
          <w:ind w:left="5400" w:hanging="360"/>
        </w:pPr>
      </w:lvl>
    </w:lvlOverride>
    <w:lvlOverride w:ilvl="8">
      <w:lvl w:ilvl="8" w:tplc="0809001B" w:tentative="1">
        <w:start w:val="1"/>
        <w:numFmt w:val="lowerRoman"/>
        <w:lvlText w:val="%9."/>
        <w:lvlJc w:val="right"/>
        <w:pPr>
          <w:ind w:left="6120" w:hanging="180"/>
        </w:pPr>
      </w:lvl>
    </w:lvlOverride>
  </w:num>
  <w:num w:numId="10" w16cid:durableId="135689909">
    <w:abstractNumId w:val="3"/>
  </w:num>
  <w:num w:numId="11" w16cid:durableId="1988121285">
    <w:abstractNumId w:val="10"/>
  </w:num>
  <w:num w:numId="12" w16cid:durableId="1850749855">
    <w:abstractNumId w:val="13"/>
  </w:num>
  <w:num w:numId="13" w16cid:durableId="773137445">
    <w:abstractNumId w:val="1"/>
  </w:num>
  <w:num w:numId="14" w16cid:durableId="648169150">
    <w:abstractNumId w:val="15"/>
  </w:num>
  <w:num w:numId="15" w16cid:durableId="2049062798">
    <w:abstractNumId w:val="12"/>
  </w:num>
  <w:num w:numId="16" w16cid:durableId="645935705">
    <w:abstractNumId w:val="7"/>
  </w:num>
  <w:num w:numId="17" w16cid:durableId="1167012060">
    <w:abstractNumId w:val="9"/>
  </w:num>
  <w:num w:numId="18" w16cid:durableId="1400900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C4"/>
    <w:rsid w:val="000F3646"/>
    <w:rsid w:val="001B3B88"/>
    <w:rsid w:val="0022375C"/>
    <w:rsid w:val="00314020"/>
    <w:rsid w:val="0052257F"/>
    <w:rsid w:val="006358C4"/>
    <w:rsid w:val="00690F0A"/>
    <w:rsid w:val="00E44ED8"/>
    <w:rsid w:val="00E76B19"/>
    <w:rsid w:val="00E863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DE61"/>
  <w15:chartTrackingRefBased/>
  <w15:docId w15:val="{7A344824-6ED1-4043-BE96-F04DA593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3">
    <w:name w:val="Table Grid3"/>
    <w:basedOn w:val="TableauNormal"/>
    <w:next w:val="Grilledutableau"/>
    <w:uiPriority w:val="59"/>
    <w:rsid w:val="006358C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63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B3B88"/>
    <w:pPr>
      <w:tabs>
        <w:tab w:val="center" w:pos="4513"/>
        <w:tab w:val="right" w:pos="9026"/>
      </w:tabs>
      <w:spacing w:after="0" w:line="240" w:lineRule="auto"/>
    </w:pPr>
  </w:style>
  <w:style w:type="character" w:customStyle="1" w:styleId="En-tteCar">
    <w:name w:val="En-tête Car"/>
    <w:basedOn w:val="Policepardfaut"/>
    <w:link w:val="En-tte"/>
    <w:uiPriority w:val="99"/>
    <w:rsid w:val="001B3B88"/>
    <w:rPr>
      <w:lang w:val="en-GB"/>
    </w:rPr>
  </w:style>
  <w:style w:type="paragraph" w:styleId="Pieddepage">
    <w:name w:val="footer"/>
    <w:basedOn w:val="Normal"/>
    <w:link w:val="PieddepageCar"/>
    <w:uiPriority w:val="99"/>
    <w:unhideWhenUsed/>
    <w:rsid w:val="001B3B8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B3B8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2091</Words>
  <Characters>11503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Marc MAMINIAINA</cp:lastModifiedBy>
  <cp:revision>2</cp:revision>
  <dcterms:created xsi:type="dcterms:W3CDTF">2024-05-09T08:52:00Z</dcterms:created>
  <dcterms:modified xsi:type="dcterms:W3CDTF">2024-05-09T08:52:00Z</dcterms:modified>
</cp:coreProperties>
</file>