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27285F" w14:textId="0BC19679" w:rsidR="00D91F04" w:rsidRPr="00D14363" w:rsidRDefault="00D91F04" w:rsidP="007165AB">
      <w:pPr>
        <w:keepNext/>
        <w:keepLines/>
        <w:pBdr>
          <w:bottom w:val="single" w:sz="4" w:space="8" w:color="auto"/>
        </w:pBdr>
        <w:spacing w:after="240" w:line="240" w:lineRule="auto"/>
        <w:jc w:val="center"/>
        <w:outlineLvl w:val="0"/>
        <w:rPr>
          <w:rFonts w:ascii="Verdana" w:eastAsia="Times New Roman" w:hAnsi="Verdana" w:cs="Calibri Light"/>
          <w:b/>
          <w:bCs/>
          <w:iCs/>
          <w:color w:val="004171"/>
          <w:kern w:val="0"/>
          <w:sz w:val="40"/>
          <w:szCs w:val="40"/>
          <w:lang w:val="fr-FR"/>
          <w14:ligatures w14:val="none"/>
        </w:rPr>
      </w:pPr>
      <w:bookmarkStart w:id="0" w:name="_Toc138165784"/>
      <w:r w:rsidRPr="00D91F04">
        <w:rPr>
          <w:rFonts w:ascii="Verdana" w:eastAsia="Times New Roman" w:hAnsi="Verdana" w:cs="Calibri Light"/>
          <w:b/>
          <w:bCs/>
          <w:iCs/>
          <w:color w:val="004171"/>
          <w:kern w:val="0"/>
          <w:sz w:val="40"/>
          <w:szCs w:val="40"/>
          <w:lang w:val="fr-FR" w:bidi="fr-FR"/>
          <w14:ligatures w14:val="none"/>
        </w:rPr>
        <w:t>PROJET D’ACCORD</w:t>
      </w:r>
      <w:bookmarkEnd w:id="0"/>
    </w:p>
    <w:p w14:paraId="5A44B02F" w14:textId="54303F16" w:rsidR="00D91F04" w:rsidRPr="00D91F04" w:rsidRDefault="00D91F04" w:rsidP="00D91F04">
      <w:pPr>
        <w:keepNext/>
        <w:keepLines/>
        <w:tabs>
          <w:tab w:val="left" w:pos="851"/>
          <w:tab w:val="left" w:pos="2835"/>
        </w:tabs>
        <w:spacing w:after="80" w:line="276" w:lineRule="auto"/>
        <w:outlineLvl w:val="1"/>
        <w:rPr>
          <w:rFonts w:ascii="Verdana" w:eastAsiaTheme="majorEastAsia" w:hAnsi="Verdana" w:cs="Times New Roman (Headings CS)"/>
          <w:b/>
          <w:bCs/>
          <w:color w:val="004171"/>
          <w:spacing w:val="-4"/>
          <w:kern w:val="0"/>
          <w:sz w:val="32"/>
          <w:szCs w:val="32"/>
          <w:lang w:val="fr-FR"/>
          <w14:ligatures w14:val="none"/>
        </w:rPr>
      </w:pPr>
      <w:bookmarkStart w:id="1" w:name="_Toc138165785"/>
      <w:r w:rsidRPr="00D91F04">
        <w:rPr>
          <w:rFonts w:ascii="Verdana" w:eastAsiaTheme="majorEastAsia" w:hAnsi="Verdana" w:cs="Times New Roman (Headings CS)"/>
          <w:b/>
          <w:bCs/>
          <w:color w:val="004171"/>
          <w:spacing w:val="-4"/>
          <w:kern w:val="0"/>
          <w:sz w:val="32"/>
          <w:szCs w:val="32"/>
          <w:lang w:val="fr-FR" w:bidi="fr-FR"/>
          <w14:ligatures w14:val="none"/>
        </w:rPr>
        <w:t xml:space="preserve">Accord entre la COMMISSION DE L’OCÉAN INDIEN et les États participant au </w:t>
      </w:r>
      <w:bookmarkStart w:id="2" w:name="_Hlk149563658"/>
      <w:r w:rsidR="00810080" w:rsidRPr="008E72D5">
        <w:rPr>
          <w:rFonts w:ascii="Verdana" w:eastAsiaTheme="majorEastAsia" w:hAnsi="Verdana" w:cs="Times New Roman (Headings CS)"/>
          <w:b/>
          <w:bCs/>
          <w:color w:val="1F4E79" w:themeColor="accent5" w:themeShade="80"/>
          <w:spacing w:val="-4"/>
          <w:kern w:val="0"/>
          <w:sz w:val="32"/>
          <w:szCs w:val="32"/>
          <w:lang w:val="fr-FR" w:bidi="fr-FR"/>
          <w14:ligatures w14:val="none"/>
        </w:rPr>
        <w:t>Centre de Suivi, de Contrôle, de Surveillance et d'Observation des Pêches</w:t>
      </w:r>
      <w:r w:rsidRPr="008E72D5">
        <w:rPr>
          <w:rFonts w:ascii="Verdana" w:eastAsiaTheme="majorEastAsia" w:hAnsi="Verdana" w:cs="Times New Roman (Headings CS)"/>
          <w:b/>
          <w:bCs/>
          <w:color w:val="1F4E79" w:themeColor="accent5" w:themeShade="80"/>
          <w:spacing w:val="-4"/>
          <w:kern w:val="0"/>
          <w:sz w:val="32"/>
          <w:szCs w:val="32"/>
          <w:lang w:val="fr-FR" w:bidi="fr-FR"/>
          <w14:ligatures w14:val="none"/>
        </w:rPr>
        <w:t xml:space="preserve"> </w:t>
      </w:r>
      <w:bookmarkEnd w:id="2"/>
      <w:r w:rsidRPr="008E72D5">
        <w:rPr>
          <w:rFonts w:ascii="Verdana" w:eastAsiaTheme="majorEastAsia" w:hAnsi="Verdana" w:cs="Times New Roman (Headings CS)"/>
          <w:b/>
          <w:bCs/>
          <w:color w:val="1F4E79" w:themeColor="accent5" w:themeShade="80"/>
          <w:spacing w:val="-4"/>
          <w:kern w:val="0"/>
          <w:sz w:val="32"/>
          <w:szCs w:val="32"/>
          <w:lang w:val="fr-FR" w:bidi="fr-FR"/>
          <w14:ligatures w14:val="none"/>
        </w:rPr>
        <w:t>(</w:t>
      </w:r>
      <w:r w:rsidR="00810080" w:rsidRPr="008E72D5">
        <w:rPr>
          <w:rFonts w:ascii="Verdana" w:eastAsiaTheme="majorEastAsia" w:hAnsi="Verdana" w:cs="Times New Roman (Headings CS)"/>
          <w:b/>
          <w:bCs/>
          <w:color w:val="1F4E79" w:themeColor="accent5" w:themeShade="80"/>
          <w:spacing w:val="-4"/>
          <w:kern w:val="0"/>
          <w:sz w:val="32"/>
          <w:szCs w:val="32"/>
          <w:lang w:val="fr-FR" w:bidi="fr-FR"/>
          <w14:ligatures w14:val="none"/>
        </w:rPr>
        <w:t>CSCSOP</w:t>
      </w:r>
      <w:r w:rsidRPr="008E72D5">
        <w:rPr>
          <w:rFonts w:ascii="Verdana" w:eastAsiaTheme="majorEastAsia" w:hAnsi="Verdana" w:cs="Times New Roman (Headings CS)"/>
          <w:b/>
          <w:bCs/>
          <w:color w:val="1F4E79" w:themeColor="accent5" w:themeShade="80"/>
          <w:spacing w:val="-4"/>
          <w:kern w:val="0"/>
          <w:sz w:val="32"/>
          <w:szCs w:val="32"/>
          <w:lang w:val="fr-FR" w:bidi="fr-FR"/>
          <w14:ligatures w14:val="none"/>
        </w:rPr>
        <w:t xml:space="preserve">) </w:t>
      </w:r>
      <w:r w:rsidRPr="00D91F04">
        <w:rPr>
          <w:rFonts w:ascii="Verdana" w:eastAsiaTheme="majorEastAsia" w:hAnsi="Verdana" w:cs="Times New Roman (Headings CS)"/>
          <w:b/>
          <w:bCs/>
          <w:color w:val="004171"/>
          <w:spacing w:val="-4"/>
          <w:kern w:val="0"/>
          <w:sz w:val="32"/>
          <w:szCs w:val="32"/>
          <w:lang w:val="fr-FR" w:bidi="fr-FR"/>
          <w14:ligatures w14:val="none"/>
        </w:rPr>
        <w:t xml:space="preserve">relatif à un arrangement administratif pour la gestion et la mise en œuvre du </w:t>
      </w:r>
      <w:bookmarkEnd w:id="1"/>
      <w:r w:rsidR="00810080">
        <w:rPr>
          <w:rFonts w:ascii="Verdana" w:eastAsiaTheme="majorEastAsia" w:hAnsi="Verdana" w:cs="Times New Roman (Headings CS)"/>
          <w:b/>
          <w:bCs/>
          <w:color w:val="004171"/>
          <w:spacing w:val="-4"/>
          <w:kern w:val="0"/>
          <w:sz w:val="32"/>
          <w:szCs w:val="32"/>
          <w:lang w:val="fr-FR" w:bidi="fr-FR"/>
          <w14:ligatures w14:val="none"/>
        </w:rPr>
        <w:t>CSCSOP</w:t>
      </w:r>
    </w:p>
    <w:p w14:paraId="1827D597" w14:textId="77777777" w:rsidR="00D91F04" w:rsidRPr="00D91F04" w:rsidRDefault="00D91F04" w:rsidP="00D91F04">
      <w:pPr>
        <w:spacing w:after="120" w:line="276" w:lineRule="auto"/>
        <w:jc w:val="both"/>
        <w:rPr>
          <w:rFonts w:ascii="Verdana" w:hAnsi="Verdana"/>
          <w:iCs/>
          <w:color w:val="000000" w:themeColor="text1"/>
          <w:kern w:val="0"/>
          <w:sz w:val="21"/>
          <w:szCs w:val="21"/>
          <w:lang w:val="fr-FR"/>
          <w14:ligatures w14:val="none"/>
        </w:rPr>
      </w:pPr>
    </w:p>
    <w:p w14:paraId="4B39C584" w14:textId="2CA63D9E" w:rsidR="00D91F04" w:rsidRPr="00D91F04" w:rsidRDefault="00D14363" w:rsidP="00D91F04">
      <w:pPr>
        <w:spacing w:after="120" w:line="276" w:lineRule="auto"/>
        <w:jc w:val="both"/>
        <w:rPr>
          <w:rFonts w:ascii="Verdana" w:hAnsi="Verdana"/>
          <w:b/>
          <w:bCs/>
          <w:iCs/>
          <w:color w:val="000000" w:themeColor="text1"/>
          <w:kern w:val="0"/>
          <w:sz w:val="21"/>
          <w:szCs w:val="21"/>
          <w:lang w:val="fr-FR"/>
          <w14:ligatures w14:val="none"/>
        </w:rPr>
      </w:pPr>
      <w:r>
        <w:rPr>
          <w:rFonts w:ascii="Verdana" w:hAnsi="Verdana"/>
          <w:b/>
          <w:iCs/>
          <w:color w:val="000000" w:themeColor="text1"/>
          <w:kern w:val="0"/>
          <w:sz w:val="21"/>
          <w:szCs w:val="21"/>
          <w:lang w:val="fr-FR" w:bidi="fr-FR"/>
          <w14:ligatures w14:val="none"/>
        </w:rPr>
        <w:t>P</w:t>
      </w:r>
      <w:r w:rsidR="00D91F04" w:rsidRPr="00D91F04">
        <w:rPr>
          <w:rFonts w:ascii="Verdana" w:hAnsi="Verdana"/>
          <w:b/>
          <w:iCs/>
          <w:color w:val="000000" w:themeColor="text1"/>
          <w:kern w:val="0"/>
          <w:sz w:val="21"/>
          <w:szCs w:val="21"/>
          <w:lang w:val="fr-FR" w:bidi="fr-FR"/>
          <w14:ligatures w14:val="none"/>
        </w:rPr>
        <w:t>RÉAMBULE</w:t>
      </w:r>
    </w:p>
    <w:p w14:paraId="025B339F" w14:textId="22C64CFF" w:rsidR="00D91F04" w:rsidRPr="008E72D5" w:rsidRDefault="00D91F04" w:rsidP="00D91F04">
      <w:pPr>
        <w:spacing w:after="120" w:line="276" w:lineRule="auto"/>
        <w:jc w:val="both"/>
        <w:rPr>
          <w:rFonts w:ascii="Verdana" w:hAnsi="Verdana"/>
          <w:b/>
          <w:bCs/>
          <w:iCs/>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 xml:space="preserve">La Commission de l’océan Indien et les États participant au </w:t>
      </w:r>
      <w:r w:rsidR="00810080" w:rsidRPr="008E72D5">
        <w:rPr>
          <w:rFonts w:ascii="Verdana" w:hAnsi="Verdana"/>
          <w:b/>
          <w:iCs/>
          <w:kern w:val="0"/>
          <w:sz w:val="21"/>
          <w:szCs w:val="21"/>
          <w:lang w:val="fr-FR" w:bidi="fr-FR"/>
          <w14:ligatures w14:val="none"/>
        </w:rPr>
        <w:t>Centre de Suivi, de Contrôle, de Surveillance et d'Observation des Pêches</w:t>
      </w:r>
      <w:r w:rsidRPr="008E72D5">
        <w:rPr>
          <w:rFonts w:ascii="Verdana" w:hAnsi="Verdana"/>
          <w:b/>
          <w:iCs/>
          <w:kern w:val="0"/>
          <w:sz w:val="21"/>
          <w:szCs w:val="21"/>
          <w:lang w:val="fr-FR" w:bidi="fr-FR"/>
          <w14:ligatures w14:val="none"/>
        </w:rPr>
        <w:t> :</w:t>
      </w:r>
    </w:p>
    <w:p w14:paraId="7FD805FE" w14:textId="77777777" w:rsidR="00D91F04" w:rsidRPr="00D91F04" w:rsidRDefault="00D91F04" w:rsidP="00D91F04">
      <w:pPr>
        <w:spacing w:after="120" w:line="276" w:lineRule="auto"/>
        <w:jc w:val="both"/>
        <w:rPr>
          <w:rFonts w:ascii="Verdana" w:hAnsi="Verdana"/>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RAPPELANT les droits et les responsabilités des États côtiers au titre de la Convention des Nations Unies sur le droit de la mer de 1982,</w:t>
      </w:r>
    </w:p>
    <w:p w14:paraId="1D6ADA10" w14:textId="77777777" w:rsidR="00D91F04" w:rsidRPr="00D91F04" w:rsidRDefault="00D91F04" w:rsidP="00D91F04">
      <w:pPr>
        <w:spacing w:after="120" w:line="276" w:lineRule="auto"/>
        <w:jc w:val="both"/>
        <w:rPr>
          <w:rFonts w:ascii="Verdana" w:hAnsi="Verdana"/>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RAPPELANT les droits et responsabilités des États côtiers au titre de l’Accord de 1995 aux fins de l’application des dispositions de la Convention des Nations Unies sur le droit de la mer du 10 décembre 1982 relatives à la conservation et à la gestion des stocks de poissons dont les déplacements s’effectuent tant à l’intérieur qu’au-delà de zones économiques exclusives (stocks chevauchants) et des stocks de poissons grands migrateurs (Accord sur les stocks de poissons),</w:t>
      </w:r>
    </w:p>
    <w:p w14:paraId="273C5AE0" w14:textId="77777777" w:rsidR="00D91F04" w:rsidRPr="00D91F04" w:rsidRDefault="00D91F04" w:rsidP="00D91F04">
      <w:pPr>
        <w:spacing w:after="120" w:line="276" w:lineRule="auto"/>
        <w:jc w:val="both"/>
        <w:rPr>
          <w:rFonts w:ascii="Verdana" w:hAnsi="Verdana"/>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RECONNAISSANT que les États côtiers du sud-ouest de l’océan Indien, conformément au droit international, sont souverains sur leurs eaux intérieures et leurs mers territoriales et qu’ils exercent leurs droits souverains aux fins de l’exploration, de l’exploitation, de la conservation et de la gestion des ressources naturelles dans leurs zones économiques exclusives,</w:t>
      </w:r>
    </w:p>
    <w:p w14:paraId="51770CA7" w14:textId="77777777" w:rsidR="00D91F04" w:rsidRPr="00D91F04" w:rsidRDefault="00D91F04" w:rsidP="00D91F04">
      <w:pPr>
        <w:spacing w:after="120" w:line="276" w:lineRule="auto"/>
        <w:jc w:val="both"/>
        <w:rPr>
          <w:rFonts w:ascii="Verdana" w:hAnsi="Verdana"/>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RECONNAISSANT qu’il incombe aux États du pavillon d’exercer un contrôle effectif sur leurs navires de pêche conformément au droit international,</w:t>
      </w:r>
    </w:p>
    <w:p w14:paraId="5F2D553B" w14:textId="77777777" w:rsidR="00D91F04" w:rsidRPr="00D91F04" w:rsidRDefault="00D91F04" w:rsidP="00D91F04">
      <w:pPr>
        <w:spacing w:after="120" w:line="276" w:lineRule="auto"/>
        <w:jc w:val="both"/>
        <w:rPr>
          <w:rFonts w:ascii="Verdana" w:hAnsi="Verdana"/>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RAPPELANT les principes du Code de conduite pour une pêche responsable adopté en 1995 par l’Organisation des Nations Unies pour l’alimentation et l’agriculture (FAO),</w:t>
      </w:r>
    </w:p>
    <w:p w14:paraId="692BAE38" w14:textId="77777777" w:rsidR="00D91F04" w:rsidRPr="00D91F04" w:rsidRDefault="00D91F04" w:rsidP="00D91F04">
      <w:pPr>
        <w:spacing w:after="120" w:line="276" w:lineRule="auto"/>
        <w:jc w:val="both"/>
        <w:rPr>
          <w:rFonts w:ascii="Verdana" w:hAnsi="Verdana"/>
          <w:iCs/>
          <w:color w:val="000000" w:themeColor="text1"/>
          <w:spacing w:val="-4"/>
          <w:kern w:val="0"/>
          <w:sz w:val="21"/>
          <w:szCs w:val="21"/>
          <w:lang w:val="fr-FR"/>
          <w14:ligatures w14:val="none"/>
        </w:rPr>
      </w:pPr>
      <w:r w:rsidRPr="00D91F04">
        <w:rPr>
          <w:rFonts w:ascii="Verdana" w:hAnsi="Verdana"/>
          <w:iCs/>
          <w:color w:val="000000" w:themeColor="text1"/>
          <w:spacing w:val="-4"/>
          <w:kern w:val="0"/>
          <w:sz w:val="21"/>
          <w:szCs w:val="21"/>
          <w:lang w:val="fr-FR" w:bidi="fr-FR"/>
          <w14:ligatures w14:val="none"/>
        </w:rPr>
        <w:t>RAPPELANT que lors du troisième Sommet des chefs d’État et de gouvernement de la Commission de l’océan Indien, tenu en 2005, les États membres ont réaffirmé le besoin urgent d’une coopération régionale non seulement pour parvenir à une meilleure gestion des ressources halieutiques communes mais aussi pour lutter contre la pêche illicite, non déclarée et non réglementée,</w:t>
      </w:r>
    </w:p>
    <w:p w14:paraId="4BC788DD" w14:textId="77777777" w:rsidR="00D91F04" w:rsidRPr="00D91F04" w:rsidRDefault="00D91F04" w:rsidP="00D91F04">
      <w:pPr>
        <w:spacing w:after="120" w:line="276" w:lineRule="auto"/>
        <w:jc w:val="both"/>
        <w:rPr>
          <w:rFonts w:ascii="Verdana" w:hAnsi="Verdana"/>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RAPPELANT l’Accord relatif aux mesures du ressort de l’État du port visant à prévenir, contrecarrer et éliminer la pêche illicite, non déclarée et non réglementée conclu sous les auspices de l’Organisation des Nations Unies pour l’alimentation et l’agriculture (FAO) en 2009,</w:t>
      </w:r>
    </w:p>
    <w:p w14:paraId="40DA5D0D" w14:textId="77777777" w:rsidR="00D91F04" w:rsidRPr="00D91F04" w:rsidRDefault="00D91F04" w:rsidP="00D91F04">
      <w:pPr>
        <w:spacing w:after="120" w:line="276" w:lineRule="auto"/>
        <w:jc w:val="both"/>
        <w:rPr>
          <w:rFonts w:ascii="Verdana" w:hAnsi="Verdana"/>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lastRenderedPageBreak/>
        <w:t>RAPPELANT l’Accord général de coopération entre les États membres de la Commission de l’océan Indien (Accord de Victoria) de 1984, par lequel la Commission de l’océan Indien a été établie, et la décision de 2020 du trente-quatrième Conseil des ministres de la Commission de l’océan Indien, par laquelle l’Accord portant révision de l’Accord général de coopération entre les États membres de la Commission de l’océan Indien été adopté,</w:t>
      </w:r>
    </w:p>
    <w:p w14:paraId="1430A29A" w14:textId="1F603FFD" w:rsidR="00D91F04" w:rsidRPr="00D91F04" w:rsidRDefault="00D91F04" w:rsidP="00D91F04">
      <w:pPr>
        <w:spacing w:after="120" w:line="276" w:lineRule="auto"/>
        <w:jc w:val="both"/>
        <w:rPr>
          <w:rFonts w:ascii="Verdana" w:hAnsi="Verdana"/>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RAPPELANT qu’à l’issue de la réunion tenue en octobre 2011 par ’</w:t>
      </w:r>
      <w:r w:rsidR="002B685A">
        <w:rPr>
          <w:rFonts w:ascii="Verdana" w:hAnsi="Verdana"/>
          <w:iCs/>
          <w:color w:val="000000" w:themeColor="text1"/>
          <w:kern w:val="0"/>
          <w:sz w:val="21"/>
          <w:szCs w:val="21"/>
          <w:lang w:val="fr-FR" w:bidi="fr-FR"/>
          <w14:ligatures w14:val="none"/>
        </w:rPr>
        <w:t xml:space="preserve">Comité de pilotage </w:t>
      </w:r>
      <w:r w:rsidRPr="00D91F04">
        <w:rPr>
          <w:rFonts w:ascii="Verdana" w:hAnsi="Verdana"/>
          <w:iCs/>
          <w:color w:val="000000" w:themeColor="text1"/>
          <w:kern w:val="0"/>
          <w:sz w:val="21"/>
          <w:szCs w:val="21"/>
          <w:lang w:val="fr-FR" w:bidi="fr-FR"/>
          <w14:ligatures w14:val="none"/>
        </w:rPr>
        <w:t xml:space="preserve">du Plan régional de surveillance des pêches, les officiers permanents de liaison des États membres de la Commission de l’océan Indien ont approuvé la recommandation d’élargir les activités du Plan aux États côtiers voisins, </w:t>
      </w:r>
    </w:p>
    <w:p w14:paraId="28DAB07C" w14:textId="77777777" w:rsidR="00D91F04" w:rsidRPr="00D91F04" w:rsidRDefault="00D91F04" w:rsidP="00D91F04">
      <w:pPr>
        <w:spacing w:after="120" w:line="276" w:lineRule="auto"/>
        <w:jc w:val="both"/>
        <w:rPr>
          <w:rFonts w:ascii="Verdana" w:hAnsi="Verdana"/>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 xml:space="preserve">RAPPELANT la Déclaration de la Conférence ministérielle sur la pêche signée le 21 juillet 2017, qui contient des recommandations en vue de prévenir, à contrecarrer et à éliminer la pêche illicite, non déclarée et non réglementée dans le sud-ouest de l’océan Indien, </w:t>
      </w:r>
    </w:p>
    <w:p w14:paraId="68B143E9" w14:textId="77777777" w:rsidR="00D91F04" w:rsidRPr="00D91F04" w:rsidRDefault="00D91F04" w:rsidP="00D91F04">
      <w:pPr>
        <w:spacing w:after="120" w:line="276" w:lineRule="auto"/>
        <w:jc w:val="both"/>
        <w:rPr>
          <w:rFonts w:ascii="Verdana" w:hAnsi="Verdana"/>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RECONNAISSANT les craintes exprimées par les Parties concernant le problème permanent que constitue la pêche illicite, non déclarée et non réglementée dans les zones maritimes adjacentes, en violation du droit national et international applicable et des mesures convenues au niveau régional,</w:t>
      </w:r>
    </w:p>
    <w:p w14:paraId="73872AB1" w14:textId="77777777" w:rsidR="00D91F04" w:rsidRPr="00D91F04" w:rsidRDefault="00D91F04" w:rsidP="00D91F04">
      <w:pPr>
        <w:spacing w:after="120" w:line="276" w:lineRule="auto"/>
        <w:jc w:val="both"/>
        <w:rPr>
          <w:rFonts w:ascii="Verdana" w:hAnsi="Verdana"/>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CONSIDÉRANT que la coopération entre les Parties est d’une importance vitale pour la protection des intérêts nationaux dans ces zones maritimes,</w:t>
      </w:r>
    </w:p>
    <w:p w14:paraId="237DBB78" w14:textId="77777777" w:rsidR="00D91F04" w:rsidRPr="00D91F04" w:rsidRDefault="00D91F04" w:rsidP="00D91F04">
      <w:pPr>
        <w:spacing w:after="120" w:line="276" w:lineRule="auto"/>
        <w:jc w:val="both"/>
        <w:rPr>
          <w:rFonts w:ascii="Verdana" w:hAnsi="Verdana"/>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CONSIDÉRANT le Cadre politique et la stratégie de réforme pour la pêche et l’aquaculture en Afrique adopté par l’Union africaine en 2014,</w:t>
      </w:r>
    </w:p>
    <w:p w14:paraId="298DA51D" w14:textId="77777777" w:rsidR="00D91F04" w:rsidRPr="00D91F04" w:rsidRDefault="00D91F04" w:rsidP="00D91F04">
      <w:pPr>
        <w:spacing w:after="120" w:line="276" w:lineRule="auto"/>
        <w:jc w:val="both"/>
        <w:rPr>
          <w:rFonts w:ascii="Verdana" w:hAnsi="Verdana"/>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 xml:space="preserve">CONSIDÉRANT les résultats obtenus depuis 2007 dans le cadre du plan d’action régional adopté aux fins du suivi, du contrôle et de la surveillance des pêches dans le sud-ouest de l’océan Indien en ce qui concerne les États participants,  </w:t>
      </w:r>
    </w:p>
    <w:p w14:paraId="3A041E0E" w14:textId="77777777" w:rsidR="00D91F04" w:rsidRPr="00D91F04" w:rsidRDefault="00D91F04" w:rsidP="00D91F04">
      <w:pPr>
        <w:spacing w:after="120" w:line="276" w:lineRule="auto"/>
        <w:jc w:val="both"/>
        <w:rPr>
          <w:rFonts w:ascii="Verdana" w:hAnsi="Verdana"/>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CONSIDÉRANT l’Accord entre les États participants au PLAN RÉGIONAL DE SURVEILLANCE DES PÊCHES et la COMMISSION DE L’OCÉAN INDIEN en vue de la mise en place de mécanismes régionaux d’échange d’informations sur les pêches aux fins du suivi, du contrôle et de la surveillance des pêches, qui prévoit un mécanisme de coopération entre les États participants et les partenaires pour l’échange d’informations et de renseignements sur les pêches en vue de prévenir, de contrecarrer et d’éliminer la pêche illicite, non déclarée et non réglementée,</w:t>
      </w:r>
    </w:p>
    <w:p w14:paraId="4B01D4BB" w14:textId="77777777" w:rsidR="00D91F04" w:rsidRPr="00D91F04" w:rsidRDefault="00D91F04" w:rsidP="00D91F04">
      <w:pPr>
        <w:spacing w:after="120" w:line="276" w:lineRule="auto"/>
        <w:jc w:val="both"/>
        <w:rPr>
          <w:rFonts w:ascii="Verdana" w:hAnsi="Verdana"/>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DÉTERMINÉS à renforcer leur capacité opérationnelle afin de conserver et de protéger toutes les ressources halieutiques en entreprenant des actions communes et concertées en matière de suivi, de contrôle et de surveillance des pêches,</w:t>
      </w:r>
    </w:p>
    <w:p w14:paraId="204AD504" w14:textId="77777777" w:rsidR="00D91F04" w:rsidRPr="00D91F04" w:rsidRDefault="00D91F04" w:rsidP="00D91F04">
      <w:pPr>
        <w:spacing w:after="120" w:line="276" w:lineRule="auto"/>
        <w:jc w:val="both"/>
        <w:rPr>
          <w:rFonts w:ascii="Verdana" w:hAnsi="Verdana"/>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RECONNAISSANT la nécessité de donner effet aux dispositions du droit international et de promouvoir la coopération sous-régionale afin d’atteindre des objectifs communs,</w:t>
      </w:r>
    </w:p>
    <w:p w14:paraId="71DAAE13" w14:textId="77777777" w:rsidR="00D91F04" w:rsidRPr="00D91F04" w:rsidRDefault="00D91F04" w:rsidP="00D91F04">
      <w:pPr>
        <w:spacing w:after="120" w:line="276" w:lineRule="auto"/>
        <w:jc w:val="both"/>
        <w:rPr>
          <w:rFonts w:ascii="Verdana" w:hAnsi="Verdana"/>
          <w:b/>
          <w:iCs/>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SONT CONVENUS de ce qui suit :</w:t>
      </w:r>
    </w:p>
    <w:p w14:paraId="6D5514DF"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lang w:val="fr-FR"/>
          <w14:ligatures w14:val="none"/>
        </w:rPr>
      </w:pPr>
      <w:r w:rsidRPr="00D91F04">
        <w:rPr>
          <w:rFonts w:ascii="Verdana" w:hAnsi="Verdana"/>
          <w:b/>
          <w:iCs/>
          <w:color w:val="00928F"/>
          <w:kern w:val="0"/>
          <w:sz w:val="28"/>
          <w:szCs w:val="28"/>
          <w:lang w:val="fr-FR" w:bidi="fr-FR"/>
          <w14:ligatures w14:val="none"/>
        </w:rPr>
        <w:t>Article premier</w:t>
      </w:r>
    </w:p>
    <w:p w14:paraId="740EA685"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lang w:val="fr-FR"/>
          <w14:ligatures w14:val="none"/>
        </w:rPr>
      </w:pPr>
      <w:r w:rsidRPr="00D91F04">
        <w:rPr>
          <w:rFonts w:ascii="Verdana" w:hAnsi="Verdana"/>
          <w:b/>
          <w:iCs/>
          <w:color w:val="00928F"/>
          <w:kern w:val="0"/>
          <w:sz w:val="28"/>
          <w:szCs w:val="28"/>
          <w:lang w:val="fr-FR" w:bidi="fr-FR"/>
          <w14:ligatures w14:val="none"/>
        </w:rPr>
        <w:t>Définitions</w:t>
      </w:r>
    </w:p>
    <w:p w14:paraId="711731BA" w14:textId="3DB235E4" w:rsidR="00D91F04" w:rsidRPr="00D91F04" w:rsidRDefault="00D91F04" w:rsidP="00D91F04">
      <w:pPr>
        <w:spacing w:after="120" w:line="276" w:lineRule="auto"/>
        <w:jc w:val="both"/>
        <w:rPr>
          <w:rFonts w:ascii="Verdana" w:hAnsi="Verdana"/>
          <w:bCs/>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lastRenderedPageBreak/>
        <w:t>On entend par « </w:t>
      </w:r>
      <w:bookmarkStart w:id="3" w:name="_Hlk149564110"/>
      <w:r w:rsidR="002B685A" w:rsidRPr="002B685A">
        <w:rPr>
          <w:rFonts w:ascii="Verdana" w:hAnsi="Verdana"/>
          <w:b/>
          <w:iCs/>
          <w:color w:val="000000" w:themeColor="text1"/>
          <w:kern w:val="0"/>
          <w:sz w:val="21"/>
          <w:szCs w:val="21"/>
          <w:lang w:val="fr-FR" w:bidi="fr-FR"/>
          <w14:ligatures w14:val="none"/>
        </w:rPr>
        <w:t xml:space="preserve">Comité de </w:t>
      </w:r>
      <w:proofErr w:type="gramStart"/>
      <w:r w:rsidR="002B685A" w:rsidRPr="002B685A">
        <w:rPr>
          <w:rFonts w:ascii="Verdana" w:hAnsi="Verdana"/>
          <w:b/>
          <w:iCs/>
          <w:color w:val="000000" w:themeColor="text1"/>
          <w:kern w:val="0"/>
          <w:sz w:val="21"/>
          <w:szCs w:val="21"/>
          <w:lang w:val="fr-FR" w:bidi="fr-FR"/>
          <w14:ligatures w14:val="none"/>
        </w:rPr>
        <w:t>pilotage</w:t>
      </w:r>
      <w:bookmarkEnd w:id="3"/>
      <w:r w:rsidRPr="00D91F04">
        <w:rPr>
          <w:rFonts w:ascii="Verdana" w:hAnsi="Verdana"/>
          <w:iCs/>
          <w:color w:val="000000" w:themeColor="text1"/>
          <w:kern w:val="0"/>
          <w:sz w:val="21"/>
          <w:szCs w:val="21"/>
          <w:lang w:val="fr-FR" w:bidi="fr-FR"/>
          <w14:ligatures w14:val="none"/>
        </w:rPr>
        <w:t>»</w:t>
      </w:r>
      <w:proofErr w:type="gramEnd"/>
      <w:r w:rsidRPr="00D91F04">
        <w:rPr>
          <w:rFonts w:ascii="Verdana" w:hAnsi="Verdana"/>
          <w:iCs/>
          <w:color w:val="000000" w:themeColor="text1"/>
          <w:kern w:val="0"/>
          <w:sz w:val="21"/>
          <w:szCs w:val="21"/>
          <w:lang w:val="fr-FR" w:bidi="fr-FR"/>
          <w14:ligatures w14:val="none"/>
        </w:rPr>
        <w:t xml:space="preserve"> </w:t>
      </w:r>
      <w:r w:rsidR="002B685A" w:rsidRPr="002B685A">
        <w:rPr>
          <w:rFonts w:ascii="Verdana" w:hAnsi="Verdana"/>
          <w:iCs/>
          <w:color w:val="000000" w:themeColor="text1"/>
          <w:kern w:val="0"/>
          <w:sz w:val="21"/>
          <w:szCs w:val="21"/>
          <w:lang w:val="fr-FR" w:bidi="fr-FR"/>
          <w14:ligatures w14:val="none"/>
        </w:rPr>
        <w:t>Comité de pilotage</w:t>
      </w:r>
      <w:r w:rsidRPr="00D91F04">
        <w:rPr>
          <w:rFonts w:ascii="Verdana" w:hAnsi="Verdana"/>
          <w:iCs/>
          <w:color w:val="000000" w:themeColor="text1"/>
          <w:kern w:val="0"/>
          <w:sz w:val="21"/>
          <w:szCs w:val="21"/>
          <w:lang w:val="fr-FR" w:bidi="fr-FR"/>
          <w14:ligatures w14:val="none"/>
        </w:rPr>
        <w:t xml:space="preserve"> du </w:t>
      </w:r>
      <w:r w:rsidR="00810080" w:rsidRPr="00810080">
        <w:rPr>
          <w:rFonts w:ascii="Verdana" w:hAnsi="Verdana"/>
          <w:iCs/>
          <w:color w:val="000000" w:themeColor="text1"/>
          <w:kern w:val="0"/>
          <w:sz w:val="21"/>
          <w:szCs w:val="21"/>
          <w:lang w:val="fr-FR" w:bidi="fr-FR"/>
          <w14:ligatures w14:val="none"/>
        </w:rPr>
        <w:t>Centre de Suivi, de Contrôle, de Surveillance et d'Observation des Pêches</w:t>
      </w:r>
      <w:r w:rsidRPr="00D91F04">
        <w:rPr>
          <w:rFonts w:ascii="Verdana" w:hAnsi="Verdana"/>
          <w:iCs/>
          <w:color w:val="000000" w:themeColor="text1"/>
          <w:kern w:val="0"/>
          <w:sz w:val="21"/>
          <w:szCs w:val="21"/>
          <w:lang w:val="fr-FR" w:bidi="fr-FR"/>
          <w14:ligatures w14:val="none"/>
        </w:rPr>
        <w:t xml:space="preserve"> (</w:t>
      </w:r>
      <w:r w:rsidR="00810080">
        <w:rPr>
          <w:rFonts w:ascii="Verdana" w:hAnsi="Verdana"/>
          <w:iCs/>
          <w:color w:val="000000" w:themeColor="text1"/>
          <w:kern w:val="0"/>
          <w:sz w:val="21"/>
          <w:szCs w:val="21"/>
          <w:lang w:val="fr-FR" w:bidi="fr-FR"/>
          <w14:ligatures w14:val="none"/>
        </w:rPr>
        <w:t>CSCSOP</w:t>
      </w:r>
      <w:r w:rsidRPr="00D91F04">
        <w:rPr>
          <w:rFonts w:ascii="Verdana" w:hAnsi="Verdana"/>
          <w:iCs/>
          <w:color w:val="000000" w:themeColor="text1"/>
          <w:kern w:val="0"/>
          <w:sz w:val="21"/>
          <w:szCs w:val="21"/>
          <w:lang w:val="fr-FR" w:bidi="fr-FR"/>
          <w14:ligatures w14:val="none"/>
        </w:rPr>
        <w:t xml:space="preserve">) de la Commission de l’océan Indien décrite à l’alinéa a du paragraphe 1 de l’article 2 et dont les États participants sont membres, laquelle fait office de Comité de pilotage du </w:t>
      </w:r>
      <w:r w:rsidR="00810080">
        <w:rPr>
          <w:rFonts w:ascii="Verdana" w:hAnsi="Verdana"/>
          <w:iCs/>
          <w:color w:val="000000" w:themeColor="text1"/>
          <w:kern w:val="0"/>
          <w:sz w:val="21"/>
          <w:szCs w:val="21"/>
          <w:lang w:val="fr-FR" w:bidi="fr-FR"/>
          <w14:ligatures w14:val="none"/>
        </w:rPr>
        <w:t>CSCSOP</w:t>
      </w:r>
      <w:r w:rsidRPr="00D91F04">
        <w:rPr>
          <w:rFonts w:ascii="Verdana" w:hAnsi="Verdana"/>
          <w:iCs/>
          <w:color w:val="000000" w:themeColor="text1"/>
          <w:kern w:val="0"/>
          <w:sz w:val="21"/>
          <w:szCs w:val="21"/>
          <w:lang w:val="fr-FR" w:bidi="fr-FR"/>
          <w14:ligatures w14:val="none"/>
        </w:rPr>
        <w:t xml:space="preserve"> et relève de l’Unité de coordination régionale conformément à son mandat ;</w:t>
      </w:r>
    </w:p>
    <w:p w14:paraId="21DB9EB0" w14:textId="77777777" w:rsidR="00D91F04" w:rsidRPr="00D91F04" w:rsidRDefault="00D91F04" w:rsidP="00D91F04">
      <w:pPr>
        <w:spacing w:after="120" w:line="276" w:lineRule="auto"/>
        <w:jc w:val="both"/>
        <w:rPr>
          <w:rFonts w:ascii="Verdana" w:hAnsi="Verdana"/>
          <w:bCs/>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Les termes « </w:t>
      </w:r>
      <w:r w:rsidRPr="00D91F04">
        <w:rPr>
          <w:rFonts w:ascii="Verdana" w:hAnsi="Verdana"/>
          <w:b/>
          <w:iCs/>
          <w:color w:val="000000" w:themeColor="text1"/>
          <w:kern w:val="0"/>
          <w:sz w:val="21"/>
          <w:szCs w:val="21"/>
          <w:lang w:val="fr-FR" w:bidi="fr-FR"/>
          <w14:ligatures w14:val="none"/>
        </w:rPr>
        <w:t>informations sur les pêches</w:t>
      </w:r>
      <w:r w:rsidRPr="00D91F04">
        <w:rPr>
          <w:rFonts w:ascii="Verdana" w:hAnsi="Verdana"/>
          <w:iCs/>
          <w:color w:val="000000" w:themeColor="text1"/>
          <w:kern w:val="0"/>
          <w:sz w:val="21"/>
          <w:szCs w:val="21"/>
          <w:lang w:val="fr-FR" w:bidi="fr-FR"/>
          <w14:ligatures w14:val="none"/>
        </w:rPr>
        <w:t> » ou « informations » dans le contexte des activités de pêche désignent toute information ou donnée, quel qu’en soit le support, y compris électronique, documentée, reproduite ou autre susceptible d’être utile, directement ou indirectement, à toute fin de gestion ou de suivi, contrôle et surveillance des pêches aux niveaux national, régional ou international ;</w:t>
      </w:r>
    </w:p>
    <w:p w14:paraId="016391FE" w14:textId="77777777" w:rsidR="00D91F04" w:rsidRPr="00D91F04" w:rsidRDefault="00D91F04" w:rsidP="00D91F04">
      <w:pPr>
        <w:spacing w:after="120" w:line="276" w:lineRule="auto"/>
        <w:jc w:val="both"/>
        <w:rPr>
          <w:rFonts w:ascii="Verdana" w:hAnsi="Verdana"/>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Le terme « </w:t>
      </w:r>
      <w:r w:rsidRPr="00D91F04">
        <w:rPr>
          <w:rFonts w:ascii="Verdana" w:hAnsi="Verdana"/>
          <w:b/>
          <w:iCs/>
          <w:color w:val="000000" w:themeColor="text1"/>
          <w:kern w:val="0"/>
          <w:sz w:val="21"/>
          <w:szCs w:val="21"/>
          <w:lang w:val="fr-FR" w:bidi="fr-FR"/>
          <w14:ligatures w14:val="none"/>
        </w:rPr>
        <w:t>pêche</w:t>
      </w:r>
      <w:r w:rsidRPr="00D91F04">
        <w:rPr>
          <w:rFonts w:ascii="Verdana" w:hAnsi="Verdana"/>
          <w:iCs/>
          <w:color w:val="000000" w:themeColor="text1"/>
          <w:kern w:val="0"/>
          <w:sz w:val="21"/>
          <w:szCs w:val="21"/>
          <w:lang w:val="fr-FR" w:bidi="fr-FR"/>
          <w14:ligatures w14:val="none"/>
        </w:rPr>
        <w:t> » désigne la recherche, l’attraction, la localisation, la capture, la prise ou la récolte de poissons ou toute activité dont on peut raisonnablement attendre qu’elle aboutisse à l’attraction, la localisation, la capture, la prise ou la récolte de poissons ;</w:t>
      </w:r>
    </w:p>
    <w:p w14:paraId="63E47EC2" w14:textId="77777777" w:rsidR="00D91F04" w:rsidRPr="00D91F04" w:rsidRDefault="00D91F04" w:rsidP="00D91F04">
      <w:pPr>
        <w:spacing w:after="120" w:line="276" w:lineRule="auto"/>
        <w:jc w:val="both"/>
        <w:rPr>
          <w:rFonts w:ascii="Verdana" w:hAnsi="Verdana"/>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On entend par « </w:t>
      </w:r>
      <w:r w:rsidRPr="00D91F04">
        <w:rPr>
          <w:rFonts w:ascii="Verdana" w:hAnsi="Verdana"/>
          <w:b/>
          <w:iCs/>
          <w:color w:val="000000" w:themeColor="text1"/>
          <w:kern w:val="0"/>
          <w:sz w:val="21"/>
          <w:szCs w:val="21"/>
          <w:lang w:val="fr-FR" w:bidi="fr-FR"/>
          <w14:ligatures w14:val="none"/>
        </w:rPr>
        <w:t>activité liée à la pêche</w:t>
      </w:r>
      <w:r w:rsidRPr="00D91F04">
        <w:rPr>
          <w:rFonts w:ascii="Verdana" w:hAnsi="Verdana"/>
          <w:iCs/>
          <w:color w:val="000000" w:themeColor="text1"/>
          <w:kern w:val="0"/>
          <w:sz w:val="21"/>
          <w:szCs w:val="21"/>
          <w:lang w:val="fr-FR" w:bidi="fr-FR"/>
          <w14:ligatures w14:val="none"/>
        </w:rPr>
        <w:t> » toute opération de soutien, ou de préparation, aux fins de la pêche, y compris le débarquement, le conditionnement, la transformation, le transbordement ou le transport des poissons qui n’ont pas été précédemment débarqués dans un port, ainsi que l’apport de personnel et la fourniture de carburant, d’engins et d’autres provisions en mer ;</w:t>
      </w:r>
    </w:p>
    <w:p w14:paraId="4FDFCF3D" w14:textId="77777777" w:rsidR="00D91F04" w:rsidRPr="00D91F04" w:rsidRDefault="00D91F04" w:rsidP="00D91F04">
      <w:pPr>
        <w:spacing w:after="120" w:line="276" w:lineRule="auto"/>
        <w:jc w:val="both"/>
        <w:rPr>
          <w:rFonts w:ascii="Verdana" w:hAnsi="Verdana"/>
          <w:bCs/>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On entend par « </w:t>
      </w:r>
      <w:r w:rsidRPr="00D91F04">
        <w:rPr>
          <w:rFonts w:ascii="Verdana" w:hAnsi="Verdana"/>
          <w:b/>
          <w:iCs/>
          <w:color w:val="000000" w:themeColor="text1"/>
          <w:kern w:val="0"/>
          <w:sz w:val="21"/>
          <w:szCs w:val="21"/>
          <w:lang w:val="fr-FR" w:bidi="fr-FR"/>
          <w14:ligatures w14:val="none"/>
        </w:rPr>
        <w:t>navire de pêche</w:t>
      </w:r>
      <w:r w:rsidRPr="00D91F04">
        <w:rPr>
          <w:rFonts w:ascii="Verdana" w:hAnsi="Verdana"/>
          <w:iCs/>
          <w:color w:val="000000" w:themeColor="text1"/>
          <w:kern w:val="0"/>
          <w:sz w:val="21"/>
          <w:szCs w:val="21"/>
          <w:lang w:val="fr-FR" w:bidi="fr-FR"/>
          <w14:ligatures w14:val="none"/>
        </w:rPr>
        <w:t> » tout navire conçu ou équipé pour rechercher, attirer, localiser, capturer, prendre ou récolter du poisson ou pour mener toute activité dont on peut raisonnablement s’attendre à ce qu’elle permette d’attirer, de localiser, de capturer, de prendre ou de récolter du poisson, notamment les navires utilisés pour des activités liées à la pêche ;</w:t>
      </w:r>
    </w:p>
    <w:p w14:paraId="581E38A4" w14:textId="77777777" w:rsidR="00D91F04" w:rsidRPr="00D91F04" w:rsidRDefault="00D91F04" w:rsidP="00D91F04">
      <w:pPr>
        <w:spacing w:after="120" w:line="276" w:lineRule="auto"/>
        <w:jc w:val="both"/>
        <w:rPr>
          <w:rFonts w:ascii="Verdana" w:hAnsi="Verdana"/>
          <w:bCs/>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On entend par « </w:t>
      </w:r>
      <w:r w:rsidRPr="00D91F04">
        <w:rPr>
          <w:rFonts w:ascii="Verdana" w:hAnsi="Verdana"/>
          <w:b/>
          <w:iCs/>
          <w:color w:val="000000" w:themeColor="text1"/>
          <w:kern w:val="0"/>
          <w:sz w:val="21"/>
          <w:szCs w:val="21"/>
          <w:lang w:val="fr-FR" w:bidi="fr-FR"/>
          <w14:ligatures w14:val="none"/>
        </w:rPr>
        <w:t>Commission de l’océan Indien</w:t>
      </w:r>
      <w:r w:rsidRPr="00D91F04">
        <w:rPr>
          <w:rFonts w:ascii="Verdana" w:hAnsi="Verdana"/>
          <w:iCs/>
          <w:color w:val="000000" w:themeColor="text1"/>
          <w:kern w:val="0"/>
          <w:sz w:val="21"/>
          <w:szCs w:val="21"/>
          <w:lang w:val="fr-FR" w:bidi="fr-FR"/>
          <w14:ligatures w14:val="none"/>
        </w:rPr>
        <w:t> » (COI) la Commission de l’océan Indien créée en 1982 par la Déclaration de Port-Louis et établie en 1984 par l’Accord de Victoria ;</w:t>
      </w:r>
    </w:p>
    <w:p w14:paraId="1A6FD17C" w14:textId="77777777" w:rsidR="00D91F04" w:rsidRPr="00D91F04" w:rsidRDefault="00D91F04" w:rsidP="00D91F04">
      <w:pPr>
        <w:spacing w:after="120" w:line="276" w:lineRule="auto"/>
        <w:jc w:val="both"/>
        <w:rPr>
          <w:rFonts w:ascii="Verdana" w:hAnsi="Verdana"/>
          <w:bCs/>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Le terme « </w:t>
      </w:r>
      <w:r w:rsidRPr="00D91F04">
        <w:rPr>
          <w:rFonts w:ascii="Verdana" w:hAnsi="Verdana"/>
          <w:b/>
          <w:iCs/>
          <w:color w:val="000000" w:themeColor="text1"/>
          <w:kern w:val="0"/>
          <w:sz w:val="21"/>
          <w:szCs w:val="21"/>
          <w:lang w:val="fr-FR" w:bidi="fr-FR"/>
          <w14:ligatures w14:val="none"/>
        </w:rPr>
        <w:t>inspecteur</w:t>
      </w:r>
      <w:r w:rsidRPr="00D91F04">
        <w:rPr>
          <w:rFonts w:ascii="Verdana" w:hAnsi="Verdana"/>
          <w:iCs/>
          <w:color w:val="000000" w:themeColor="text1"/>
          <w:kern w:val="0"/>
          <w:sz w:val="21"/>
          <w:szCs w:val="21"/>
          <w:lang w:val="fr-FR" w:bidi="fr-FR"/>
          <w14:ligatures w14:val="none"/>
        </w:rPr>
        <w:t> » désigne un agent autorisé par la législation nationale d’une Partie à effectuer des opérations de suivi, de contrôle ou de surveillance des pêches et à en rendre compte à l’autorité nationale compétente en matière de suivi, de contrôle et de surveillance des pêches ;</w:t>
      </w:r>
    </w:p>
    <w:p w14:paraId="4EC436B9" w14:textId="77777777" w:rsidR="00D91F04" w:rsidRPr="00D91F04" w:rsidRDefault="00D91F04" w:rsidP="00D91F04">
      <w:pPr>
        <w:spacing w:after="120" w:line="276" w:lineRule="auto"/>
        <w:jc w:val="both"/>
        <w:rPr>
          <w:rFonts w:ascii="Verdana" w:hAnsi="Verdana"/>
          <w:bCs/>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On entend par « </w:t>
      </w:r>
      <w:r w:rsidRPr="00D91F04">
        <w:rPr>
          <w:rFonts w:ascii="Verdana" w:hAnsi="Verdana"/>
          <w:b/>
          <w:iCs/>
          <w:color w:val="000000" w:themeColor="text1"/>
          <w:kern w:val="0"/>
          <w:sz w:val="21"/>
          <w:szCs w:val="21"/>
          <w:lang w:val="fr-FR" w:bidi="fr-FR"/>
          <w14:ligatures w14:val="none"/>
        </w:rPr>
        <w:t>zone maritime</w:t>
      </w:r>
      <w:r w:rsidRPr="00D91F04">
        <w:rPr>
          <w:rFonts w:ascii="Verdana" w:hAnsi="Verdana"/>
          <w:iCs/>
          <w:color w:val="000000" w:themeColor="text1"/>
          <w:kern w:val="0"/>
          <w:sz w:val="21"/>
          <w:szCs w:val="21"/>
          <w:lang w:val="fr-FR" w:bidi="fr-FR"/>
          <w14:ligatures w14:val="none"/>
        </w:rPr>
        <w:t xml:space="preserve"> » la zone située à l’intérieur de la zone de coopération définie à l’annexe 1 et les zones situées au-delà de la juridiction nationale des Parties dans lesquelles les navires battant pavillon de celles-ci mènent des activités de pêche ou des activités liées à la pêche ;  </w:t>
      </w:r>
    </w:p>
    <w:p w14:paraId="58742548" w14:textId="77777777" w:rsidR="00D91F04" w:rsidRPr="00D91F04" w:rsidRDefault="00D91F04" w:rsidP="00D91F04">
      <w:pPr>
        <w:spacing w:after="120" w:line="276" w:lineRule="auto"/>
        <w:jc w:val="both"/>
        <w:rPr>
          <w:rFonts w:ascii="Verdana" w:hAnsi="Verdana"/>
          <w:bCs/>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 xml:space="preserve">On entend par </w:t>
      </w:r>
      <w:r w:rsidRPr="00D91F04">
        <w:rPr>
          <w:rFonts w:ascii="Verdana" w:hAnsi="Verdana"/>
          <w:b/>
          <w:iCs/>
          <w:color w:val="000000" w:themeColor="text1"/>
          <w:kern w:val="0"/>
          <w:sz w:val="21"/>
          <w:szCs w:val="21"/>
          <w:lang w:val="fr-FR" w:bidi="fr-FR"/>
          <w14:ligatures w14:val="none"/>
        </w:rPr>
        <w:t xml:space="preserve">« suivi, contrôle et surveillance » </w:t>
      </w:r>
      <w:r w:rsidRPr="00D91F04">
        <w:rPr>
          <w:rFonts w:ascii="Verdana" w:hAnsi="Verdana"/>
          <w:iCs/>
          <w:color w:val="000000" w:themeColor="text1"/>
          <w:kern w:val="0"/>
          <w:sz w:val="21"/>
          <w:szCs w:val="21"/>
          <w:lang w:val="fr-FR" w:bidi="fr-FR"/>
          <w14:ligatures w14:val="none"/>
        </w:rPr>
        <w:t xml:space="preserve">le suivi, le contrôle et la surveillance de la pêche et des activités liées à la pêche aux fins de l’application de la réglementation dans ce domaine ;  </w:t>
      </w:r>
    </w:p>
    <w:p w14:paraId="7AC71F55" w14:textId="77777777" w:rsidR="00D91F04" w:rsidRPr="00D91F04" w:rsidRDefault="00D91F04" w:rsidP="00D91F04">
      <w:pPr>
        <w:spacing w:after="120" w:line="276" w:lineRule="auto"/>
        <w:jc w:val="both"/>
        <w:rPr>
          <w:rFonts w:ascii="Verdana" w:hAnsi="Verdana"/>
          <w:bCs/>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 xml:space="preserve">On entend par </w:t>
      </w:r>
      <w:r w:rsidRPr="00D91F04">
        <w:rPr>
          <w:rFonts w:ascii="Verdana" w:hAnsi="Verdana"/>
          <w:b/>
          <w:iCs/>
          <w:color w:val="000000" w:themeColor="text1"/>
          <w:kern w:val="0"/>
          <w:sz w:val="21"/>
          <w:szCs w:val="21"/>
          <w:lang w:val="fr-FR" w:bidi="fr-FR"/>
          <w14:ligatures w14:val="none"/>
        </w:rPr>
        <w:t>« outils de suivi, de contrôle et de surveillance »</w:t>
      </w:r>
      <w:r w:rsidRPr="00D91F04">
        <w:rPr>
          <w:rFonts w:ascii="Verdana" w:hAnsi="Verdana"/>
          <w:iCs/>
          <w:color w:val="000000" w:themeColor="text1"/>
          <w:kern w:val="0"/>
          <w:sz w:val="21"/>
          <w:szCs w:val="21"/>
          <w:lang w:val="fr-FR" w:bidi="fr-FR"/>
          <w14:ligatures w14:val="none"/>
        </w:rPr>
        <w:t xml:space="preserve"> les moyens et méthodes conventionnels et </w:t>
      </w:r>
      <w:proofErr w:type="gramStart"/>
      <w:r w:rsidRPr="00D91F04">
        <w:rPr>
          <w:rFonts w:ascii="Verdana" w:hAnsi="Verdana"/>
          <w:iCs/>
          <w:color w:val="000000" w:themeColor="text1"/>
          <w:kern w:val="0"/>
          <w:sz w:val="21"/>
          <w:szCs w:val="21"/>
          <w:lang w:val="fr-FR" w:bidi="fr-FR"/>
          <w14:ligatures w14:val="none"/>
        </w:rPr>
        <w:t>techniques utilisés</w:t>
      </w:r>
      <w:proofErr w:type="gramEnd"/>
      <w:r w:rsidRPr="00D91F04">
        <w:rPr>
          <w:rFonts w:ascii="Verdana" w:hAnsi="Verdana"/>
          <w:iCs/>
          <w:color w:val="000000" w:themeColor="text1"/>
          <w:kern w:val="0"/>
          <w:sz w:val="21"/>
          <w:szCs w:val="21"/>
          <w:lang w:val="fr-FR" w:bidi="fr-FR"/>
          <w14:ligatures w14:val="none"/>
        </w:rPr>
        <w:t xml:space="preserve"> au niveau national aux fins du suivi, du contrôle et de la surveillance des pêches ;</w:t>
      </w:r>
    </w:p>
    <w:p w14:paraId="4409FA76" w14:textId="77777777" w:rsidR="00D91F04" w:rsidRPr="00D91F04" w:rsidRDefault="00D91F04" w:rsidP="00D91F04">
      <w:pPr>
        <w:spacing w:after="120" w:line="276" w:lineRule="auto"/>
        <w:jc w:val="both"/>
        <w:rPr>
          <w:rFonts w:ascii="Verdana" w:hAnsi="Verdana"/>
          <w:bCs/>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 xml:space="preserve">Le terme </w:t>
      </w:r>
      <w:r w:rsidRPr="00D91F04">
        <w:rPr>
          <w:rFonts w:ascii="Verdana" w:hAnsi="Verdana"/>
          <w:b/>
          <w:iCs/>
          <w:color w:val="000000" w:themeColor="text1"/>
          <w:kern w:val="0"/>
          <w:sz w:val="21"/>
          <w:szCs w:val="21"/>
          <w:lang w:val="fr-FR" w:bidi="fr-FR"/>
          <w14:ligatures w14:val="none"/>
        </w:rPr>
        <w:t>« observateur »</w:t>
      </w:r>
      <w:r w:rsidRPr="00D91F04">
        <w:rPr>
          <w:rFonts w:ascii="Verdana" w:hAnsi="Verdana"/>
          <w:iCs/>
          <w:color w:val="000000" w:themeColor="text1"/>
          <w:kern w:val="0"/>
          <w:sz w:val="21"/>
          <w:szCs w:val="21"/>
          <w:lang w:val="fr-FR" w:bidi="fr-FR"/>
          <w14:ligatures w14:val="none"/>
        </w:rPr>
        <w:t xml:space="preserve"> désigne toute personne autorisée par la législation nationale et désignée par une Partie pour monter à bord d’un navire de pêche </w:t>
      </w:r>
      <w:r w:rsidRPr="00D91F04">
        <w:rPr>
          <w:rFonts w:ascii="Verdana" w:hAnsi="Verdana"/>
          <w:iCs/>
          <w:color w:val="000000" w:themeColor="text1"/>
          <w:kern w:val="0"/>
          <w:sz w:val="21"/>
          <w:szCs w:val="21"/>
          <w:lang w:val="fr-FR" w:bidi="fr-FR"/>
          <w14:ligatures w14:val="none"/>
        </w:rPr>
        <w:lastRenderedPageBreak/>
        <w:t xml:space="preserve">détenteur d’une licence afin de surveiller l’activité de pêche dans la zone maritime concernée et d’en rendre compte à l’autorité nationale compétente désignée en tant qu’autorité responsable des observateurs des pêches ;  </w:t>
      </w:r>
    </w:p>
    <w:p w14:paraId="4DDA6100" w14:textId="77777777" w:rsidR="00D91F04" w:rsidRPr="00D91F04" w:rsidRDefault="00D91F04" w:rsidP="00D91F04">
      <w:pPr>
        <w:spacing w:after="120" w:line="276" w:lineRule="auto"/>
        <w:jc w:val="both"/>
        <w:rPr>
          <w:rFonts w:ascii="Verdana" w:hAnsi="Verdana"/>
          <w:bCs/>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 xml:space="preserve">On entend par </w:t>
      </w:r>
      <w:r w:rsidRPr="00D91F04">
        <w:rPr>
          <w:rFonts w:ascii="Verdana" w:hAnsi="Verdana"/>
          <w:b/>
          <w:iCs/>
          <w:color w:val="000000" w:themeColor="text1"/>
          <w:kern w:val="0"/>
          <w:sz w:val="21"/>
          <w:szCs w:val="21"/>
          <w:lang w:val="fr-FR" w:bidi="fr-FR"/>
          <w14:ligatures w14:val="none"/>
        </w:rPr>
        <w:t>« États participants »</w:t>
      </w:r>
      <w:r w:rsidRPr="00D91F04">
        <w:rPr>
          <w:rFonts w:ascii="Verdana" w:hAnsi="Verdana"/>
          <w:iCs/>
          <w:color w:val="000000" w:themeColor="text1"/>
          <w:kern w:val="0"/>
          <w:sz w:val="21"/>
          <w:szCs w:val="21"/>
          <w:lang w:val="fr-FR" w:bidi="fr-FR"/>
          <w14:ligatures w14:val="none"/>
        </w:rPr>
        <w:t xml:space="preserve"> les États qui ont signé la déclaration adoptée en 2007 par la Conférence ministérielle de la COI, les membres de la COI, le Kenya, le Mozambique, la Tanzanie et la Somalie ;   </w:t>
      </w:r>
    </w:p>
    <w:p w14:paraId="4DC81890" w14:textId="665AE18D" w:rsidR="00D91F04" w:rsidRPr="00D91F04" w:rsidRDefault="00D91F04" w:rsidP="00D91F04">
      <w:pPr>
        <w:spacing w:after="120" w:line="276" w:lineRule="auto"/>
        <w:jc w:val="both"/>
        <w:rPr>
          <w:rFonts w:ascii="Verdana" w:hAnsi="Verdana"/>
          <w:bCs/>
          <w:iCs/>
          <w:color w:val="000000" w:themeColor="text1"/>
          <w:spacing w:val="-4"/>
          <w:kern w:val="0"/>
          <w:sz w:val="21"/>
          <w:szCs w:val="21"/>
          <w:lang w:val="fr-FR"/>
          <w14:ligatures w14:val="none"/>
        </w:rPr>
      </w:pPr>
      <w:r w:rsidRPr="00D91F04">
        <w:rPr>
          <w:rFonts w:ascii="Verdana" w:hAnsi="Verdana"/>
          <w:iCs/>
          <w:color w:val="000000" w:themeColor="text1"/>
          <w:spacing w:val="-4"/>
          <w:kern w:val="0"/>
          <w:sz w:val="21"/>
          <w:szCs w:val="21"/>
          <w:lang w:val="fr-FR" w:bidi="fr-FR"/>
          <w14:ligatures w14:val="none"/>
        </w:rPr>
        <w:t>On entend par « </w:t>
      </w:r>
      <w:r w:rsidR="00810080" w:rsidRPr="00810080">
        <w:rPr>
          <w:rFonts w:ascii="Verdana" w:hAnsi="Verdana"/>
          <w:b/>
          <w:iCs/>
          <w:color w:val="000000" w:themeColor="text1"/>
          <w:spacing w:val="-4"/>
          <w:kern w:val="0"/>
          <w:sz w:val="21"/>
          <w:szCs w:val="21"/>
          <w:lang w:val="fr-FR" w:bidi="fr-FR"/>
          <w14:ligatures w14:val="none"/>
        </w:rPr>
        <w:t xml:space="preserve">Centre de Suivi, de Contrôle, de Surveillance et d'Observation des </w:t>
      </w:r>
      <w:proofErr w:type="gramStart"/>
      <w:r w:rsidR="00810080" w:rsidRPr="00810080">
        <w:rPr>
          <w:rFonts w:ascii="Verdana" w:hAnsi="Verdana"/>
          <w:b/>
          <w:iCs/>
          <w:color w:val="000000" w:themeColor="text1"/>
          <w:spacing w:val="-4"/>
          <w:kern w:val="0"/>
          <w:sz w:val="21"/>
          <w:szCs w:val="21"/>
          <w:lang w:val="fr-FR" w:bidi="fr-FR"/>
          <w14:ligatures w14:val="none"/>
        </w:rPr>
        <w:t>Pêches</w:t>
      </w:r>
      <w:r w:rsidRPr="00D91F04">
        <w:rPr>
          <w:rFonts w:ascii="Verdana" w:hAnsi="Verdana"/>
          <w:iCs/>
          <w:color w:val="000000" w:themeColor="text1"/>
          <w:spacing w:val="-4"/>
          <w:kern w:val="0"/>
          <w:sz w:val="21"/>
          <w:szCs w:val="21"/>
          <w:lang w:val="fr-FR" w:bidi="fr-FR"/>
          <w14:ligatures w14:val="none"/>
        </w:rPr>
        <w:t>»</w:t>
      </w:r>
      <w:proofErr w:type="gramEnd"/>
      <w:r w:rsidRPr="00D91F04">
        <w:rPr>
          <w:rFonts w:ascii="Verdana" w:hAnsi="Verdana"/>
          <w:b/>
          <w:iCs/>
          <w:color w:val="000000" w:themeColor="text1"/>
          <w:spacing w:val="-4"/>
          <w:kern w:val="0"/>
          <w:sz w:val="21"/>
          <w:szCs w:val="21"/>
          <w:lang w:val="fr-FR" w:bidi="fr-FR"/>
          <w14:ligatures w14:val="none"/>
        </w:rPr>
        <w:t xml:space="preserve"> </w:t>
      </w:r>
      <w:r w:rsidRPr="00D91F04">
        <w:rPr>
          <w:rFonts w:ascii="Verdana" w:hAnsi="Verdana"/>
          <w:iCs/>
          <w:color w:val="000000" w:themeColor="text1"/>
          <w:spacing w:val="-4"/>
          <w:kern w:val="0"/>
          <w:sz w:val="21"/>
          <w:szCs w:val="21"/>
          <w:lang w:val="fr-FR" w:bidi="fr-FR"/>
          <w14:ligatures w14:val="none"/>
        </w:rPr>
        <w:t>(</w:t>
      </w:r>
      <w:r w:rsidR="00810080">
        <w:rPr>
          <w:rFonts w:ascii="Verdana" w:hAnsi="Verdana"/>
          <w:iCs/>
          <w:color w:val="000000" w:themeColor="text1"/>
          <w:spacing w:val="-4"/>
          <w:kern w:val="0"/>
          <w:sz w:val="21"/>
          <w:szCs w:val="21"/>
          <w:lang w:val="fr-FR" w:bidi="fr-FR"/>
          <w14:ligatures w14:val="none"/>
        </w:rPr>
        <w:t>CSCSOP</w:t>
      </w:r>
      <w:r w:rsidRPr="00D91F04">
        <w:rPr>
          <w:rFonts w:ascii="Verdana" w:hAnsi="Verdana"/>
          <w:iCs/>
          <w:color w:val="000000" w:themeColor="text1"/>
          <w:spacing w:val="-4"/>
          <w:kern w:val="0"/>
          <w:sz w:val="21"/>
          <w:szCs w:val="21"/>
          <w:vertAlign w:val="superscript"/>
          <w:lang w:val="fr-FR" w:bidi="fr-FR"/>
          <w14:ligatures w14:val="none"/>
        </w:rPr>
        <w:footnoteReference w:id="1"/>
      </w:r>
      <w:r w:rsidRPr="00D91F04">
        <w:rPr>
          <w:rFonts w:ascii="Verdana" w:hAnsi="Verdana"/>
          <w:iCs/>
          <w:color w:val="000000" w:themeColor="text1"/>
          <w:spacing w:val="-4"/>
          <w:kern w:val="0"/>
          <w:sz w:val="21"/>
          <w:szCs w:val="21"/>
          <w:lang w:val="fr-FR" w:bidi="fr-FR"/>
          <w14:ligatures w14:val="none"/>
        </w:rPr>
        <w:t xml:space="preserve">) le plan sous-régional relatif au suivi, au contrôle et à la surveillance des pêches établi par la Commission de l’océan Indien en 2007, qui comprend tout dispositif institutionnel convenu ou désigné ultérieurement, notamment le « Centre régional de suivi, de contrôle, de surveillance et d’observation des pêches » ; </w:t>
      </w:r>
    </w:p>
    <w:p w14:paraId="106324CE" w14:textId="77777777" w:rsidR="00D91F04" w:rsidRPr="00D91F04" w:rsidRDefault="00D91F04" w:rsidP="00D91F04">
      <w:pPr>
        <w:spacing w:after="120" w:line="276" w:lineRule="auto"/>
        <w:jc w:val="both"/>
        <w:rPr>
          <w:rFonts w:ascii="Verdana" w:hAnsi="Verdana"/>
          <w:bCs/>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On entend par « </w:t>
      </w:r>
      <w:r w:rsidRPr="00D91F04">
        <w:rPr>
          <w:rFonts w:ascii="Verdana" w:hAnsi="Verdana"/>
          <w:b/>
          <w:iCs/>
          <w:color w:val="000000" w:themeColor="text1"/>
          <w:kern w:val="0"/>
          <w:sz w:val="21"/>
          <w:szCs w:val="21"/>
          <w:lang w:val="fr-FR" w:bidi="fr-FR"/>
          <w14:ligatures w14:val="none"/>
        </w:rPr>
        <w:t>unité de coordination régionale</w:t>
      </w:r>
      <w:r w:rsidRPr="00D91F04">
        <w:rPr>
          <w:rFonts w:ascii="Verdana" w:hAnsi="Verdana"/>
          <w:iCs/>
          <w:color w:val="000000" w:themeColor="text1"/>
          <w:kern w:val="0"/>
          <w:sz w:val="21"/>
          <w:szCs w:val="21"/>
          <w:lang w:val="fr-FR" w:bidi="fr-FR"/>
          <w14:ligatures w14:val="none"/>
        </w:rPr>
        <w:t> » (UCR) l’unité de coordination régionale du Plan régional de surveillance des pêches de la Commission de l’océan Indien décrite à l’alinéa b du paragraphe 1 de l’article 2, dont les États participants sont membres et qui relève de la COI ;</w:t>
      </w:r>
    </w:p>
    <w:p w14:paraId="4687BA2B" w14:textId="7CBA9BCB" w:rsidR="00D91F04" w:rsidRPr="00D91F04" w:rsidRDefault="00D91F04" w:rsidP="00D91F04">
      <w:pPr>
        <w:spacing w:after="120" w:line="276" w:lineRule="auto"/>
        <w:jc w:val="both"/>
        <w:rPr>
          <w:rFonts w:ascii="Verdana" w:hAnsi="Verdana"/>
          <w:bCs/>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 xml:space="preserve">On entend par </w:t>
      </w:r>
      <w:r w:rsidRPr="00D91F04">
        <w:rPr>
          <w:rFonts w:ascii="Verdana" w:hAnsi="Verdana"/>
          <w:b/>
          <w:iCs/>
          <w:color w:val="000000" w:themeColor="text1"/>
          <w:kern w:val="0"/>
          <w:sz w:val="21"/>
          <w:szCs w:val="21"/>
          <w:lang w:val="fr-FR" w:bidi="fr-FR"/>
          <w14:ligatures w14:val="none"/>
        </w:rPr>
        <w:t>« Groupe de travail des responsables des programmes nationaux d’observateurs »</w:t>
      </w:r>
      <w:r w:rsidRPr="00D91F04">
        <w:rPr>
          <w:rFonts w:ascii="Verdana" w:hAnsi="Verdana"/>
          <w:iCs/>
          <w:color w:val="000000" w:themeColor="text1"/>
          <w:kern w:val="0"/>
          <w:sz w:val="21"/>
          <w:szCs w:val="21"/>
          <w:lang w:val="fr-FR" w:bidi="fr-FR"/>
          <w14:ligatures w14:val="none"/>
        </w:rPr>
        <w:t xml:space="preserve"> (GT-</w:t>
      </w:r>
      <w:proofErr w:type="spellStart"/>
      <w:r w:rsidRPr="00D91F04">
        <w:rPr>
          <w:rFonts w:ascii="Verdana" w:hAnsi="Verdana"/>
          <w:iCs/>
          <w:color w:val="000000" w:themeColor="text1"/>
          <w:kern w:val="0"/>
          <w:sz w:val="21"/>
          <w:szCs w:val="21"/>
          <w:lang w:val="fr-FR" w:bidi="fr-FR"/>
          <w14:ligatures w14:val="none"/>
        </w:rPr>
        <w:t>rPNO</w:t>
      </w:r>
      <w:proofErr w:type="spellEnd"/>
      <w:r w:rsidRPr="00D91F04">
        <w:rPr>
          <w:rFonts w:ascii="Verdana" w:hAnsi="Verdana"/>
          <w:iCs/>
          <w:color w:val="000000" w:themeColor="text1"/>
          <w:kern w:val="0"/>
          <w:sz w:val="21"/>
          <w:szCs w:val="21"/>
          <w:lang w:val="fr-FR" w:bidi="fr-FR"/>
          <w14:ligatures w14:val="none"/>
        </w:rPr>
        <w:t xml:space="preserve">) le Groupe de travail des responsables des programmes nationaux d’observateurs de la Commission de l’océan Indien décrit à l’alinéa c du paragraphe 1 de l’article 2, dont les États participants sont membres et qui relève de la compétence de </w:t>
      </w:r>
      <w:r w:rsidR="00810080">
        <w:rPr>
          <w:rFonts w:ascii="Verdana" w:hAnsi="Verdana"/>
          <w:iCs/>
          <w:color w:val="000000" w:themeColor="text1"/>
          <w:kern w:val="0"/>
          <w:sz w:val="21"/>
          <w:szCs w:val="21"/>
          <w:lang w:val="fr-FR" w:bidi="fr-FR"/>
          <w14:ligatures w14:val="none"/>
        </w:rPr>
        <w:t>Comité de pilotage</w:t>
      </w:r>
      <w:r w:rsidRPr="00D91F04">
        <w:rPr>
          <w:rFonts w:ascii="Verdana" w:hAnsi="Verdana"/>
          <w:iCs/>
          <w:color w:val="000000" w:themeColor="text1"/>
          <w:kern w:val="0"/>
          <w:sz w:val="21"/>
          <w:szCs w:val="21"/>
          <w:lang w:val="fr-FR" w:bidi="fr-FR"/>
          <w14:ligatures w14:val="none"/>
        </w:rPr>
        <w:t xml:space="preserve">. </w:t>
      </w:r>
    </w:p>
    <w:p w14:paraId="5FFDDA76" w14:textId="77777777" w:rsidR="00D91F04" w:rsidRPr="00D91F04" w:rsidRDefault="00D91F04" w:rsidP="00D91F04">
      <w:pPr>
        <w:spacing w:after="120" w:line="276" w:lineRule="auto"/>
        <w:jc w:val="both"/>
        <w:rPr>
          <w:rFonts w:ascii="Verdana" w:hAnsi="Verdana"/>
          <w:bCs/>
          <w:iCs/>
          <w:color w:val="000000" w:themeColor="text1"/>
          <w:kern w:val="0"/>
          <w:sz w:val="21"/>
          <w:szCs w:val="21"/>
          <w:lang w:val="fr-FR"/>
          <w14:ligatures w14:val="none"/>
        </w:rPr>
      </w:pPr>
    </w:p>
    <w:p w14:paraId="28B2CEB7"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lang w:val="fr-FR"/>
          <w14:ligatures w14:val="none"/>
        </w:rPr>
      </w:pPr>
      <w:r w:rsidRPr="00D91F04">
        <w:rPr>
          <w:rFonts w:ascii="Verdana" w:hAnsi="Verdana"/>
          <w:b/>
          <w:iCs/>
          <w:color w:val="00928F"/>
          <w:kern w:val="0"/>
          <w:sz w:val="28"/>
          <w:szCs w:val="28"/>
          <w:lang w:val="fr-FR" w:bidi="fr-FR"/>
          <w14:ligatures w14:val="none"/>
        </w:rPr>
        <w:t>Article 2</w:t>
      </w:r>
    </w:p>
    <w:p w14:paraId="6EB100E5"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lang w:val="fr-FR"/>
          <w14:ligatures w14:val="none"/>
        </w:rPr>
      </w:pPr>
      <w:r w:rsidRPr="00D91F04">
        <w:rPr>
          <w:rFonts w:ascii="Verdana" w:hAnsi="Verdana"/>
          <w:b/>
          <w:iCs/>
          <w:color w:val="00928F"/>
          <w:kern w:val="0"/>
          <w:sz w:val="28"/>
          <w:szCs w:val="28"/>
          <w:lang w:val="fr-FR" w:bidi="fr-FR"/>
          <w14:ligatures w14:val="none"/>
        </w:rPr>
        <w:t xml:space="preserve">Rôle, responsabilités et organisation de la Commission </w:t>
      </w:r>
      <w:r w:rsidRPr="00D91F04">
        <w:rPr>
          <w:rFonts w:ascii="Verdana" w:hAnsi="Verdana"/>
          <w:b/>
          <w:iCs/>
          <w:color w:val="00928F"/>
          <w:kern w:val="0"/>
          <w:sz w:val="28"/>
          <w:szCs w:val="28"/>
          <w:lang w:val="fr-FR" w:bidi="fr-FR"/>
          <w14:ligatures w14:val="none"/>
        </w:rPr>
        <w:br/>
        <w:t xml:space="preserve">de l’océan Indien </w:t>
      </w:r>
    </w:p>
    <w:p w14:paraId="177C36CC" w14:textId="72142891" w:rsidR="00D91F04" w:rsidRPr="00D91F04" w:rsidRDefault="00D91F04" w:rsidP="00D91F04">
      <w:pPr>
        <w:numPr>
          <w:ilvl w:val="0"/>
          <w:numId w:val="11"/>
        </w:numPr>
        <w:spacing w:after="120" w:line="276" w:lineRule="auto"/>
        <w:jc w:val="both"/>
        <w:rPr>
          <w:rFonts w:ascii="Verdana" w:hAnsi="Verdana"/>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 xml:space="preserve">Le rôle de la COI dans le cadre du </w:t>
      </w:r>
      <w:r w:rsidR="00810080">
        <w:rPr>
          <w:rFonts w:ascii="Verdana" w:hAnsi="Verdana"/>
          <w:iCs/>
          <w:color w:val="000000" w:themeColor="text1"/>
          <w:kern w:val="0"/>
          <w:sz w:val="21"/>
          <w:szCs w:val="21"/>
          <w:lang w:val="fr-FR" w:bidi="fr-FR"/>
          <w14:ligatures w14:val="none"/>
        </w:rPr>
        <w:t>CSCSOP</w:t>
      </w:r>
      <w:r w:rsidRPr="00D91F04">
        <w:rPr>
          <w:rFonts w:ascii="Verdana" w:hAnsi="Verdana"/>
          <w:iCs/>
          <w:color w:val="000000" w:themeColor="text1"/>
          <w:kern w:val="0"/>
          <w:sz w:val="21"/>
          <w:szCs w:val="21"/>
          <w:lang w:val="fr-FR" w:bidi="fr-FR"/>
          <w14:ligatures w14:val="none"/>
        </w:rPr>
        <w:t xml:space="preserve"> est de faire office de plateforme pour l’échange d’informations, et les Parties s’engagent à coopérer avec la COI pour faciliter la mise en œuvre et la coordination des activités pertinentes, notamment : </w:t>
      </w:r>
    </w:p>
    <w:p w14:paraId="134EEF47" w14:textId="77777777" w:rsidR="00D91F04" w:rsidRPr="00D91F04" w:rsidRDefault="00D91F04" w:rsidP="00D91F04">
      <w:pPr>
        <w:numPr>
          <w:ilvl w:val="0"/>
          <w:numId w:val="8"/>
        </w:numPr>
        <w:tabs>
          <w:tab w:val="left" w:pos="851"/>
        </w:tabs>
        <w:spacing w:after="120" w:line="276" w:lineRule="auto"/>
        <w:ind w:left="1276" w:hanging="709"/>
        <w:jc w:val="both"/>
        <w:rPr>
          <w:rFonts w:ascii="Verdana" w:hAnsi="Verdana"/>
          <w:iCs/>
          <w:color w:val="000000" w:themeColor="text1"/>
          <w:kern w:val="0"/>
          <w:sz w:val="21"/>
          <w:szCs w:val="21"/>
          <w:lang w:val="fr-FR"/>
          <w14:ligatures w14:val="none"/>
        </w:rPr>
      </w:pPr>
      <w:proofErr w:type="gramStart"/>
      <w:r w:rsidRPr="00D91F04">
        <w:rPr>
          <w:rFonts w:ascii="Verdana" w:hAnsi="Verdana"/>
          <w:iCs/>
          <w:color w:val="000000" w:themeColor="text1"/>
          <w:kern w:val="0"/>
          <w:sz w:val="21"/>
          <w:szCs w:val="21"/>
          <w:lang w:val="fr-FR" w:bidi="fr-FR"/>
          <w14:ligatures w14:val="none"/>
        </w:rPr>
        <w:t>mobiliser</w:t>
      </w:r>
      <w:proofErr w:type="gramEnd"/>
      <w:r w:rsidRPr="00D91F04">
        <w:rPr>
          <w:rFonts w:ascii="Verdana" w:hAnsi="Verdana"/>
          <w:iCs/>
          <w:color w:val="000000" w:themeColor="text1"/>
          <w:kern w:val="0"/>
          <w:sz w:val="21"/>
          <w:szCs w:val="21"/>
          <w:lang w:val="fr-FR" w:bidi="fr-FR"/>
          <w14:ligatures w14:val="none"/>
        </w:rPr>
        <w:t xml:space="preserve"> l’appui financier et technique nécessaire :</w:t>
      </w:r>
    </w:p>
    <w:p w14:paraId="563E2EFD" w14:textId="77777777" w:rsidR="00D91F04" w:rsidRPr="00D91F04" w:rsidRDefault="00D91F04" w:rsidP="00D91F04">
      <w:pPr>
        <w:numPr>
          <w:ilvl w:val="0"/>
          <w:numId w:val="9"/>
        </w:numPr>
        <w:spacing w:after="120" w:line="276" w:lineRule="auto"/>
        <w:ind w:left="1560" w:hanging="426"/>
        <w:jc w:val="both"/>
        <w:rPr>
          <w:rFonts w:ascii="Verdana" w:hAnsi="Verdana"/>
          <w:iCs/>
          <w:color w:val="000000" w:themeColor="text1"/>
          <w:kern w:val="0"/>
          <w:sz w:val="21"/>
          <w:szCs w:val="21"/>
          <w:lang w:val="fr-FR"/>
          <w14:ligatures w14:val="none"/>
        </w:rPr>
      </w:pPr>
      <w:proofErr w:type="gramStart"/>
      <w:r w:rsidRPr="00D91F04">
        <w:rPr>
          <w:rFonts w:ascii="Verdana" w:hAnsi="Verdana"/>
          <w:iCs/>
          <w:color w:val="000000" w:themeColor="text1"/>
          <w:kern w:val="0"/>
          <w:sz w:val="21"/>
          <w:szCs w:val="21"/>
          <w:lang w:val="fr-FR" w:bidi="fr-FR"/>
          <w14:ligatures w14:val="none"/>
        </w:rPr>
        <w:t>à</w:t>
      </w:r>
      <w:proofErr w:type="gramEnd"/>
      <w:r w:rsidRPr="00D91F04">
        <w:rPr>
          <w:rFonts w:ascii="Verdana" w:hAnsi="Verdana"/>
          <w:iCs/>
          <w:color w:val="000000" w:themeColor="text1"/>
          <w:kern w:val="0"/>
          <w:sz w:val="21"/>
          <w:szCs w:val="21"/>
          <w:lang w:val="fr-FR" w:bidi="fr-FR"/>
          <w14:ligatures w14:val="none"/>
        </w:rPr>
        <w:t xml:space="preserve"> la désignation d’un « coordonnateur régional des observateurs » chargé de suivre la mise en œuvre et la coordination des missions d’observation régionale menées en coopération, </w:t>
      </w:r>
    </w:p>
    <w:p w14:paraId="2A9D8298" w14:textId="77777777" w:rsidR="00D91F04" w:rsidRPr="00D91F04" w:rsidRDefault="00D91F04" w:rsidP="00D91F04">
      <w:pPr>
        <w:numPr>
          <w:ilvl w:val="0"/>
          <w:numId w:val="9"/>
        </w:numPr>
        <w:spacing w:after="120" w:line="276" w:lineRule="auto"/>
        <w:ind w:left="1560" w:hanging="426"/>
        <w:jc w:val="both"/>
        <w:rPr>
          <w:rFonts w:ascii="Verdana" w:hAnsi="Verdana"/>
          <w:iCs/>
          <w:color w:val="000000" w:themeColor="text1"/>
          <w:kern w:val="0"/>
          <w:sz w:val="21"/>
          <w:szCs w:val="21"/>
          <w:lang w:val="fr-FR"/>
          <w14:ligatures w14:val="none"/>
        </w:rPr>
      </w:pPr>
      <w:proofErr w:type="gramStart"/>
      <w:r w:rsidRPr="00D91F04">
        <w:rPr>
          <w:rFonts w:ascii="Verdana" w:hAnsi="Verdana"/>
          <w:iCs/>
          <w:color w:val="000000" w:themeColor="text1"/>
          <w:kern w:val="0"/>
          <w:sz w:val="21"/>
          <w:szCs w:val="21"/>
          <w:lang w:val="fr-FR" w:bidi="fr-FR"/>
          <w14:ligatures w14:val="none"/>
        </w:rPr>
        <w:t>à</w:t>
      </w:r>
      <w:proofErr w:type="gramEnd"/>
      <w:r w:rsidRPr="00D91F04">
        <w:rPr>
          <w:rFonts w:ascii="Verdana" w:hAnsi="Verdana"/>
          <w:iCs/>
          <w:color w:val="000000" w:themeColor="text1"/>
          <w:kern w:val="0"/>
          <w:sz w:val="21"/>
          <w:szCs w:val="21"/>
          <w:lang w:val="fr-FR" w:bidi="fr-FR"/>
          <w14:ligatures w14:val="none"/>
        </w:rPr>
        <w:t xml:space="preserve"> la mise au point, à la maintenance et à l’hébergement d’outils de partage de données pour l’échange rapide et régulier de données d’observation entre les Parties, tel que défini à l’</w:t>
      </w:r>
      <w:r w:rsidR="00AD08B3">
        <w:fldChar w:fldCharType="begin"/>
      </w:r>
      <w:r w:rsidR="00AD08B3" w:rsidRPr="00AD08B3">
        <w:rPr>
          <w:lang w:val="fr-FR"/>
        </w:rPr>
        <w:instrText>HYPERLINK \l "_Annexe_2_-"</w:instrText>
      </w:r>
      <w:r w:rsidR="00AD08B3">
        <w:fldChar w:fldCharType="separate"/>
      </w:r>
      <w:r w:rsidRPr="00D91F04">
        <w:rPr>
          <w:rFonts w:ascii="Verdana" w:hAnsi="Verdana"/>
          <w:iCs/>
          <w:color w:val="00B0F0"/>
          <w:kern w:val="0"/>
          <w:sz w:val="21"/>
          <w:szCs w:val="21"/>
          <w:u w:val="single"/>
          <w:lang w:val="fr-FR" w:bidi="fr-FR"/>
          <w14:ligatures w14:val="none"/>
        </w:rPr>
        <w:t>annexe 3</w:t>
      </w:r>
      <w:r w:rsidR="00AD08B3">
        <w:rPr>
          <w:rFonts w:ascii="Verdana" w:hAnsi="Verdana"/>
          <w:iCs/>
          <w:color w:val="00B0F0"/>
          <w:kern w:val="0"/>
          <w:sz w:val="21"/>
          <w:szCs w:val="21"/>
          <w:u w:val="single"/>
          <w:lang w:val="fr-FR" w:bidi="fr-FR"/>
          <w14:ligatures w14:val="none"/>
        </w:rPr>
        <w:fldChar w:fldCharType="end"/>
      </w:r>
      <w:r w:rsidRPr="00D91F04">
        <w:rPr>
          <w:rFonts w:ascii="Verdana" w:hAnsi="Verdana"/>
          <w:iCs/>
          <w:color w:val="000000" w:themeColor="text1"/>
          <w:kern w:val="0"/>
          <w:sz w:val="21"/>
          <w:szCs w:val="21"/>
          <w:lang w:val="fr-FR" w:bidi="fr-FR"/>
          <w14:ligatures w14:val="none"/>
        </w:rPr>
        <w:t xml:space="preserve"> du présent Accord, notamment aux fins du stockage, de l’agrégation et de l’échange de données et d’informations reçues par l’intermédiaire de la base de données </w:t>
      </w:r>
      <w:proofErr w:type="spellStart"/>
      <w:r w:rsidRPr="00D91F04">
        <w:rPr>
          <w:rFonts w:ascii="Verdana" w:hAnsi="Verdana"/>
          <w:iCs/>
          <w:color w:val="000000" w:themeColor="text1"/>
          <w:kern w:val="0"/>
          <w:sz w:val="21"/>
          <w:szCs w:val="21"/>
          <w:lang w:val="fr-FR" w:bidi="fr-FR"/>
          <w14:ligatures w14:val="none"/>
        </w:rPr>
        <w:t>StaRFISH</w:t>
      </w:r>
      <w:proofErr w:type="spellEnd"/>
      <w:r w:rsidRPr="00D91F04">
        <w:rPr>
          <w:rFonts w:ascii="Verdana" w:hAnsi="Verdana"/>
          <w:iCs/>
          <w:color w:val="000000" w:themeColor="text1"/>
          <w:kern w:val="0"/>
          <w:sz w:val="21"/>
          <w:szCs w:val="21"/>
          <w:lang w:val="fr-FR" w:bidi="fr-FR"/>
          <w14:ligatures w14:val="none"/>
        </w:rPr>
        <w:t>,</w:t>
      </w:r>
    </w:p>
    <w:p w14:paraId="77A7BD29" w14:textId="77777777" w:rsidR="00D91F04" w:rsidRPr="00D91F04" w:rsidRDefault="00D91F04" w:rsidP="00D91F04">
      <w:pPr>
        <w:numPr>
          <w:ilvl w:val="0"/>
          <w:numId w:val="9"/>
        </w:numPr>
        <w:spacing w:after="120" w:line="276" w:lineRule="auto"/>
        <w:ind w:left="1560" w:hanging="426"/>
        <w:jc w:val="both"/>
        <w:rPr>
          <w:rFonts w:ascii="Verdana" w:hAnsi="Verdana"/>
          <w:iCs/>
          <w:color w:val="000000" w:themeColor="text1"/>
          <w:kern w:val="0"/>
          <w:sz w:val="21"/>
          <w:szCs w:val="21"/>
          <w:lang w:val="fr-FR"/>
          <w14:ligatures w14:val="none"/>
        </w:rPr>
      </w:pPr>
      <w:proofErr w:type="gramStart"/>
      <w:r w:rsidRPr="00D91F04">
        <w:rPr>
          <w:rFonts w:ascii="Verdana" w:hAnsi="Verdana"/>
          <w:iCs/>
          <w:color w:val="000000" w:themeColor="text1"/>
          <w:kern w:val="0"/>
          <w:sz w:val="21"/>
          <w:szCs w:val="21"/>
          <w:lang w:val="fr-FR" w:bidi="fr-FR"/>
          <w14:ligatures w14:val="none"/>
        </w:rPr>
        <w:t>à</w:t>
      </w:r>
      <w:proofErr w:type="gramEnd"/>
      <w:r w:rsidRPr="00D91F04">
        <w:rPr>
          <w:rFonts w:ascii="Verdana" w:hAnsi="Verdana"/>
          <w:iCs/>
          <w:color w:val="000000" w:themeColor="text1"/>
          <w:kern w:val="0"/>
          <w:sz w:val="21"/>
          <w:szCs w:val="21"/>
          <w:lang w:val="fr-FR" w:bidi="fr-FR"/>
          <w14:ligatures w14:val="none"/>
        </w:rPr>
        <w:t xml:space="preserve"> l’assistance pour la planification et la coordination des déploiements d’observateurs régionaux, et en coopération avec les navires industriels et leurs États du pavillon souhaitant embarquer un observateur du </w:t>
      </w:r>
      <w:r w:rsidRPr="00D91F04">
        <w:rPr>
          <w:rFonts w:ascii="Verdana" w:hAnsi="Verdana"/>
          <w:iCs/>
          <w:color w:val="000000" w:themeColor="text1"/>
          <w:kern w:val="0"/>
          <w:sz w:val="21"/>
          <w:szCs w:val="21"/>
          <w:lang w:val="fr-FR" w:bidi="fr-FR"/>
          <w14:ligatures w14:val="none"/>
        </w:rPr>
        <w:lastRenderedPageBreak/>
        <w:t>programme, à bord des flottes régionales de grands pélagiques (thoniers senneurs et palangriers pélagiques industriels), comme détaillé à l’</w:t>
      </w:r>
      <w:r w:rsidR="00AD08B3">
        <w:fldChar w:fldCharType="begin"/>
      </w:r>
      <w:r w:rsidR="00AD08B3" w:rsidRPr="00AD08B3">
        <w:rPr>
          <w:lang w:val="fr-FR"/>
        </w:rPr>
        <w:instrText>HYPERLINK \l "_Annex_4_-"</w:instrText>
      </w:r>
      <w:r w:rsidR="00AD08B3">
        <w:fldChar w:fldCharType="separate"/>
      </w:r>
      <w:r w:rsidRPr="00D91F04">
        <w:rPr>
          <w:rFonts w:ascii="Verdana" w:hAnsi="Verdana"/>
          <w:iCs/>
          <w:color w:val="00B0F0"/>
          <w:kern w:val="0"/>
          <w:sz w:val="21"/>
          <w:szCs w:val="21"/>
          <w:u w:val="single"/>
          <w:lang w:val="fr-FR" w:bidi="fr-FR"/>
          <w14:ligatures w14:val="none"/>
        </w:rPr>
        <w:t>annexe 4</w:t>
      </w:r>
      <w:r w:rsidR="00AD08B3">
        <w:rPr>
          <w:rFonts w:ascii="Verdana" w:hAnsi="Verdana"/>
          <w:iCs/>
          <w:color w:val="00B0F0"/>
          <w:kern w:val="0"/>
          <w:sz w:val="21"/>
          <w:szCs w:val="21"/>
          <w:u w:val="single"/>
          <w:lang w:val="fr-FR" w:bidi="fr-FR"/>
          <w14:ligatures w14:val="none"/>
        </w:rPr>
        <w:fldChar w:fldCharType="end"/>
      </w:r>
      <w:r w:rsidRPr="00D91F04">
        <w:rPr>
          <w:rFonts w:ascii="Verdana" w:hAnsi="Verdana"/>
          <w:iCs/>
          <w:color w:val="000000" w:themeColor="text1"/>
          <w:kern w:val="0"/>
          <w:sz w:val="21"/>
          <w:szCs w:val="21"/>
          <w:lang w:val="fr-FR" w:bidi="fr-FR"/>
          <w14:ligatures w14:val="none"/>
        </w:rPr>
        <w:t xml:space="preserve"> du présent Accord, </w:t>
      </w:r>
    </w:p>
    <w:p w14:paraId="7910B3B8" w14:textId="77777777" w:rsidR="00D91F04" w:rsidRPr="00D91F04" w:rsidRDefault="00D91F04" w:rsidP="00D91F04">
      <w:pPr>
        <w:numPr>
          <w:ilvl w:val="0"/>
          <w:numId w:val="9"/>
        </w:numPr>
        <w:spacing w:after="120" w:line="276" w:lineRule="auto"/>
        <w:ind w:left="1560" w:hanging="426"/>
        <w:jc w:val="both"/>
        <w:rPr>
          <w:rFonts w:ascii="Verdana" w:hAnsi="Verdana"/>
          <w:iCs/>
          <w:color w:val="000000" w:themeColor="text1"/>
          <w:kern w:val="0"/>
          <w:sz w:val="21"/>
          <w:szCs w:val="21"/>
          <w:lang w:val="fr-FR"/>
          <w14:ligatures w14:val="none"/>
        </w:rPr>
      </w:pPr>
      <w:proofErr w:type="gramStart"/>
      <w:r w:rsidRPr="00D91F04">
        <w:rPr>
          <w:rFonts w:ascii="Verdana" w:hAnsi="Verdana"/>
          <w:iCs/>
          <w:color w:val="000000" w:themeColor="text1"/>
          <w:kern w:val="0"/>
          <w:sz w:val="21"/>
          <w:szCs w:val="21"/>
          <w:lang w:val="fr-FR" w:bidi="fr-FR"/>
          <w14:ligatures w14:val="none"/>
        </w:rPr>
        <w:t>à</w:t>
      </w:r>
      <w:proofErr w:type="gramEnd"/>
      <w:r w:rsidRPr="00D91F04">
        <w:rPr>
          <w:rFonts w:ascii="Verdana" w:hAnsi="Verdana"/>
          <w:iCs/>
          <w:color w:val="000000" w:themeColor="text1"/>
          <w:kern w:val="0"/>
          <w:sz w:val="21"/>
          <w:szCs w:val="21"/>
          <w:lang w:val="fr-FR" w:bidi="fr-FR"/>
          <w14:ligatures w14:val="none"/>
        </w:rPr>
        <w:t xml:space="preserve"> la formation du personnel et des observateurs chargés du suivi, du contrôle et de la surveillance des pêches qui sont habilités à opérer dans la région,</w:t>
      </w:r>
    </w:p>
    <w:p w14:paraId="10CB945B" w14:textId="77777777" w:rsidR="00D91F04" w:rsidRPr="00D91F04" w:rsidRDefault="00D91F04" w:rsidP="00D91F04">
      <w:pPr>
        <w:numPr>
          <w:ilvl w:val="0"/>
          <w:numId w:val="9"/>
        </w:numPr>
        <w:spacing w:after="120" w:line="276" w:lineRule="auto"/>
        <w:ind w:left="1560" w:hanging="426"/>
        <w:jc w:val="both"/>
        <w:rPr>
          <w:rFonts w:ascii="Verdana" w:hAnsi="Verdana"/>
          <w:iCs/>
          <w:color w:val="000000" w:themeColor="text1"/>
          <w:kern w:val="0"/>
          <w:sz w:val="21"/>
          <w:szCs w:val="21"/>
          <w:lang w:val="fr-FR"/>
          <w14:ligatures w14:val="none"/>
        </w:rPr>
      </w:pPr>
      <w:proofErr w:type="gramStart"/>
      <w:r w:rsidRPr="00D91F04">
        <w:rPr>
          <w:rFonts w:ascii="Verdana" w:hAnsi="Verdana"/>
          <w:iCs/>
          <w:color w:val="000000" w:themeColor="text1"/>
          <w:kern w:val="0"/>
          <w:sz w:val="21"/>
          <w:szCs w:val="21"/>
          <w:lang w:val="fr-FR" w:bidi="fr-FR"/>
          <w14:ligatures w14:val="none"/>
        </w:rPr>
        <w:t>à</w:t>
      </w:r>
      <w:proofErr w:type="gramEnd"/>
      <w:r w:rsidRPr="00D91F04">
        <w:rPr>
          <w:rFonts w:ascii="Verdana" w:hAnsi="Verdana"/>
          <w:iCs/>
          <w:color w:val="000000" w:themeColor="text1"/>
          <w:kern w:val="0"/>
          <w:sz w:val="21"/>
          <w:szCs w:val="21"/>
          <w:lang w:val="fr-FR" w:bidi="fr-FR"/>
          <w14:ligatures w14:val="none"/>
        </w:rPr>
        <w:t xml:space="preserve"> la formation des équipes de gestion des programmes nationaux d’observateurs, et à l’organisation de réunions.</w:t>
      </w:r>
    </w:p>
    <w:p w14:paraId="6D0719EF" w14:textId="77777777" w:rsidR="00D91F04" w:rsidRPr="00D91F04" w:rsidRDefault="00D91F04" w:rsidP="00D91F04">
      <w:pPr>
        <w:numPr>
          <w:ilvl w:val="0"/>
          <w:numId w:val="9"/>
        </w:numPr>
        <w:spacing w:after="120" w:line="276" w:lineRule="auto"/>
        <w:ind w:left="1560" w:hanging="426"/>
        <w:jc w:val="both"/>
        <w:rPr>
          <w:rFonts w:ascii="Verdana" w:hAnsi="Verdana"/>
          <w:iCs/>
          <w:color w:val="000000" w:themeColor="text1"/>
          <w:kern w:val="0"/>
          <w:sz w:val="21"/>
          <w:szCs w:val="21"/>
          <w14:ligatures w14:val="none"/>
        </w:rPr>
      </w:pPr>
      <w:proofErr w:type="gramStart"/>
      <w:r w:rsidRPr="00D91F04">
        <w:rPr>
          <w:rFonts w:ascii="Verdana" w:hAnsi="Verdana"/>
          <w:iCs/>
          <w:color w:val="000000" w:themeColor="text1"/>
          <w:kern w:val="0"/>
          <w:sz w:val="21"/>
          <w:szCs w:val="21"/>
          <w:lang w:val="fr-FR" w:bidi="fr-FR"/>
          <w14:ligatures w14:val="none"/>
        </w:rPr>
        <w:t>participer</w:t>
      </w:r>
      <w:proofErr w:type="gramEnd"/>
      <w:r w:rsidRPr="00D91F04">
        <w:rPr>
          <w:rFonts w:ascii="Verdana" w:hAnsi="Verdana"/>
          <w:iCs/>
          <w:color w:val="000000" w:themeColor="text1"/>
          <w:kern w:val="0"/>
          <w:sz w:val="21"/>
          <w:szCs w:val="21"/>
          <w:lang w:val="fr-FR" w:bidi="fr-FR"/>
          <w14:ligatures w14:val="none"/>
        </w:rPr>
        <w:t xml:space="preserve"> au GT-</w:t>
      </w:r>
      <w:proofErr w:type="spellStart"/>
      <w:r w:rsidRPr="00D91F04">
        <w:rPr>
          <w:rFonts w:ascii="Verdana" w:hAnsi="Verdana"/>
          <w:iCs/>
          <w:color w:val="000000" w:themeColor="text1"/>
          <w:kern w:val="0"/>
          <w:sz w:val="21"/>
          <w:szCs w:val="21"/>
          <w:lang w:val="fr-FR" w:bidi="fr-FR"/>
          <w14:ligatures w14:val="none"/>
        </w:rPr>
        <w:t>rPNO</w:t>
      </w:r>
      <w:proofErr w:type="spellEnd"/>
      <w:r w:rsidRPr="00D91F04">
        <w:rPr>
          <w:rFonts w:ascii="Verdana" w:hAnsi="Verdana"/>
          <w:iCs/>
          <w:color w:val="000000" w:themeColor="text1"/>
          <w:kern w:val="0"/>
          <w:sz w:val="21"/>
          <w:szCs w:val="21"/>
          <w:lang w:val="fr-FR" w:bidi="fr-FR"/>
          <w14:ligatures w14:val="none"/>
        </w:rPr>
        <w:t> ;</w:t>
      </w:r>
    </w:p>
    <w:p w14:paraId="447ACC7A" w14:textId="77777777" w:rsidR="00D91F04" w:rsidRPr="00D91F04" w:rsidRDefault="00D91F04" w:rsidP="00D91F04">
      <w:pPr>
        <w:numPr>
          <w:ilvl w:val="0"/>
          <w:numId w:val="8"/>
        </w:numPr>
        <w:spacing w:after="120" w:line="276" w:lineRule="auto"/>
        <w:ind w:left="1276" w:hanging="709"/>
        <w:jc w:val="both"/>
        <w:rPr>
          <w:rFonts w:ascii="Verdana" w:hAnsi="Verdana"/>
          <w:iCs/>
          <w:color w:val="000000" w:themeColor="text1"/>
          <w:kern w:val="0"/>
          <w:sz w:val="21"/>
          <w:szCs w:val="21"/>
          <w:lang w:val="fr-FR"/>
          <w14:ligatures w14:val="none"/>
        </w:rPr>
      </w:pPr>
      <w:proofErr w:type="gramStart"/>
      <w:r w:rsidRPr="00D91F04">
        <w:rPr>
          <w:rFonts w:ascii="Verdana" w:hAnsi="Verdana"/>
          <w:iCs/>
          <w:color w:val="000000" w:themeColor="text1"/>
          <w:kern w:val="0"/>
          <w:sz w:val="21"/>
          <w:szCs w:val="21"/>
          <w:lang w:val="fr-FR" w:bidi="fr-FR"/>
          <w14:ligatures w14:val="none"/>
        </w:rPr>
        <w:t>certifier</w:t>
      </w:r>
      <w:proofErr w:type="gramEnd"/>
      <w:r w:rsidRPr="00D91F04">
        <w:rPr>
          <w:rFonts w:ascii="Verdana" w:hAnsi="Verdana"/>
          <w:iCs/>
          <w:color w:val="000000" w:themeColor="text1"/>
          <w:kern w:val="0"/>
          <w:sz w:val="21"/>
          <w:szCs w:val="21"/>
          <w:lang w:val="fr-FR" w:bidi="fr-FR"/>
          <w14:ligatures w14:val="none"/>
        </w:rPr>
        <w:t xml:space="preserve"> les observateurs sous-régionaux et leur délivrer un certificat et une carte d’accès portant le logo de la COI ;</w:t>
      </w:r>
    </w:p>
    <w:p w14:paraId="36033877" w14:textId="77777777" w:rsidR="00D91F04" w:rsidRPr="00D91F04" w:rsidRDefault="00D91F04" w:rsidP="00D91F04">
      <w:pPr>
        <w:numPr>
          <w:ilvl w:val="0"/>
          <w:numId w:val="8"/>
        </w:numPr>
        <w:spacing w:after="120" w:line="276" w:lineRule="auto"/>
        <w:ind w:left="1276" w:hanging="709"/>
        <w:jc w:val="both"/>
        <w:rPr>
          <w:rFonts w:ascii="Verdana" w:hAnsi="Verdana"/>
          <w:iCs/>
          <w:color w:val="000000" w:themeColor="text1"/>
          <w:kern w:val="0"/>
          <w:sz w:val="21"/>
          <w:szCs w:val="21"/>
          <w:lang w:val="fr-FR"/>
          <w14:ligatures w14:val="none"/>
        </w:rPr>
      </w:pPr>
      <w:proofErr w:type="gramStart"/>
      <w:r w:rsidRPr="00D91F04">
        <w:rPr>
          <w:rFonts w:ascii="Verdana" w:hAnsi="Verdana"/>
          <w:iCs/>
          <w:color w:val="000000" w:themeColor="text1"/>
          <w:kern w:val="0"/>
          <w:sz w:val="21"/>
          <w:szCs w:val="21"/>
          <w:lang w:val="fr-FR" w:bidi="fr-FR"/>
          <w14:ligatures w14:val="none"/>
        </w:rPr>
        <w:t>collaborer</w:t>
      </w:r>
      <w:proofErr w:type="gramEnd"/>
      <w:r w:rsidRPr="00D91F04">
        <w:rPr>
          <w:rFonts w:ascii="Verdana" w:hAnsi="Verdana"/>
          <w:iCs/>
          <w:color w:val="000000" w:themeColor="text1"/>
          <w:kern w:val="0"/>
          <w:sz w:val="21"/>
          <w:szCs w:val="21"/>
          <w:lang w:val="fr-FR" w:bidi="fr-FR"/>
          <w14:ligatures w14:val="none"/>
        </w:rPr>
        <w:t xml:space="preserve"> avec la Commission des thons de l’océan Indien (CTOI) et l’Accord relatif aux pêches dans le sud de l’océan Indien (APSOI) afin de fournir un appui technique et scientifique aux activités de coopération des observateurs sous-régionaux, notamment l’élaboration de normes, la formation et d’autres activités, le cas échéant.</w:t>
      </w:r>
    </w:p>
    <w:p w14:paraId="349A0665" w14:textId="77777777" w:rsidR="00D91F04" w:rsidRPr="00D91F04" w:rsidRDefault="00D91F04" w:rsidP="00D91F04">
      <w:pPr>
        <w:numPr>
          <w:ilvl w:val="0"/>
          <w:numId w:val="12"/>
        </w:numPr>
        <w:spacing w:after="120" w:line="276" w:lineRule="auto"/>
        <w:jc w:val="both"/>
        <w:rPr>
          <w:rFonts w:ascii="Verdana" w:hAnsi="Verdana"/>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 xml:space="preserve">La COI est chargée de la coordination générale de la mise en œuvre de l’arrangement prévu par le présent Accord, qui comprend les organes subsidiaires suivants : </w:t>
      </w:r>
    </w:p>
    <w:p w14:paraId="13F43061" w14:textId="77777777" w:rsidR="00D91F04" w:rsidRPr="00D91F04" w:rsidRDefault="00D91F04" w:rsidP="00D91F04">
      <w:pPr>
        <w:numPr>
          <w:ilvl w:val="0"/>
          <w:numId w:val="4"/>
        </w:numPr>
        <w:spacing w:after="120" w:line="276" w:lineRule="auto"/>
        <w:ind w:left="1276" w:hanging="709"/>
        <w:jc w:val="both"/>
        <w:rPr>
          <w:rFonts w:ascii="Verdana" w:hAnsi="Verdana"/>
          <w:iCs/>
          <w:color w:val="000000" w:themeColor="text1"/>
          <w:kern w:val="0"/>
          <w:sz w:val="21"/>
          <w:szCs w:val="21"/>
          <w:lang w:val="fr-FR"/>
          <w14:ligatures w14:val="none"/>
        </w:rPr>
      </w:pPr>
      <w:proofErr w:type="gramStart"/>
      <w:r w:rsidRPr="00D91F04">
        <w:rPr>
          <w:rFonts w:ascii="Verdana" w:hAnsi="Verdana"/>
          <w:iCs/>
          <w:color w:val="000000" w:themeColor="text1"/>
          <w:kern w:val="0"/>
          <w:sz w:val="21"/>
          <w:szCs w:val="21"/>
          <w:lang w:val="fr-FR" w:bidi="fr-FR"/>
          <w14:ligatures w14:val="none"/>
        </w:rPr>
        <w:t>l’UCR</w:t>
      </w:r>
      <w:proofErr w:type="gramEnd"/>
      <w:r w:rsidRPr="00D91F04">
        <w:rPr>
          <w:rFonts w:ascii="Verdana" w:hAnsi="Verdana"/>
          <w:iCs/>
          <w:color w:val="000000" w:themeColor="text1"/>
          <w:kern w:val="0"/>
          <w:sz w:val="21"/>
          <w:szCs w:val="21"/>
          <w:lang w:val="fr-FR" w:bidi="fr-FR"/>
          <w14:ligatures w14:val="none"/>
        </w:rPr>
        <w:t xml:space="preserve">, conformément à son mandat </w:t>
      </w:r>
      <w:r w:rsidRPr="00EB1A39">
        <w:rPr>
          <w:rFonts w:ascii="Verdana" w:hAnsi="Verdana"/>
          <w:iCs/>
          <w:color w:val="000000" w:themeColor="text1"/>
          <w:kern w:val="0"/>
          <w:sz w:val="21"/>
          <w:szCs w:val="21"/>
          <w:highlight w:val="yellow"/>
          <w:lang w:val="fr-FR" w:bidi="fr-FR"/>
          <w14:ligatures w14:val="none"/>
        </w:rPr>
        <w:t>figurant à l’annexe </w:t>
      </w:r>
      <w:r w:rsidRPr="00810080">
        <w:rPr>
          <w:rFonts w:ascii="Verdana" w:hAnsi="Verdana"/>
          <w:iCs/>
          <w:color w:val="000000" w:themeColor="text1"/>
          <w:kern w:val="0"/>
          <w:sz w:val="21"/>
          <w:szCs w:val="21"/>
          <w:highlight w:val="yellow"/>
          <w:lang w:val="fr-FR" w:bidi="fr-FR"/>
          <w14:ligatures w14:val="none"/>
        </w:rPr>
        <w:t>2 ;</w:t>
      </w:r>
      <w:r w:rsidRPr="00D91F04">
        <w:rPr>
          <w:rFonts w:ascii="Verdana" w:hAnsi="Verdana"/>
          <w:iCs/>
          <w:color w:val="000000" w:themeColor="text1"/>
          <w:kern w:val="0"/>
          <w:sz w:val="21"/>
          <w:szCs w:val="21"/>
          <w:lang w:val="fr-FR" w:bidi="fr-FR"/>
          <w14:ligatures w14:val="none"/>
        </w:rPr>
        <w:t xml:space="preserve">  </w:t>
      </w:r>
    </w:p>
    <w:p w14:paraId="19F0AAFE" w14:textId="0858CD6B" w:rsidR="00D91F04" w:rsidRPr="00810080" w:rsidRDefault="00EB1A39" w:rsidP="00D91F04">
      <w:pPr>
        <w:numPr>
          <w:ilvl w:val="0"/>
          <w:numId w:val="4"/>
        </w:numPr>
        <w:spacing w:after="120" w:line="276" w:lineRule="auto"/>
        <w:ind w:left="1276" w:hanging="709"/>
        <w:jc w:val="both"/>
        <w:rPr>
          <w:rFonts w:ascii="Verdana" w:hAnsi="Verdana"/>
          <w:iCs/>
          <w:color w:val="000000" w:themeColor="text1"/>
          <w:kern w:val="0"/>
          <w:sz w:val="21"/>
          <w:szCs w:val="21"/>
          <w:highlight w:val="yellow"/>
          <w:lang w:val="fr-FR"/>
          <w14:ligatures w14:val="none"/>
        </w:rPr>
      </w:pPr>
      <w:r>
        <w:rPr>
          <w:rFonts w:ascii="Verdana" w:hAnsi="Verdana"/>
          <w:iCs/>
          <w:color w:val="000000" w:themeColor="text1"/>
          <w:kern w:val="0"/>
          <w:sz w:val="21"/>
          <w:szCs w:val="21"/>
          <w:lang w:val="fr-FR" w:bidi="fr-FR"/>
          <w14:ligatures w14:val="none"/>
        </w:rPr>
        <w:t>Comité de pilotage</w:t>
      </w:r>
      <w:r w:rsidR="00D91F04" w:rsidRPr="00D91F04">
        <w:rPr>
          <w:rFonts w:ascii="Verdana" w:hAnsi="Verdana"/>
          <w:iCs/>
          <w:color w:val="000000" w:themeColor="text1"/>
          <w:kern w:val="0"/>
          <w:sz w:val="21"/>
          <w:szCs w:val="21"/>
          <w:lang w:val="fr-FR" w:bidi="fr-FR"/>
          <w14:ligatures w14:val="none"/>
        </w:rPr>
        <w:t xml:space="preserve">, conformément à son mandat </w:t>
      </w:r>
      <w:r w:rsidR="00D91F04" w:rsidRPr="00EB1A39">
        <w:rPr>
          <w:rFonts w:ascii="Verdana" w:hAnsi="Verdana"/>
          <w:iCs/>
          <w:color w:val="000000" w:themeColor="text1"/>
          <w:kern w:val="0"/>
          <w:sz w:val="21"/>
          <w:szCs w:val="21"/>
          <w:highlight w:val="yellow"/>
          <w:lang w:val="fr-FR" w:bidi="fr-FR"/>
          <w14:ligatures w14:val="none"/>
        </w:rPr>
        <w:t>figurant à l’annexe </w:t>
      </w:r>
      <w:r w:rsidR="00D91F04" w:rsidRPr="00810080">
        <w:rPr>
          <w:rFonts w:ascii="Verdana" w:hAnsi="Verdana"/>
          <w:iCs/>
          <w:color w:val="000000" w:themeColor="text1"/>
          <w:kern w:val="0"/>
          <w:sz w:val="21"/>
          <w:szCs w:val="21"/>
          <w:highlight w:val="yellow"/>
          <w:lang w:val="fr-FR" w:bidi="fr-FR"/>
          <w14:ligatures w14:val="none"/>
        </w:rPr>
        <w:t xml:space="preserve">3 ; </w:t>
      </w:r>
    </w:p>
    <w:p w14:paraId="40DC9D21" w14:textId="77777777" w:rsidR="00D91F04" w:rsidRPr="00D91F04" w:rsidRDefault="00D91F04" w:rsidP="00D91F04">
      <w:pPr>
        <w:numPr>
          <w:ilvl w:val="0"/>
          <w:numId w:val="4"/>
        </w:numPr>
        <w:spacing w:after="120" w:line="276" w:lineRule="auto"/>
        <w:ind w:left="1276" w:hanging="709"/>
        <w:jc w:val="both"/>
        <w:rPr>
          <w:rFonts w:ascii="Verdana" w:hAnsi="Verdana"/>
          <w:iCs/>
          <w:color w:val="000000" w:themeColor="text1"/>
          <w:kern w:val="0"/>
          <w:sz w:val="21"/>
          <w:szCs w:val="21"/>
          <w:lang w:val="fr-FR"/>
          <w14:ligatures w14:val="none"/>
        </w:rPr>
      </w:pPr>
      <w:proofErr w:type="gramStart"/>
      <w:r w:rsidRPr="00D91F04">
        <w:rPr>
          <w:rFonts w:ascii="Verdana" w:hAnsi="Verdana"/>
          <w:iCs/>
          <w:color w:val="000000" w:themeColor="text1"/>
          <w:kern w:val="0"/>
          <w:sz w:val="21"/>
          <w:szCs w:val="21"/>
          <w:lang w:val="fr-FR" w:bidi="fr-FR"/>
          <w14:ligatures w14:val="none"/>
        </w:rPr>
        <w:t>le</w:t>
      </w:r>
      <w:proofErr w:type="gramEnd"/>
      <w:r w:rsidRPr="00D91F04">
        <w:rPr>
          <w:rFonts w:ascii="Verdana" w:hAnsi="Verdana"/>
          <w:iCs/>
          <w:color w:val="000000" w:themeColor="text1"/>
          <w:kern w:val="0"/>
          <w:sz w:val="21"/>
          <w:szCs w:val="21"/>
          <w:lang w:val="fr-FR" w:bidi="fr-FR"/>
          <w14:ligatures w14:val="none"/>
        </w:rPr>
        <w:t xml:space="preserve"> GT-</w:t>
      </w:r>
      <w:proofErr w:type="spellStart"/>
      <w:r w:rsidRPr="00D91F04">
        <w:rPr>
          <w:rFonts w:ascii="Verdana" w:hAnsi="Verdana"/>
          <w:iCs/>
          <w:color w:val="000000" w:themeColor="text1"/>
          <w:kern w:val="0"/>
          <w:sz w:val="21"/>
          <w:szCs w:val="21"/>
          <w:lang w:val="fr-FR" w:bidi="fr-FR"/>
          <w14:ligatures w14:val="none"/>
        </w:rPr>
        <w:t>rPNO</w:t>
      </w:r>
      <w:proofErr w:type="spellEnd"/>
      <w:r w:rsidRPr="00D91F04">
        <w:rPr>
          <w:rFonts w:ascii="Verdana" w:hAnsi="Verdana"/>
          <w:iCs/>
          <w:color w:val="000000" w:themeColor="text1"/>
          <w:kern w:val="0"/>
          <w:sz w:val="21"/>
          <w:szCs w:val="21"/>
          <w:lang w:val="fr-FR" w:bidi="fr-FR"/>
          <w14:ligatures w14:val="none"/>
        </w:rPr>
        <w:t xml:space="preserve">, conformément à son mandat figurant à l’annexe 4. </w:t>
      </w:r>
    </w:p>
    <w:p w14:paraId="6A84C012" w14:textId="5E2E540F" w:rsidR="00D91F04" w:rsidRPr="00D91F04" w:rsidRDefault="00D91F04" w:rsidP="00D91F04">
      <w:pPr>
        <w:numPr>
          <w:ilvl w:val="0"/>
          <w:numId w:val="12"/>
        </w:numPr>
        <w:spacing w:after="120" w:line="276" w:lineRule="auto"/>
        <w:ind w:left="426" w:hanging="426"/>
        <w:jc w:val="both"/>
        <w:rPr>
          <w:rFonts w:ascii="Verdana" w:hAnsi="Verdana"/>
          <w:bCs/>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La COI examine et approuve chaque année un rapport préparé par l’UCR</w:t>
      </w:r>
      <w:r w:rsidR="00EB1A39">
        <w:rPr>
          <w:rFonts w:ascii="Verdana" w:hAnsi="Verdana"/>
          <w:iCs/>
          <w:color w:val="000000" w:themeColor="text1"/>
          <w:kern w:val="0"/>
          <w:sz w:val="21"/>
          <w:szCs w:val="21"/>
          <w:lang w:val="fr-FR" w:bidi="fr-FR"/>
          <w14:ligatures w14:val="none"/>
        </w:rPr>
        <w:t xml:space="preserve"> </w:t>
      </w:r>
      <w:r w:rsidRPr="00D91F04">
        <w:rPr>
          <w:rFonts w:ascii="Verdana" w:hAnsi="Verdana"/>
          <w:iCs/>
          <w:color w:val="000000" w:themeColor="text1"/>
          <w:kern w:val="0"/>
          <w:sz w:val="21"/>
          <w:szCs w:val="21"/>
          <w:lang w:val="fr-FR" w:bidi="fr-FR"/>
          <w14:ligatures w14:val="none"/>
        </w:rPr>
        <w:t xml:space="preserve">sur la mise en œuvre du </w:t>
      </w:r>
      <w:r w:rsidR="00810080">
        <w:rPr>
          <w:rFonts w:ascii="Verdana" w:hAnsi="Verdana"/>
          <w:iCs/>
          <w:color w:val="000000" w:themeColor="text1"/>
          <w:kern w:val="0"/>
          <w:sz w:val="21"/>
          <w:szCs w:val="21"/>
          <w:lang w:val="fr-FR" w:bidi="fr-FR"/>
          <w14:ligatures w14:val="none"/>
        </w:rPr>
        <w:t>CSCSOP</w:t>
      </w:r>
      <w:r w:rsidRPr="00D91F04">
        <w:rPr>
          <w:rFonts w:ascii="Verdana" w:hAnsi="Verdana"/>
          <w:iCs/>
          <w:color w:val="000000" w:themeColor="text1"/>
          <w:kern w:val="0"/>
          <w:sz w:val="21"/>
          <w:szCs w:val="21"/>
          <w:lang w:val="fr-FR" w:bidi="fr-FR"/>
          <w14:ligatures w14:val="none"/>
        </w:rPr>
        <w:t xml:space="preserve"> et le transmet aux ministres chargés de la pêche des États participants et aux donateurs concernés. </w:t>
      </w:r>
    </w:p>
    <w:p w14:paraId="01C95E84" w14:textId="77777777" w:rsidR="00D91F04" w:rsidRPr="00D91F04" w:rsidRDefault="00D91F04" w:rsidP="00D91F04">
      <w:pPr>
        <w:numPr>
          <w:ilvl w:val="0"/>
          <w:numId w:val="12"/>
        </w:numPr>
        <w:spacing w:after="120" w:line="276" w:lineRule="auto"/>
        <w:ind w:left="426" w:hanging="426"/>
        <w:jc w:val="both"/>
        <w:rPr>
          <w:rFonts w:ascii="Verdana" w:hAnsi="Verdana" w:cs="Times New Roman (Body CS)"/>
          <w:bCs/>
          <w:iCs/>
          <w:color w:val="000000" w:themeColor="text1"/>
          <w:kern w:val="0"/>
          <w:sz w:val="21"/>
          <w:szCs w:val="21"/>
          <w:lang w:val="fr-FR"/>
          <w14:ligatures w14:val="none"/>
        </w:rPr>
      </w:pPr>
      <w:r w:rsidRPr="00D91F04">
        <w:rPr>
          <w:rFonts w:ascii="Verdana" w:hAnsi="Verdana" w:cs="Times New Roman (Body CS)"/>
          <w:iCs/>
          <w:color w:val="000000" w:themeColor="text1"/>
          <w:kern w:val="0"/>
          <w:sz w:val="21"/>
          <w:szCs w:val="21"/>
          <w:lang w:val="fr-FR" w:bidi="fr-FR"/>
          <w14:ligatures w14:val="none"/>
        </w:rPr>
        <w:t xml:space="preserve">Le Conseil des ministres de la COI est habilité à approuver par consensus toute demande de modification de la zone de coopération en cas de règlement d’un différend concernant une zone contestée ou de l’ajout d’une zone contestée à l’intérieur de cette zone ou pour toute autre raison dont la COI et les États participants peuvent convenir, ainsi qu’à approuver toute demande d’extension de cette zone en cas d’adhésion d’un nouvel État participant. </w:t>
      </w:r>
    </w:p>
    <w:p w14:paraId="253B979D" w14:textId="371DC151" w:rsidR="00D91F04" w:rsidRPr="00D91F04" w:rsidRDefault="00D91F04" w:rsidP="00D91F04">
      <w:pPr>
        <w:numPr>
          <w:ilvl w:val="0"/>
          <w:numId w:val="12"/>
        </w:numPr>
        <w:spacing w:after="120" w:line="276" w:lineRule="auto"/>
        <w:ind w:left="426" w:hanging="426"/>
        <w:jc w:val="both"/>
        <w:rPr>
          <w:rFonts w:ascii="Verdana" w:hAnsi="Verdana"/>
          <w:bCs/>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 xml:space="preserve">La COI met à disposition un espace de travail et des capacités humaines appropriés pour la gestion et la mise en œuvre du </w:t>
      </w:r>
      <w:r w:rsidR="00810080">
        <w:rPr>
          <w:rFonts w:ascii="Verdana" w:hAnsi="Verdana"/>
          <w:iCs/>
          <w:color w:val="000000" w:themeColor="text1"/>
          <w:kern w:val="0"/>
          <w:sz w:val="21"/>
          <w:szCs w:val="21"/>
          <w:lang w:val="fr-FR" w:bidi="fr-FR"/>
          <w14:ligatures w14:val="none"/>
        </w:rPr>
        <w:t>CSCSOP</w:t>
      </w:r>
      <w:r w:rsidRPr="00D91F04">
        <w:rPr>
          <w:rFonts w:ascii="Verdana" w:hAnsi="Verdana"/>
          <w:iCs/>
          <w:color w:val="000000" w:themeColor="text1"/>
          <w:kern w:val="0"/>
          <w:sz w:val="21"/>
          <w:szCs w:val="21"/>
          <w:lang w:val="fr-FR" w:bidi="fr-FR"/>
          <w14:ligatures w14:val="none"/>
        </w:rPr>
        <w:t>, conformément aux responsabilités en matière de gouvernance et aux cadres institutionnels convenus.</w:t>
      </w:r>
    </w:p>
    <w:p w14:paraId="7A343B93" w14:textId="77777777" w:rsidR="00D91F04" w:rsidRPr="00D91F04" w:rsidRDefault="00D91F04" w:rsidP="00D91F04">
      <w:pPr>
        <w:spacing w:after="120" w:line="276" w:lineRule="auto"/>
        <w:jc w:val="both"/>
        <w:rPr>
          <w:rFonts w:ascii="Verdana" w:hAnsi="Verdana"/>
          <w:bCs/>
          <w:iCs/>
          <w:color w:val="000000" w:themeColor="text1"/>
          <w:kern w:val="0"/>
          <w:sz w:val="21"/>
          <w:szCs w:val="21"/>
          <w:lang w:val="fr-FR"/>
          <w14:ligatures w14:val="none"/>
        </w:rPr>
      </w:pPr>
    </w:p>
    <w:p w14:paraId="40DE6991"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lang w:val="fr-FR"/>
          <w14:ligatures w14:val="none"/>
        </w:rPr>
      </w:pPr>
      <w:r w:rsidRPr="00D91F04">
        <w:rPr>
          <w:rFonts w:ascii="Verdana" w:hAnsi="Verdana"/>
          <w:b/>
          <w:iCs/>
          <w:color w:val="00928F"/>
          <w:kern w:val="0"/>
          <w:sz w:val="28"/>
          <w:szCs w:val="28"/>
          <w:lang w:val="fr-FR" w:bidi="fr-FR"/>
          <w14:ligatures w14:val="none"/>
        </w:rPr>
        <w:t>Article 3</w:t>
      </w:r>
    </w:p>
    <w:p w14:paraId="2F84C08F"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lang w:val="fr-FR"/>
          <w14:ligatures w14:val="none"/>
        </w:rPr>
      </w:pPr>
      <w:r w:rsidRPr="00D91F04">
        <w:rPr>
          <w:rFonts w:ascii="Verdana" w:hAnsi="Verdana"/>
          <w:b/>
          <w:iCs/>
          <w:color w:val="00928F"/>
          <w:kern w:val="0"/>
          <w:sz w:val="28"/>
          <w:szCs w:val="28"/>
          <w:lang w:val="fr-FR" w:bidi="fr-FR"/>
          <w14:ligatures w14:val="none"/>
        </w:rPr>
        <w:t>Autorités administratives compétentes chargées de la lutte contre la pêche illicite, non déclarée et non réglementée dans la zone maritime visée par le présent Accord</w:t>
      </w:r>
    </w:p>
    <w:p w14:paraId="12DC0279" w14:textId="77777777" w:rsidR="00D91F04" w:rsidRPr="00D91F04" w:rsidRDefault="00D91F04" w:rsidP="00D91F04">
      <w:pPr>
        <w:spacing w:after="120" w:line="276" w:lineRule="auto"/>
        <w:jc w:val="both"/>
        <w:rPr>
          <w:rFonts w:ascii="Verdana" w:hAnsi="Verdana"/>
          <w:bCs/>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lastRenderedPageBreak/>
        <w:t>Chacun des États participants notifie par écrit à la COI son autorité compétente en matière de suivi, de contrôle et de surveillance des pêches, ainsi que toute mise à jour de cette autorité ; ces autorités compétentes sont répertoriées à l’annexe 5.</w:t>
      </w:r>
    </w:p>
    <w:p w14:paraId="1D578B3D"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lang w:val="fr-FR"/>
          <w14:ligatures w14:val="none"/>
        </w:rPr>
      </w:pPr>
    </w:p>
    <w:p w14:paraId="42856E3D"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lang w:val="fr-FR"/>
          <w14:ligatures w14:val="none"/>
        </w:rPr>
      </w:pPr>
      <w:r w:rsidRPr="00D91F04">
        <w:rPr>
          <w:rFonts w:ascii="Verdana" w:hAnsi="Verdana"/>
          <w:b/>
          <w:iCs/>
          <w:color w:val="00928F"/>
          <w:kern w:val="0"/>
          <w:sz w:val="28"/>
          <w:szCs w:val="28"/>
          <w:lang w:val="fr-FR" w:bidi="fr-FR"/>
          <w14:ligatures w14:val="none"/>
        </w:rPr>
        <w:t>Article 4</w:t>
      </w:r>
    </w:p>
    <w:p w14:paraId="13E2F427"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lang w:val="fr-FR"/>
          <w14:ligatures w14:val="none"/>
        </w:rPr>
      </w:pPr>
      <w:bookmarkStart w:id="4" w:name="_Hlk126840325"/>
      <w:r w:rsidRPr="00D91F04">
        <w:rPr>
          <w:rFonts w:ascii="Verdana" w:hAnsi="Verdana"/>
          <w:b/>
          <w:iCs/>
          <w:color w:val="00928F"/>
          <w:kern w:val="0"/>
          <w:sz w:val="28"/>
          <w:szCs w:val="28"/>
          <w:lang w:val="fr-FR" w:bidi="fr-FR"/>
          <w14:ligatures w14:val="none"/>
        </w:rPr>
        <w:t>Objectifs</w:t>
      </w:r>
      <w:bookmarkEnd w:id="4"/>
    </w:p>
    <w:p w14:paraId="04BD356B" w14:textId="77777777" w:rsidR="00D91F04" w:rsidRPr="00D91F04" w:rsidRDefault="00D91F04" w:rsidP="00D91F04">
      <w:pPr>
        <w:spacing w:after="120" w:line="276" w:lineRule="auto"/>
        <w:jc w:val="both"/>
        <w:rPr>
          <w:rFonts w:ascii="Verdana" w:hAnsi="Verdana"/>
          <w:bCs/>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Les objectifs du présent Accord sont les suivants :</w:t>
      </w:r>
    </w:p>
    <w:p w14:paraId="69B6F4A7" w14:textId="77777777" w:rsidR="00D91F04" w:rsidRPr="00D91F04" w:rsidRDefault="00D91F04" w:rsidP="00D91F04">
      <w:pPr>
        <w:numPr>
          <w:ilvl w:val="0"/>
          <w:numId w:val="13"/>
        </w:numPr>
        <w:spacing w:after="120" w:line="276" w:lineRule="auto"/>
        <w:jc w:val="both"/>
        <w:rPr>
          <w:rFonts w:ascii="Verdana" w:hAnsi="Verdana"/>
          <w:iCs/>
          <w:color w:val="000000" w:themeColor="text1"/>
          <w:kern w:val="0"/>
          <w:sz w:val="21"/>
          <w:szCs w:val="21"/>
          <w:lang w:val="fr-FR"/>
          <w14:ligatures w14:val="none"/>
        </w:rPr>
      </w:pPr>
      <w:proofErr w:type="gramStart"/>
      <w:r w:rsidRPr="00D91F04">
        <w:rPr>
          <w:rFonts w:ascii="Verdana" w:hAnsi="Verdana"/>
          <w:iCs/>
          <w:color w:val="000000" w:themeColor="text1"/>
          <w:kern w:val="0"/>
          <w:sz w:val="21"/>
          <w:szCs w:val="21"/>
          <w:lang w:val="fr-FR" w:bidi="fr-FR"/>
          <w14:ligatures w14:val="none"/>
        </w:rPr>
        <w:t>améliorer</w:t>
      </w:r>
      <w:proofErr w:type="gramEnd"/>
      <w:r w:rsidRPr="00D91F04">
        <w:rPr>
          <w:rFonts w:ascii="Verdana" w:hAnsi="Verdana"/>
          <w:iCs/>
          <w:color w:val="000000" w:themeColor="text1"/>
          <w:kern w:val="0"/>
          <w:sz w:val="21"/>
          <w:szCs w:val="21"/>
          <w:lang w:val="fr-FR" w:bidi="fr-FR"/>
          <w14:ligatures w14:val="none"/>
        </w:rPr>
        <w:t xml:space="preserve"> le suivi, le contrôle et la surveillance des pêches ainsi que les activités d’observation des pêches au niveau national afin de mettre en place et de tenir à jour :</w:t>
      </w:r>
    </w:p>
    <w:p w14:paraId="2AD4A002" w14:textId="77777777" w:rsidR="00D91F04" w:rsidRPr="00D91F04" w:rsidRDefault="00D91F04" w:rsidP="00D91F04">
      <w:pPr>
        <w:numPr>
          <w:ilvl w:val="0"/>
          <w:numId w:val="14"/>
        </w:numPr>
        <w:spacing w:after="40" w:line="276" w:lineRule="auto"/>
        <w:ind w:left="1434" w:hanging="357"/>
        <w:jc w:val="both"/>
        <w:rPr>
          <w:rFonts w:ascii="Verdana" w:hAnsi="Verdana"/>
          <w:iCs/>
          <w:color w:val="000000" w:themeColor="text1"/>
          <w:kern w:val="0"/>
          <w:sz w:val="21"/>
          <w:szCs w:val="21"/>
          <w:lang w:val="fr-FR"/>
          <w14:ligatures w14:val="none"/>
        </w:rPr>
      </w:pPr>
      <w:proofErr w:type="gramStart"/>
      <w:r w:rsidRPr="00D91F04">
        <w:rPr>
          <w:rFonts w:ascii="Verdana" w:hAnsi="Verdana"/>
          <w:iCs/>
          <w:color w:val="000000" w:themeColor="text1"/>
          <w:kern w:val="0"/>
          <w:sz w:val="21"/>
          <w:szCs w:val="21"/>
          <w:lang w:val="fr-FR" w:bidi="fr-FR"/>
          <w14:ligatures w14:val="none"/>
        </w:rPr>
        <w:t>l’échange</w:t>
      </w:r>
      <w:proofErr w:type="gramEnd"/>
      <w:r w:rsidRPr="00D91F04">
        <w:rPr>
          <w:rFonts w:ascii="Verdana" w:hAnsi="Verdana"/>
          <w:iCs/>
          <w:color w:val="000000" w:themeColor="text1"/>
          <w:kern w:val="0"/>
          <w:sz w:val="21"/>
          <w:szCs w:val="21"/>
          <w:lang w:val="fr-FR" w:bidi="fr-FR"/>
          <w14:ligatures w14:val="none"/>
        </w:rPr>
        <w:t xml:space="preserve"> rapide et régulier d’informations sur les pêches aux fins de la gestion, du suivi, du contrôle et de la surveillance des pêches,</w:t>
      </w:r>
    </w:p>
    <w:p w14:paraId="3A0B3170" w14:textId="77777777" w:rsidR="00D91F04" w:rsidRPr="00D91F04" w:rsidRDefault="00D91F04" w:rsidP="00D91F04">
      <w:pPr>
        <w:numPr>
          <w:ilvl w:val="0"/>
          <w:numId w:val="14"/>
        </w:numPr>
        <w:spacing w:after="40" w:line="276" w:lineRule="auto"/>
        <w:ind w:left="1434" w:hanging="357"/>
        <w:jc w:val="both"/>
        <w:rPr>
          <w:rFonts w:ascii="Verdana" w:hAnsi="Verdana"/>
          <w:iCs/>
          <w:color w:val="000000" w:themeColor="text1"/>
          <w:kern w:val="0"/>
          <w:sz w:val="21"/>
          <w:szCs w:val="21"/>
          <w:lang w:val="fr-FR"/>
          <w14:ligatures w14:val="none"/>
        </w:rPr>
      </w:pPr>
      <w:proofErr w:type="gramStart"/>
      <w:r w:rsidRPr="00D91F04">
        <w:rPr>
          <w:rFonts w:ascii="Verdana" w:hAnsi="Verdana"/>
          <w:iCs/>
          <w:color w:val="000000" w:themeColor="text1"/>
          <w:kern w:val="0"/>
          <w:sz w:val="21"/>
          <w:szCs w:val="21"/>
          <w:lang w:val="fr-FR" w:bidi="fr-FR"/>
          <w14:ligatures w14:val="none"/>
        </w:rPr>
        <w:t>les</w:t>
      </w:r>
      <w:proofErr w:type="gramEnd"/>
      <w:r w:rsidRPr="00D91F04">
        <w:rPr>
          <w:rFonts w:ascii="Verdana" w:hAnsi="Verdana"/>
          <w:iCs/>
          <w:color w:val="000000" w:themeColor="text1"/>
          <w:kern w:val="0"/>
          <w:sz w:val="21"/>
          <w:szCs w:val="21"/>
          <w:lang w:val="fr-FR" w:bidi="fr-FR"/>
          <w14:ligatures w14:val="none"/>
        </w:rPr>
        <w:t xml:space="preserve"> informations sur les activités nationales de suivi, de contrôle et de surveillance, les moyens de surveillance disponibles et les outils de suivi, de contrôle et de surveillance de chacun des États participants,</w:t>
      </w:r>
    </w:p>
    <w:p w14:paraId="5A745ED1" w14:textId="77777777" w:rsidR="00D91F04" w:rsidRPr="00D91F04" w:rsidRDefault="00D91F04" w:rsidP="00D91F04">
      <w:pPr>
        <w:numPr>
          <w:ilvl w:val="0"/>
          <w:numId w:val="14"/>
        </w:numPr>
        <w:spacing w:after="40" w:line="276" w:lineRule="auto"/>
        <w:ind w:left="1434" w:hanging="357"/>
        <w:jc w:val="both"/>
        <w:rPr>
          <w:rFonts w:ascii="Verdana" w:hAnsi="Verdana"/>
          <w:iCs/>
          <w:color w:val="000000" w:themeColor="text1"/>
          <w:kern w:val="0"/>
          <w:sz w:val="21"/>
          <w:szCs w:val="21"/>
          <w:lang w:val="fr-FR"/>
          <w14:ligatures w14:val="none"/>
        </w:rPr>
      </w:pPr>
      <w:proofErr w:type="gramStart"/>
      <w:r w:rsidRPr="00D91F04">
        <w:rPr>
          <w:rFonts w:ascii="Verdana" w:hAnsi="Verdana"/>
          <w:iCs/>
          <w:color w:val="000000" w:themeColor="text1"/>
          <w:kern w:val="0"/>
          <w:sz w:val="21"/>
          <w:szCs w:val="21"/>
          <w:lang w:val="fr-FR" w:bidi="fr-FR"/>
          <w14:ligatures w14:val="none"/>
        </w:rPr>
        <w:t>des</w:t>
      </w:r>
      <w:proofErr w:type="gramEnd"/>
      <w:r w:rsidRPr="00D91F04">
        <w:rPr>
          <w:rFonts w:ascii="Verdana" w:hAnsi="Verdana"/>
          <w:iCs/>
          <w:color w:val="000000" w:themeColor="text1"/>
          <w:kern w:val="0"/>
          <w:sz w:val="21"/>
          <w:szCs w:val="21"/>
          <w:lang w:val="fr-FR" w:bidi="fr-FR"/>
          <w14:ligatures w14:val="none"/>
        </w:rPr>
        <w:t xml:space="preserve"> activités d’observation et de surveillance bilatérales ou multilatérales,</w:t>
      </w:r>
    </w:p>
    <w:p w14:paraId="3D665C8E" w14:textId="77777777" w:rsidR="00D91F04" w:rsidRPr="00D91F04" w:rsidRDefault="00D91F04" w:rsidP="00D91F04">
      <w:pPr>
        <w:numPr>
          <w:ilvl w:val="0"/>
          <w:numId w:val="14"/>
        </w:numPr>
        <w:spacing w:after="40" w:line="276" w:lineRule="auto"/>
        <w:ind w:left="1434" w:hanging="357"/>
        <w:jc w:val="both"/>
        <w:rPr>
          <w:rFonts w:ascii="Verdana" w:hAnsi="Verdana"/>
          <w:iCs/>
          <w:color w:val="000000" w:themeColor="text1"/>
          <w:kern w:val="0"/>
          <w:sz w:val="21"/>
          <w:szCs w:val="21"/>
          <w:lang w:val="fr-FR"/>
          <w14:ligatures w14:val="none"/>
        </w:rPr>
      </w:pPr>
      <w:proofErr w:type="gramStart"/>
      <w:r w:rsidRPr="00D91F04">
        <w:rPr>
          <w:rFonts w:ascii="Verdana" w:hAnsi="Verdana"/>
          <w:iCs/>
          <w:color w:val="000000" w:themeColor="text1"/>
          <w:kern w:val="0"/>
          <w:sz w:val="21"/>
          <w:szCs w:val="21"/>
          <w:lang w:val="fr-FR" w:bidi="fr-FR"/>
          <w14:ligatures w14:val="none"/>
        </w:rPr>
        <w:t>de</w:t>
      </w:r>
      <w:proofErr w:type="gramEnd"/>
      <w:r w:rsidRPr="00D91F04">
        <w:rPr>
          <w:rFonts w:ascii="Verdana" w:hAnsi="Verdana"/>
          <w:iCs/>
          <w:color w:val="000000" w:themeColor="text1"/>
          <w:kern w:val="0"/>
          <w:sz w:val="21"/>
          <w:szCs w:val="21"/>
          <w:lang w:val="fr-FR" w:bidi="fr-FR"/>
          <w14:ligatures w14:val="none"/>
        </w:rPr>
        <w:t xml:space="preserve"> nouvelles méthodes de collecte et d’échange d’informations sur les activités des navires de pêche, et</w:t>
      </w:r>
    </w:p>
    <w:p w14:paraId="1AF98B41" w14:textId="77777777" w:rsidR="00D91F04" w:rsidRPr="00D91F04" w:rsidRDefault="00D91F04" w:rsidP="00D91F04">
      <w:pPr>
        <w:numPr>
          <w:ilvl w:val="0"/>
          <w:numId w:val="14"/>
        </w:numPr>
        <w:spacing w:after="120" w:line="276" w:lineRule="auto"/>
        <w:jc w:val="both"/>
        <w:rPr>
          <w:rFonts w:ascii="Verdana" w:hAnsi="Verdana"/>
          <w:iCs/>
          <w:color w:val="000000" w:themeColor="text1"/>
          <w:kern w:val="0"/>
          <w:sz w:val="21"/>
          <w:szCs w:val="21"/>
          <w:lang w:val="fr-FR"/>
          <w14:ligatures w14:val="none"/>
        </w:rPr>
      </w:pPr>
      <w:proofErr w:type="gramStart"/>
      <w:r w:rsidRPr="00D91F04">
        <w:rPr>
          <w:rFonts w:ascii="Verdana" w:hAnsi="Verdana"/>
          <w:iCs/>
          <w:color w:val="000000" w:themeColor="text1"/>
          <w:kern w:val="0"/>
          <w:sz w:val="21"/>
          <w:szCs w:val="21"/>
          <w:lang w:val="fr-FR" w:bidi="fr-FR"/>
          <w14:ligatures w14:val="none"/>
        </w:rPr>
        <w:t>la</w:t>
      </w:r>
      <w:proofErr w:type="gramEnd"/>
      <w:r w:rsidRPr="00D91F04">
        <w:rPr>
          <w:rFonts w:ascii="Verdana" w:hAnsi="Verdana"/>
          <w:iCs/>
          <w:color w:val="000000" w:themeColor="text1"/>
          <w:kern w:val="0"/>
          <w:sz w:val="21"/>
          <w:szCs w:val="21"/>
          <w:lang w:val="fr-FR" w:bidi="fr-FR"/>
          <w14:ligatures w14:val="none"/>
        </w:rPr>
        <w:t xml:space="preserve"> formation conjointe du personnel en charge du suivi, du contrôle et de la surveillance ;  </w:t>
      </w:r>
    </w:p>
    <w:p w14:paraId="72600404" w14:textId="61AD0140" w:rsidR="00D91F04" w:rsidRPr="00D91F04" w:rsidRDefault="00D91F04" w:rsidP="00D91F04">
      <w:pPr>
        <w:numPr>
          <w:ilvl w:val="0"/>
          <w:numId w:val="13"/>
        </w:numPr>
        <w:spacing w:after="120" w:line="276" w:lineRule="auto"/>
        <w:jc w:val="both"/>
        <w:rPr>
          <w:rFonts w:ascii="Verdana" w:hAnsi="Verdana"/>
          <w:iCs/>
          <w:color w:val="000000" w:themeColor="text1"/>
          <w:kern w:val="0"/>
          <w:sz w:val="21"/>
          <w:szCs w:val="21"/>
          <w:lang w:val="fr-FR"/>
          <w14:ligatures w14:val="none"/>
        </w:rPr>
      </w:pPr>
      <w:proofErr w:type="gramStart"/>
      <w:r w:rsidRPr="00D91F04">
        <w:rPr>
          <w:rFonts w:ascii="Verdana" w:hAnsi="Verdana"/>
          <w:iCs/>
          <w:color w:val="000000" w:themeColor="text1"/>
          <w:kern w:val="0"/>
          <w:sz w:val="21"/>
          <w:szCs w:val="21"/>
          <w:lang w:val="fr-FR" w:bidi="fr-FR"/>
          <w14:ligatures w14:val="none"/>
        </w:rPr>
        <w:t>renforcer</w:t>
      </w:r>
      <w:proofErr w:type="gramEnd"/>
      <w:r w:rsidRPr="00D91F04">
        <w:rPr>
          <w:rFonts w:ascii="Verdana" w:hAnsi="Verdana"/>
          <w:iCs/>
          <w:color w:val="000000" w:themeColor="text1"/>
          <w:kern w:val="0"/>
          <w:sz w:val="21"/>
          <w:szCs w:val="21"/>
          <w:lang w:val="fr-FR" w:bidi="fr-FR"/>
          <w14:ligatures w14:val="none"/>
        </w:rPr>
        <w:t xml:space="preserve"> la coopération régionale en matière de suivi, de contrôle et de surveillance des pêches afin de prévenir, de contrecarrer et d’éliminer la pêche illicite, non déclarée et non réglementée dans la zone de coopération du </w:t>
      </w:r>
      <w:r w:rsidR="00810080">
        <w:rPr>
          <w:rFonts w:ascii="Verdana" w:hAnsi="Verdana"/>
          <w:iCs/>
          <w:color w:val="000000" w:themeColor="text1"/>
          <w:kern w:val="0"/>
          <w:sz w:val="21"/>
          <w:szCs w:val="21"/>
          <w:lang w:val="fr-FR" w:bidi="fr-FR"/>
          <w14:ligatures w14:val="none"/>
        </w:rPr>
        <w:t>CSCSOP</w:t>
      </w:r>
      <w:r w:rsidRPr="00D91F04">
        <w:rPr>
          <w:rFonts w:ascii="Verdana" w:hAnsi="Verdana"/>
          <w:iCs/>
          <w:color w:val="000000" w:themeColor="text1"/>
          <w:kern w:val="0"/>
          <w:sz w:val="21"/>
          <w:szCs w:val="21"/>
          <w:lang w:val="fr-FR" w:bidi="fr-FR"/>
          <w14:ligatures w14:val="none"/>
        </w:rPr>
        <w:t> ;</w:t>
      </w:r>
    </w:p>
    <w:p w14:paraId="688711A0" w14:textId="77777777" w:rsidR="00D91F04" w:rsidRPr="00D91F04" w:rsidRDefault="00D91F04" w:rsidP="00D91F04">
      <w:pPr>
        <w:numPr>
          <w:ilvl w:val="0"/>
          <w:numId w:val="13"/>
        </w:numPr>
        <w:spacing w:after="120" w:line="276" w:lineRule="auto"/>
        <w:jc w:val="both"/>
        <w:rPr>
          <w:rFonts w:ascii="Verdana" w:hAnsi="Verdana"/>
          <w:iCs/>
          <w:color w:val="000000" w:themeColor="text1"/>
          <w:kern w:val="0"/>
          <w:sz w:val="21"/>
          <w:szCs w:val="21"/>
          <w:lang w:val="fr-FR"/>
          <w14:ligatures w14:val="none"/>
        </w:rPr>
      </w:pPr>
      <w:proofErr w:type="gramStart"/>
      <w:r w:rsidRPr="00D91F04">
        <w:rPr>
          <w:rFonts w:ascii="Verdana" w:hAnsi="Verdana"/>
          <w:iCs/>
          <w:color w:val="000000" w:themeColor="text1"/>
          <w:kern w:val="0"/>
          <w:sz w:val="21"/>
          <w:szCs w:val="21"/>
          <w:lang w:val="fr-FR" w:bidi="fr-FR"/>
          <w14:ligatures w14:val="none"/>
        </w:rPr>
        <w:t>améliorer</w:t>
      </w:r>
      <w:proofErr w:type="gramEnd"/>
      <w:r w:rsidRPr="00D91F04">
        <w:rPr>
          <w:rFonts w:ascii="Verdana" w:hAnsi="Verdana"/>
          <w:iCs/>
          <w:color w:val="000000" w:themeColor="text1"/>
          <w:kern w:val="0"/>
          <w:sz w:val="21"/>
          <w:szCs w:val="21"/>
          <w:lang w:val="fr-FR" w:bidi="fr-FR"/>
          <w14:ligatures w14:val="none"/>
        </w:rPr>
        <w:t xml:space="preserve"> le respect par les États participants des mesures de conservation et de gestion des pêches prises par l’organisation régionale de gestion de la pêche.</w:t>
      </w:r>
    </w:p>
    <w:p w14:paraId="20BC10DA" w14:textId="77777777" w:rsidR="00D91F04" w:rsidRPr="00D91F04" w:rsidRDefault="00D91F04" w:rsidP="00D91F04">
      <w:pPr>
        <w:spacing w:after="120" w:line="276" w:lineRule="auto"/>
        <w:ind w:left="360"/>
        <w:jc w:val="both"/>
        <w:rPr>
          <w:rFonts w:ascii="Verdana" w:hAnsi="Verdana"/>
          <w:iCs/>
          <w:color w:val="000000" w:themeColor="text1"/>
          <w:kern w:val="0"/>
          <w:sz w:val="21"/>
          <w:szCs w:val="21"/>
          <w:lang w:val="fr-FR"/>
          <w14:ligatures w14:val="none"/>
        </w:rPr>
      </w:pPr>
    </w:p>
    <w:p w14:paraId="69DF39FC"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14:ligatures w14:val="none"/>
        </w:rPr>
      </w:pPr>
      <w:r w:rsidRPr="00D91F04">
        <w:rPr>
          <w:rFonts w:ascii="Verdana" w:hAnsi="Verdana"/>
          <w:b/>
          <w:iCs/>
          <w:color w:val="00928F"/>
          <w:kern w:val="0"/>
          <w:sz w:val="28"/>
          <w:szCs w:val="28"/>
          <w:lang w:val="fr-FR" w:bidi="fr-FR"/>
          <w14:ligatures w14:val="none"/>
        </w:rPr>
        <w:t>Article 5</w:t>
      </w:r>
    </w:p>
    <w:p w14:paraId="33C05AA1"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14:ligatures w14:val="none"/>
        </w:rPr>
      </w:pPr>
      <w:r w:rsidRPr="00D91F04">
        <w:rPr>
          <w:rFonts w:ascii="Verdana" w:hAnsi="Verdana"/>
          <w:b/>
          <w:iCs/>
          <w:color w:val="00928F"/>
          <w:kern w:val="0"/>
          <w:sz w:val="28"/>
          <w:szCs w:val="28"/>
          <w:lang w:val="fr-FR" w:bidi="fr-FR"/>
          <w14:ligatures w14:val="none"/>
        </w:rPr>
        <w:t>Administration et financement</w:t>
      </w:r>
    </w:p>
    <w:p w14:paraId="7561A368" w14:textId="77777777" w:rsidR="00D91F04" w:rsidRPr="00D91F04" w:rsidRDefault="00D91F04" w:rsidP="00D91F04">
      <w:pPr>
        <w:numPr>
          <w:ilvl w:val="0"/>
          <w:numId w:val="5"/>
        </w:numPr>
        <w:spacing w:after="120" w:line="276" w:lineRule="auto"/>
        <w:jc w:val="both"/>
        <w:rPr>
          <w:rFonts w:ascii="Verdana" w:hAnsi="Verdana"/>
          <w:bCs/>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 xml:space="preserve">L’UCR planifie et coordonne les activités régionales et veille à ce que le Plan d’action régional de surveillance des pêches soit complémentaire </w:t>
      </w:r>
      <w:proofErr w:type="gramStart"/>
      <w:r w:rsidRPr="00D91F04">
        <w:rPr>
          <w:rFonts w:ascii="Verdana" w:hAnsi="Verdana"/>
          <w:iCs/>
          <w:color w:val="000000" w:themeColor="text1"/>
          <w:kern w:val="0"/>
          <w:sz w:val="21"/>
          <w:szCs w:val="21"/>
          <w:lang w:val="fr-FR" w:bidi="fr-FR"/>
          <w14:ligatures w14:val="none"/>
        </w:rPr>
        <w:t>au</w:t>
      </w:r>
      <w:proofErr w:type="gramEnd"/>
      <w:r w:rsidRPr="00D91F04">
        <w:rPr>
          <w:rFonts w:ascii="Verdana" w:hAnsi="Verdana"/>
          <w:iCs/>
          <w:color w:val="000000" w:themeColor="text1"/>
          <w:kern w:val="0"/>
          <w:sz w:val="21"/>
          <w:szCs w:val="21"/>
          <w:lang w:val="fr-FR" w:bidi="fr-FR"/>
          <w14:ligatures w14:val="none"/>
        </w:rPr>
        <w:t xml:space="preserve"> plan national de suivi, de contrôle et de surveillance des pêches de chaque Partie.</w:t>
      </w:r>
    </w:p>
    <w:p w14:paraId="3DC6D394" w14:textId="3080165A" w:rsidR="00D91F04" w:rsidRPr="00D91F04" w:rsidRDefault="00D91F04" w:rsidP="00D91F04">
      <w:pPr>
        <w:numPr>
          <w:ilvl w:val="0"/>
          <w:numId w:val="5"/>
        </w:numPr>
        <w:spacing w:after="120" w:line="276" w:lineRule="auto"/>
        <w:jc w:val="both"/>
        <w:rPr>
          <w:rFonts w:ascii="Verdana" w:hAnsi="Verdana"/>
          <w:bCs/>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Les États participants élaborent un plan d’action régional convenu pour les activités de suivi, de contrôle et de surveillance</w:t>
      </w:r>
      <w:r w:rsidR="00956C81">
        <w:rPr>
          <w:rFonts w:ascii="Verdana" w:hAnsi="Verdana"/>
          <w:iCs/>
          <w:color w:val="000000" w:themeColor="text1"/>
          <w:kern w:val="0"/>
          <w:sz w:val="21"/>
          <w:szCs w:val="21"/>
          <w:lang w:val="fr-FR" w:bidi="fr-FR"/>
          <w14:ligatures w14:val="none"/>
        </w:rPr>
        <w:t xml:space="preserve"> (SCS)</w:t>
      </w:r>
      <w:r w:rsidRPr="00D91F04">
        <w:rPr>
          <w:rFonts w:ascii="Verdana" w:hAnsi="Verdana"/>
          <w:iCs/>
          <w:color w:val="000000" w:themeColor="text1"/>
          <w:kern w:val="0"/>
          <w:sz w:val="21"/>
          <w:szCs w:val="21"/>
          <w:lang w:val="fr-FR" w:bidi="fr-FR"/>
          <w14:ligatures w14:val="none"/>
        </w:rPr>
        <w:t xml:space="preserve">.  </w:t>
      </w:r>
    </w:p>
    <w:p w14:paraId="0FAFA5EB" w14:textId="5B87C53D" w:rsidR="00D91F04" w:rsidRPr="00D91F04" w:rsidRDefault="00D91F04" w:rsidP="00D91F04">
      <w:pPr>
        <w:numPr>
          <w:ilvl w:val="0"/>
          <w:numId w:val="5"/>
        </w:numPr>
        <w:spacing w:after="120" w:line="276" w:lineRule="auto"/>
        <w:jc w:val="both"/>
        <w:rPr>
          <w:rFonts w:ascii="Verdana" w:hAnsi="Verdana"/>
          <w:bCs/>
          <w:iCs/>
          <w:color w:val="000000" w:themeColor="text1"/>
          <w:spacing w:val="-4"/>
          <w:kern w:val="0"/>
          <w:sz w:val="21"/>
          <w:szCs w:val="21"/>
          <w:lang w:val="fr-FR"/>
          <w14:ligatures w14:val="none"/>
        </w:rPr>
      </w:pPr>
      <w:r w:rsidRPr="00D91F04">
        <w:rPr>
          <w:rFonts w:ascii="Verdana" w:hAnsi="Verdana"/>
          <w:iCs/>
          <w:color w:val="000000" w:themeColor="text1"/>
          <w:spacing w:val="-4"/>
          <w:kern w:val="0"/>
          <w:sz w:val="21"/>
          <w:szCs w:val="21"/>
          <w:lang w:val="fr-FR" w:bidi="fr-FR"/>
          <w14:ligatures w14:val="none"/>
        </w:rPr>
        <w:t xml:space="preserve">Au terme de chaque plan d’action annuel de </w:t>
      </w:r>
      <w:r w:rsidR="00956C81">
        <w:rPr>
          <w:rFonts w:ascii="Verdana" w:hAnsi="Verdana"/>
          <w:iCs/>
          <w:color w:val="000000" w:themeColor="text1"/>
          <w:spacing w:val="-4"/>
          <w:kern w:val="0"/>
          <w:sz w:val="21"/>
          <w:szCs w:val="21"/>
          <w:lang w:val="fr-FR" w:bidi="fr-FR"/>
          <w14:ligatures w14:val="none"/>
        </w:rPr>
        <w:t xml:space="preserve">SCS </w:t>
      </w:r>
      <w:r w:rsidRPr="00D91F04">
        <w:rPr>
          <w:rFonts w:ascii="Verdana" w:hAnsi="Verdana"/>
          <w:iCs/>
          <w:color w:val="000000" w:themeColor="text1"/>
          <w:spacing w:val="-4"/>
          <w:kern w:val="0"/>
          <w:sz w:val="21"/>
          <w:szCs w:val="21"/>
          <w:lang w:val="fr-FR" w:bidi="fr-FR"/>
          <w14:ligatures w14:val="none"/>
        </w:rPr>
        <w:t>régionale des pêches, chacun des États participants informe la COI, par l’intermédiaire de l’UCR, des mesures nationales prises au cours de l’année écoulée et des mesures prévues pour l’année suivante en vue de mettre en œuvre le Plan d’action régional de surveillance des pêches, ainsi que du budget correspondant.</w:t>
      </w:r>
    </w:p>
    <w:p w14:paraId="607CD0FB" w14:textId="77777777" w:rsidR="00D91F04" w:rsidRPr="00D91F04" w:rsidRDefault="00D91F04" w:rsidP="00D91F04">
      <w:pPr>
        <w:spacing w:after="120" w:line="276" w:lineRule="auto"/>
        <w:jc w:val="both"/>
        <w:rPr>
          <w:rFonts w:ascii="Verdana" w:hAnsi="Verdana"/>
          <w:bCs/>
          <w:iCs/>
          <w:color w:val="000000" w:themeColor="text1"/>
          <w:kern w:val="0"/>
          <w:sz w:val="21"/>
          <w:szCs w:val="21"/>
          <w:lang w:val="fr-FR"/>
          <w14:ligatures w14:val="none"/>
        </w:rPr>
      </w:pPr>
    </w:p>
    <w:p w14:paraId="2F6A1842"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lang w:val="fr-FR"/>
          <w14:ligatures w14:val="none"/>
        </w:rPr>
      </w:pPr>
      <w:r w:rsidRPr="00D91F04">
        <w:rPr>
          <w:rFonts w:ascii="Verdana" w:hAnsi="Verdana"/>
          <w:b/>
          <w:iCs/>
          <w:color w:val="00928F"/>
          <w:kern w:val="0"/>
          <w:sz w:val="28"/>
          <w:szCs w:val="28"/>
          <w:lang w:val="fr-FR" w:bidi="fr-FR"/>
          <w14:ligatures w14:val="none"/>
        </w:rPr>
        <w:lastRenderedPageBreak/>
        <w:t>Article 6</w:t>
      </w:r>
    </w:p>
    <w:p w14:paraId="1431651C"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lang w:val="fr-FR"/>
          <w14:ligatures w14:val="none"/>
        </w:rPr>
      </w:pPr>
      <w:r w:rsidRPr="00D91F04">
        <w:rPr>
          <w:rFonts w:ascii="Verdana" w:hAnsi="Verdana"/>
          <w:b/>
          <w:iCs/>
          <w:color w:val="00928F"/>
          <w:kern w:val="0"/>
          <w:sz w:val="28"/>
          <w:szCs w:val="28"/>
          <w:lang w:val="fr-FR" w:bidi="fr-FR"/>
          <w14:ligatures w14:val="none"/>
        </w:rPr>
        <w:t>Missions d’observation sous-régionale en coopération</w:t>
      </w:r>
    </w:p>
    <w:p w14:paraId="4600A170" w14:textId="77777777" w:rsidR="00D91F04" w:rsidRPr="00D91F04" w:rsidRDefault="00D91F04" w:rsidP="00D91F04">
      <w:pPr>
        <w:numPr>
          <w:ilvl w:val="0"/>
          <w:numId w:val="6"/>
        </w:numPr>
        <w:spacing w:after="120" w:line="276" w:lineRule="auto"/>
        <w:jc w:val="both"/>
        <w:rPr>
          <w:rFonts w:ascii="Verdana" w:hAnsi="Verdana" w:cs="Times New Roman (Body CS)"/>
          <w:bCs/>
          <w:iCs/>
          <w:color w:val="000000" w:themeColor="text1"/>
          <w:kern w:val="0"/>
          <w:sz w:val="21"/>
          <w:szCs w:val="21"/>
          <w:lang w:val="fr-FR"/>
          <w14:ligatures w14:val="none"/>
        </w:rPr>
      </w:pPr>
      <w:r w:rsidRPr="00D91F04">
        <w:rPr>
          <w:rFonts w:ascii="Verdana" w:hAnsi="Verdana" w:cs="Times New Roman (Body CS)"/>
          <w:iCs/>
          <w:color w:val="000000" w:themeColor="text1"/>
          <w:kern w:val="0"/>
          <w:sz w:val="21"/>
          <w:szCs w:val="21"/>
          <w:lang w:val="fr-FR" w:bidi="fr-FR"/>
          <w14:ligatures w14:val="none"/>
        </w:rPr>
        <w:t xml:space="preserve">Deux ou plusieurs États participants peuvent entreprendre des missions d’observation sous-régionale en coopération dans le but de mettre en commun et d’optimiser leurs moyens d’observation. </w:t>
      </w:r>
    </w:p>
    <w:p w14:paraId="213E1D5B" w14:textId="77777777" w:rsidR="00D91F04" w:rsidRPr="00D91F04" w:rsidRDefault="00D91F04" w:rsidP="00D91F04">
      <w:pPr>
        <w:numPr>
          <w:ilvl w:val="0"/>
          <w:numId w:val="6"/>
        </w:numPr>
        <w:spacing w:after="120" w:line="276" w:lineRule="auto"/>
        <w:jc w:val="both"/>
        <w:rPr>
          <w:rFonts w:ascii="Verdana" w:hAnsi="Verdana"/>
          <w:bCs/>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Les mesures d’observation sous-régionale en coopération font l’objet d’un mémorandum d’accord préalable conclu entre les États participants, qui précise ce qui suit :</w:t>
      </w:r>
    </w:p>
    <w:p w14:paraId="66F8F377" w14:textId="77777777" w:rsidR="00D91F04" w:rsidRPr="00D91F04" w:rsidRDefault="00D91F04" w:rsidP="00D91F04">
      <w:pPr>
        <w:numPr>
          <w:ilvl w:val="1"/>
          <w:numId w:val="1"/>
        </w:numPr>
        <w:spacing w:after="120" w:line="276" w:lineRule="auto"/>
        <w:ind w:left="993" w:hanging="284"/>
        <w:jc w:val="both"/>
        <w:rPr>
          <w:rFonts w:ascii="Verdana" w:hAnsi="Verdana"/>
          <w:bCs/>
          <w:iCs/>
          <w:color w:val="000000" w:themeColor="text1"/>
          <w:kern w:val="0"/>
          <w:sz w:val="21"/>
          <w:szCs w:val="21"/>
          <w:lang w:val="fr-FR"/>
          <w14:ligatures w14:val="none"/>
        </w:rPr>
      </w:pPr>
      <w:proofErr w:type="gramStart"/>
      <w:r w:rsidRPr="00D91F04">
        <w:rPr>
          <w:rFonts w:ascii="Verdana" w:hAnsi="Verdana"/>
          <w:iCs/>
          <w:color w:val="000000" w:themeColor="text1"/>
          <w:kern w:val="0"/>
          <w:sz w:val="21"/>
          <w:szCs w:val="21"/>
          <w:lang w:val="fr-FR" w:bidi="fr-FR"/>
          <w14:ligatures w14:val="none"/>
        </w:rPr>
        <w:t>les</w:t>
      </w:r>
      <w:proofErr w:type="gramEnd"/>
      <w:r w:rsidRPr="00D91F04">
        <w:rPr>
          <w:rFonts w:ascii="Verdana" w:hAnsi="Verdana"/>
          <w:iCs/>
          <w:color w:val="000000" w:themeColor="text1"/>
          <w:kern w:val="0"/>
          <w:sz w:val="21"/>
          <w:szCs w:val="21"/>
          <w:lang w:val="fr-FR" w:bidi="fr-FR"/>
          <w14:ligatures w14:val="none"/>
        </w:rPr>
        <w:t xml:space="preserve"> observateurs concernés continuent de rendre compte à leur autorité nationale compétente désignée ;</w:t>
      </w:r>
    </w:p>
    <w:p w14:paraId="77A0FA0A" w14:textId="77777777" w:rsidR="00D91F04" w:rsidRPr="00D91F04" w:rsidRDefault="00D91F04" w:rsidP="00D91F04">
      <w:pPr>
        <w:numPr>
          <w:ilvl w:val="1"/>
          <w:numId w:val="1"/>
        </w:numPr>
        <w:spacing w:after="120" w:line="276" w:lineRule="auto"/>
        <w:ind w:left="993" w:hanging="284"/>
        <w:jc w:val="both"/>
        <w:rPr>
          <w:rFonts w:ascii="Verdana" w:hAnsi="Verdana"/>
          <w:bCs/>
          <w:iCs/>
          <w:color w:val="000000" w:themeColor="text1"/>
          <w:kern w:val="0"/>
          <w:sz w:val="21"/>
          <w:szCs w:val="21"/>
          <w:lang w:val="fr-FR"/>
          <w14:ligatures w14:val="none"/>
        </w:rPr>
      </w:pPr>
      <w:proofErr w:type="gramStart"/>
      <w:r w:rsidRPr="00D91F04">
        <w:rPr>
          <w:rFonts w:ascii="Verdana" w:hAnsi="Verdana"/>
          <w:iCs/>
          <w:color w:val="000000" w:themeColor="text1"/>
          <w:kern w:val="0"/>
          <w:sz w:val="21"/>
          <w:szCs w:val="21"/>
          <w:lang w:val="fr-FR" w:bidi="fr-FR"/>
          <w14:ligatures w14:val="none"/>
        </w:rPr>
        <w:t>l’autorité</w:t>
      </w:r>
      <w:proofErr w:type="gramEnd"/>
      <w:r w:rsidRPr="00D91F04">
        <w:rPr>
          <w:rFonts w:ascii="Verdana" w:hAnsi="Verdana"/>
          <w:iCs/>
          <w:color w:val="000000" w:themeColor="text1"/>
          <w:kern w:val="0"/>
          <w:sz w:val="21"/>
          <w:szCs w:val="21"/>
          <w:lang w:val="fr-FR" w:bidi="fr-FR"/>
          <w14:ligatures w14:val="none"/>
        </w:rPr>
        <w:t xml:space="preserve"> nationale compétente désignée d’un observateur est chargée de transmettre le rapport et les informations de l’observateur à l’autorité ou aux autorités compétentes concernées par la mission. </w:t>
      </w:r>
    </w:p>
    <w:p w14:paraId="75A53B5B" w14:textId="77777777" w:rsidR="00D91F04" w:rsidRPr="00D91F04" w:rsidRDefault="00D91F04" w:rsidP="00D91F04">
      <w:pPr>
        <w:numPr>
          <w:ilvl w:val="0"/>
          <w:numId w:val="6"/>
        </w:numPr>
        <w:spacing w:after="120" w:line="276" w:lineRule="auto"/>
        <w:jc w:val="both"/>
        <w:rPr>
          <w:rFonts w:ascii="Verdana" w:hAnsi="Verdana" w:cs="Times New Roman (Body CS)"/>
          <w:bCs/>
          <w:iCs/>
          <w:color w:val="000000" w:themeColor="text1"/>
          <w:kern w:val="0"/>
          <w:sz w:val="21"/>
          <w:szCs w:val="21"/>
          <w:lang w:val="fr-FR"/>
          <w14:ligatures w14:val="none"/>
        </w:rPr>
      </w:pPr>
      <w:r w:rsidRPr="00D91F04">
        <w:rPr>
          <w:rFonts w:ascii="Verdana" w:hAnsi="Verdana" w:cs="Times New Roman (Body CS)"/>
          <w:iCs/>
          <w:color w:val="000000" w:themeColor="text1"/>
          <w:kern w:val="0"/>
          <w:sz w:val="21"/>
          <w:szCs w:val="21"/>
          <w:lang w:val="fr-FR" w:bidi="fr-FR"/>
          <w14:ligatures w14:val="none"/>
        </w:rPr>
        <w:t>Le GT-</w:t>
      </w:r>
      <w:proofErr w:type="spellStart"/>
      <w:r w:rsidRPr="00D91F04">
        <w:rPr>
          <w:rFonts w:ascii="Verdana" w:hAnsi="Verdana" w:cs="Times New Roman (Body CS)"/>
          <w:iCs/>
          <w:color w:val="000000" w:themeColor="text1"/>
          <w:kern w:val="0"/>
          <w:sz w:val="21"/>
          <w:szCs w:val="21"/>
          <w:lang w:val="fr-FR" w:bidi="fr-FR"/>
          <w14:ligatures w14:val="none"/>
        </w:rPr>
        <w:t>rPNO</w:t>
      </w:r>
      <w:proofErr w:type="spellEnd"/>
      <w:r w:rsidRPr="00D91F04">
        <w:rPr>
          <w:rFonts w:ascii="Verdana" w:hAnsi="Verdana" w:cs="Times New Roman (Body CS)"/>
          <w:iCs/>
          <w:color w:val="000000" w:themeColor="text1"/>
          <w:kern w:val="0"/>
          <w:sz w:val="21"/>
          <w:szCs w:val="21"/>
          <w:lang w:val="fr-FR" w:bidi="fr-FR"/>
          <w14:ligatures w14:val="none"/>
        </w:rPr>
        <w:t xml:space="preserve"> est chargé, entre autres, de coordonner les missions d’observation sous-régionale, conformément à son mandat.   La liste des responsables des programmes nationaux d’observateurs figure à l’annexe 6 et peut être mise à jour par les États participants par notification écrite adressée à la COI.  </w:t>
      </w:r>
    </w:p>
    <w:p w14:paraId="5EE2F749" w14:textId="77777777" w:rsidR="00D91F04" w:rsidRPr="00D91F04" w:rsidRDefault="00D91F04" w:rsidP="00D91F04">
      <w:pPr>
        <w:spacing w:after="120" w:line="276" w:lineRule="auto"/>
        <w:jc w:val="both"/>
        <w:rPr>
          <w:rFonts w:ascii="Verdana" w:hAnsi="Verdana" w:cs="Times New Roman (Body CS)"/>
          <w:bCs/>
          <w:iCs/>
          <w:color w:val="000000" w:themeColor="text1"/>
          <w:kern w:val="0"/>
          <w:sz w:val="21"/>
          <w:szCs w:val="21"/>
          <w:lang w:val="fr-FR"/>
          <w14:ligatures w14:val="none"/>
        </w:rPr>
      </w:pPr>
    </w:p>
    <w:p w14:paraId="443594A5"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lang w:val="fr-FR"/>
          <w14:ligatures w14:val="none"/>
        </w:rPr>
      </w:pPr>
      <w:r w:rsidRPr="00D91F04">
        <w:rPr>
          <w:rFonts w:ascii="Verdana" w:hAnsi="Verdana"/>
          <w:b/>
          <w:iCs/>
          <w:color w:val="00928F"/>
          <w:kern w:val="0"/>
          <w:sz w:val="28"/>
          <w:szCs w:val="28"/>
          <w:lang w:val="fr-FR" w:bidi="fr-FR"/>
          <w14:ligatures w14:val="none"/>
        </w:rPr>
        <w:t>Article 7</w:t>
      </w:r>
    </w:p>
    <w:p w14:paraId="569451B6"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lang w:val="fr-FR"/>
          <w14:ligatures w14:val="none"/>
        </w:rPr>
      </w:pPr>
      <w:r w:rsidRPr="00D91F04">
        <w:rPr>
          <w:rFonts w:ascii="Verdana" w:hAnsi="Verdana"/>
          <w:b/>
          <w:iCs/>
          <w:color w:val="00928F"/>
          <w:kern w:val="0"/>
          <w:sz w:val="28"/>
          <w:szCs w:val="28"/>
          <w:lang w:val="fr-FR" w:bidi="fr-FR"/>
          <w14:ligatures w14:val="none"/>
        </w:rPr>
        <w:t>Procédures de mise en œuvre des articles 5 et 6</w:t>
      </w:r>
    </w:p>
    <w:p w14:paraId="130F8FCE" w14:textId="50D664E8" w:rsidR="00D91F04" w:rsidRPr="00D91F04" w:rsidRDefault="00D91F04" w:rsidP="00D91F04">
      <w:pPr>
        <w:spacing w:after="120" w:line="276" w:lineRule="auto"/>
        <w:jc w:val="both"/>
        <w:rPr>
          <w:rFonts w:ascii="Verdana" w:hAnsi="Verdana"/>
          <w:bCs/>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 xml:space="preserve">Les États participants peuvent convenir, par l’intermédiaire de </w:t>
      </w:r>
      <w:r w:rsidR="00EB1A39">
        <w:rPr>
          <w:rFonts w:ascii="Verdana" w:hAnsi="Verdana"/>
          <w:iCs/>
          <w:color w:val="000000" w:themeColor="text1"/>
          <w:kern w:val="0"/>
          <w:sz w:val="21"/>
          <w:szCs w:val="21"/>
          <w:lang w:val="fr-FR" w:bidi="fr-FR"/>
          <w14:ligatures w14:val="none"/>
        </w:rPr>
        <w:t>Comité de pilotage</w:t>
      </w:r>
      <w:r w:rsidRPr="00D91F04">
        <w:rPr>
          <w:rFonts w:ascii="Verdana" w:hAnsi="Verdana"/>
          <w:iCs/>
          <w:color w:val="000000" w:themeColor="text1"/>
          <w:kern w:val="0"/>
          <w:sz w:val="21"/>
          <w:szCs w:val="21"/>
          <w:lang w:val="fr-FR" w:bidi="fr-FR"/>
          <w14:ligatures w14:val="none"/>
        </w:rPr>
        <w:t>, de procédures de mise en œuvre des articles 5 et 6, qui, d’un commun accord, sont contraignantes pour les Parties.</w:t>
      </w:r>
    </w:p>
    <w:p w14:paraId="570C9FC3"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lang w:val="fr-FR"/>
          <w14:ligatures w14:val="none"/>
        </w:rPr>
      </w:pPr>
      <w:r w:rsidRPr="00D91F04">
        <w:rPr>
          <w:rFonts w:ascii="Verdana" w:hAnsi="Verdana"/>
          <w:b/>
          <w:iCs/>
          <w:color w:val="00928F"/>
          <w:kern w:val="0"/>
          <w:sz w:val="28"/>
          <w:szCs w:val="28"/>
          <w:lang w:val="fr-FR" w:bidi="fr-FR"/>
          <w14:ligatures w14:val="none"/>
        </w:rPr>
        <w:t>Article 8</w:t>
      </w:r>
    </w:p>
    <w:p w14:paraId="1A59D216"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lang w:val="fr-FR"/>
          <w14:ligatures w14:val="none"/>
        </w:rPr>
      </w:pPr>
      <w:r w:rsidRPr="00D91F04">
        <w:rPr>
          <w:rFonts w:ascii="Verdana" w:hAnsi="Verdana"/>
          <w:b/>
          <w:iCs/>
          <w:color w:val="00928F"/>
          <w:kern w:val="0"/>
          <w:sz w:val="28"/>
          <w:szCs w:val="28"/>
          <w:lang w:val="fr-FR" w:bidi="fr-FR"/>
          <w14:ligatures w14:val="none"/>
        </w:rPr>
        <w:t xml:space="preserve">Missions de surveillance sous-régionale en coopération </w:t>
      </w:r>
    </w:p>
    <w:p w14:paraId="02DD4C18" w14:textId="77777777" w:rsidR="00D91F04" w:rsidRPr="00D91F04" w:rsidRDefault="00D91F04" w:rsidP="00D91F04">
      <w:pPr>
        <w:numPr>
          <w:ilvl w:val="0"/>
          <w:numId w:val="10"/>
        </w:numPr>
        <w:spacing w:after="120" w:line="252" w:lineRule="auto"/>
        <w:ind w:left="357" w:hanging="357"/>
        <w:jc w:val="both"/>
        <w:rPr>
          <w:rFonts w:ascii="Verdana" w:hAnsi="Verdana"/>
          <w:bCs/>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Deux ou plusieurs États participants peuvent entreprendre des missions de surveillance sous-régionale en coopération dans le but de mettre en commun et d’optimiser leurs moyens de surveillance maritime ou aérienne et les inspecteurs dont ils disposent, encourageant ainsi la mise en œuvre du mécanisme de surveillance dans le cadre du Plan de surveillance des pêches dans le sud-ouest de l’océan Indien.</w:t>
      </w:r>
    </w:p>
    <w:p w14:paraId="7EBCEDBC" w14:textId="77777777" w:rsidR="00D91F04" w:rsidRPr="00D91F04" w:rsidRDefault="00D91F04" w:rsidP="00D91F04">
      <w:pPr>
        <w:numPr>
          <w:ilvl w:val="0"/>
          <w:numId w:val="10"/>
        </w:numPr>
        <w:spacing w:after="120" w:line="252" w:lineRule="auto"/>
        <w:ind w:left="357" w:hanging="357"/>
        <w:jc w:val="both"/>
        <w:rPr>
          <w:rFonts w:ascii="Verdana" w:hAnsi="Verdana"/>
          <w:bCs/>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Les missions de surveillance sous-régionale en coopération font l’objet d’un mémorandum d’accord conclu au préalable entre les États participants, qui fixe les conditions et les limites d’utilisation des moyens, et qui précise ce qui suit :</w:t>
      </w:r>
    </w:p>
    <w:p w14:paraId="30F94E45" w14:textId="77777777" w:rsidR="00D91F04" w:rsidRPr="00D91F04" w:rsidRDefault="00D91F04" w:rsidP="00D91F04">
      <w:pPr>
        <w:numPr>
          <w:ilvl w:val="1"/>
          <w:numId w:val="2"/>
        </w:numPr>
        <w:spacing w:after="40" w:line="276" w:lineRule="auto"/>
        <w:ind w:left="1168" w:hanging="357"/>
        <w:jc w:val="both"/>
        <w:rPr>
          <w:rFonts w:ascii="Verdana" w:hAnsi="Verdana"/>
          <w:bCs/>
          <w:iCs/>
          <w:color w:val="000000" w:themeColor="text1"/>
          <w:kern w:val="0"/>
          <w:sz w:val="21"/>
          <w:szCs w:val="21"/>
          <w:lang w:val="fr-FR"/>
          <w14:ligatures w14:val="none"/>
        </w:rPr>
      </w:pPr>
      <w:proofErr w:type="gramStart"/>
      <w:r w:rsidRPr="00D91F04">
        <w:rPr>
          <w:rFonts w:ascii="Verdana" w:hAnsi="Verdana"/>
          <w:iCs/>
          <w:color w:val="000000" w:themeColor="text1"/>
          <w:kern w:val="0"/>
          <w:sz w:val="21"/>
          <w:szCs w:val="21"/>
          <w:lang w:val="fr-FR" w:bidi="fr-FR"/>
          <w14:ligatures w14:val="none"/>
        </w:rPr>
        <w:t>l’autorité</w:t>
      </w:r>
      <w:proofErr w:type="gramEnd"/>
      <w:r w:rsidRPr="00D91F04">
        <w:rPr>
          <w:rFonts w:ascii="Verdana" w:hAnsi="Verdana"/>
          <w:iCs/>
          <w:color w:val="000000" w:themeColor="text1"/>
          <w:kern w:val="0"/>
          <w:sz w:val="21"/>
          <w:szCs w:val="21"/>
          <w:lang w:val="fr-FR" w:bidi="fr-FR"/>
          <w14:ligatures w14:val="none"/>
        </w:rPr>
        <w:t xml:space="preserve"> déléguée accepte de recevoir le ou les moyens de surveillance ou le ou les inspecteurs d’une ou de plusieurs autres Parties ;</w:t>
      </w:r>
    </w:p>
    <w:p w14:paraId="673C791E" w14:textId="77777777" w:rsidR="00D91F04" w:rsidRPr="00D91F04" w:rsidRDefault="00D91F04" w:rsidP="00D91F04">
      <w:pPr>
        <w:numPr>
          <w:ilvl w:val="1"/>
          <w:numId w:val="2"/>
        </w:numPr>
        <w:spacing w:after="40" w:line="276" w:lineRule="auto"/>
        <w:ind w:left="1168" w:hanging="357"/>
        <w:jc w:val="both"/>
        <w:rPr>
          <w:rFonts w:ascii="Verdana" w:hAnsi="Verdana"/>
          <w:bCs/>
          <w:iCs/>
          <w:color w:val="000000" w:themeColor="text1"/>
          <w:kern w:val="0"/>
          <w:sz w:val="21"/>
          <w:szCs w:val="21"/>
          <w:lang w:val="fr-FR"/>
          <w14:ligatures w14:val="none"/>
        </w:rPr>
      </w:pPr>
      <w:proofErr w:type="gramStart"/>
      <w:r w:rsidRPr="00D91F04">
        <w:rPr>
          <w:rFonts w:ascii="Verdana" w:hAnsi="Verdana"/>
          <w:iCs/>
          <w:color w:val="000000" w:themeColor="text1"/>
          <w:kern w:val="0"/>
          <w:sz w:val="21"/>
          <w:szCs w:val="21"/>
          <w:lang w:val="fr-FR" w:bidi="fr-FR"/>
          <w14:ligatures w14:val="none"/>
        </w:rPr>
        <w:t>la</w:t>
      </w:r>
      <w:proofErr w:type="gramEnd"/>
      <w:r w:rsidRPr="00D91F04">
        <w:rPr>
          <w:rFonts w:ascii="Verdana" w:hAnsi="Verdana"/>
          <w:iCs/>
          <w:color w:val="000000" w:themeColor="text1"/>
          <w:kern w:val="0"/>
          <w:sz w:val="21"/>
          <w:szCs w:val="21"/>
          <w:lang w:val="fr-FR" w:bidi="fr-FR"/>
          <w14:ligatures w14:val="none"/>
        </w:rPr>
        <w:t xml:space="preserve"> liste des moyens aériens ou maritimes à utiliser spécifiquement ;</w:t>
      </w:r>
    </w:p>
    <w:p w14:paraId="15FF5BC0" w14:textId="77777777" w:rsidR="00D91F04" w:rsidRPr="00D91F04" w:rsidRDefault="00D91F04" w:rsidP="00D91F04">
      <w:pPr>
        <w:numPr>
          <w:ilvl w:val="1"/>
          <w:numId w:val="2"/>
        </w:numPr>
        <w:spacing w:after="40" w:line="276" w:lineRule="auto"/>
        <w:ind w:left="1168" w:hanging="357"/>
        <w:jc w:val="both"/>
        <w:rPr>
          <w:rFonts w:ascii="Verdana" w:hAnsi="Verdana"/>
          <w:bCs/>
          <w:iCs/>
          <w:color w:val="000000" w:themeColor="text1"/>
          <w:kern w:val="0"/>
          <w:sz w:val="21"/>
          <w:szCs w:val="21"/>
          <w14:ligatures w14:val="none"/>
        </w:rPr>
      </w:pPr>
      <w:proofErr w:type="gramStart"/>
      <w:r w:rsidRPr="00D91F04">
        <w:rPr>
          <w:rFonts w:ascii="Verdana" w:hAnsi="Verdana"/>
          <w:iCs/>
          <w:color w:val="000000" w:themeColor="text1"/>
          <w:kern w:val="0"/>
          <w:sz w:val="21"/>
          <w:szCs w:val="21"/>
          <w:lang w:val="fr-FR" w:bidi="fr-FR"/>
          <w14:ligatures w14:val="none"/>
        </w:rPr>
        <w:t>les</w:t>
      </w:r>
      <w:proofErr w:type="gramEnd"/>
      <w:r w:rsidRPr="00D91F04">
        <w:rPr>
          <w:rFonts w:ascii="Verdana" w:hAnsi="Verdana"/>
          <w:iCs/>
          <w:color w:val="000000" w:themeColor="text1"/>
          <w:kern w:val="0"/>
          <w:sz w:val="21"/>
          <w:szCs w:val="21"/>
          <w:lang w:val="fr-FR" w:bidi="fr-FR"/>
          <w14:ligatures w14:val="none"/>
        </w:rPr>
        <w:t xml:space="preserve"> instructions permanentes applicables. </w:t>
      </w:r>
    </w:p>
    <w:p w14:paraId="006FA527" w14:textId="77777777" w:rsidR="00D91F04" w:rsidRPr="00D91F04" w:rsidRDefault="00D91F04" w:rsidP="00D91F04">
      <w:pPr>
        <w:spacing w:after="120" w:line="276" w:lineRule="auto"/>
        <w:ind w:left="851" w:hanging="851"/>
        <w:contextualSpacing/>
        <w:jc w:val="center"/>
        <w:rPr>
          <w:rFonts w:ascii="Verdana" w:hAnsi="Verdana"/>
          <w:b/>
          <w:iCs/>
          <w:color w:val="00928F"/>
          <w:kern w:val="0"/>
          <w14:ligatures w14:val="none"/>
        </w:rPr>
      </w:pPr>
    </w:p>
    <w:p w14:paraId="561F78D2"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14:ligatures w14:val="none"/>
        </w:rPr>
      </w:pPr>
      <w:r w:rsidRPr="00D91F04">
        <w:rPr>
          <w:rFonts w:ascii="Verdana" w:hAnsi="Verdana"/>
          <w:b/>
          <w:iCs/>
          <w:color w:val="00928F"/>
          <w:kern w:val="0"/>
          <w:sz w:val="28"/>
          <w:szCs w:val="28"/>
          <w:lang w:val="fr-FR" w:bidi="fr-FR"/>
          <w14:ligatures w14:val="none"/>
        </w:rPr>
        <w:t>Article 9</w:t>
      </w:r>
    </w:p>
    <w:p w14:paraId="106AFE37"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14:ligatures w14:val="none"/>
        </w:rPr>
      </w:pPr>
      <w:r w:rsidRPr="00D91F04">
        <w:rPr>
          <w:rFonts w:ascii="Verdana" w:hAnsi="Verdana"/>
          <w:b/>
          <w:iCs/>
          <w:color w:val="00928F"/>
          <w:kern w:val="0"/>
          <w:sz w:val="28"/>
          <w:szCs w:val="28"/>
          <w:lang w:val="fr-FR" w:bidi="fr-FR"/>
          <w14:ligatures w14:val="none"/>
        </w:rPr>
        <w:t>Relation avec d’autres accords</w:t>
      </w:r>
    </w:p>
    <w:p w14:paraId="73A72E76" w14:textId="77777777" w:rsidR="00D91F04" w:rsidRPr="00D91F04" w:rsidRDefault="00D91F04" w:rsidP="00D91F04">
      <w:pPr>
        <w:spacing w:after="120" w:line="276" w:lineRule="auto"/>
        <w:jc w:val="both"/>
        <w:rPr>
          <w:rFonts w:ascii="Verdana" w:hAnsi="Verdana"/>
          <w:iCs/>
          <w:color w:val="000000" w:themeColor="text1"/>
          <w:kern w:val="0"/>
          <w:sz w:val="21"/>
          <w:szCs w:val="21"/>
          <w:lang w:val="fr-FR" w:bidi="fr-FR"/>
          <w14:ligatures w14:val="none"/>
        </w:rPr>
      </w:pPr>
      <w:r w:rsidRPr="00D91F04">
        <w:rPr>
          <w:rFonts w:ascii="Verdana" w:hAnsi="Verdana"/>
          <w:iCs/>
          <w:color w:val="000000" w:themeColor="text1"/>
          <w:kern w:val="0"/>
          <w:sz w:val="21"/>
          <w:szCs w:val="21"/>
          <w:lang w:val="fr-FR" w:bidi="fr-FR"/>
          <w14:ligatures w14:val="none"/>
        </w:rPr>
        <w:lastRenderedPageBreak/>
        <w:t>Aucune disposition du présent Accord ne peut être interprétée comme portant atteinte aux droits et obligations des Parties au titre d’autres accords internationaux auxquels elles sont parties à la date de signature du présent Accord.</w:t>
      </w:r>
    </w:p>
    <w:p w14:paraId="6FAE64B1" w14:textId="77777777" w:rsidR="00D91F04" w:rsidRPr="00D91F04" w:rsidRDefault="00D91F04" w:rsidP="00D91F04">
      <w:pPr>
        <w:spacing w:after="0" w:line="276" w:lineRule="auto"/>
        <w:jc w:val="both"/>
        <w:rPr>
          <w:rFonts w:ascii="Verdana" w:hAnsi="Verdana"/>
          <w:iCs/>
          <w:color w:val="000000" w:themeColor="text1"/>
          <w:kern w:val="0"/>
          <w:sz w:val="18"/>
          <w:szCs w:val="18"/>
          <w:lang w:val="fr-FR"/>
          <w14:ligatures w14:val="none"/>
        </w:rPr>
      </w:pPr>
    </w:p>
    <w:p w14:paraId="1059D603"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14:ligatures w14:val="none"/>
        </w:rPr>
      </w:pPr>
      <w:r w:rsidRPr="00D91F04">
        <w:rPr>
          <w:rFonts w:ascii="Verdana" w:hAnsi="Verdana"/>
          <w:b/>
          <w:iCs/>
          <w:color w:val="00928F"/>
          <w:kern w:val="0"/>
          <w:sz w:val="28"/>
          <w:szCs w:val="28"/>
          <w:lang w:val="fr-FR" w:bidi="fr-FR"/>
          <w14:ligatures w14:val="none"/>
        </w:rPr>
        <w:t>Article 10</w:t>
      </w:r>
    </w:p>
    <w:p w14:paraId="6173E05E"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14:ligatures w14:val="none"/>
        </w:rPr>
      </w:pPr>
      <w:r w:rsidRPr="00D91F04">
        <w:rPr>
          <w:rFonts w:ascii="Verdana" w:hAnsi="Verdana"/>
          <w:b/>
          <w:iCs/>
          <w:color w:val="00928F"/>
          <w:kern w:val="0"/>
          <w:sz w:val="28"/>
          <w:szCs w:val="28"/>
          <w:lang w:val="fr-FR" w:bidi="fr-FR"/>
          <w14:ligatures w14:val="none"/>
        </w:rPr>
        <w:t>Annexes</w:t>
      </w:r>
    </w:p>
    <w:p w14:paraId="35736797" w14:textId="77777777" w:rsidR="00D91F04" w:rsidRPr="00D91F04" w:rsidRDefault="00D91F04" w:rsidP="00D91F04">
      <w:pPr>
        <w:numPr>
          <w:ilvl w:val="0"/>
          <w:numId w:val="3"/>
        </w:numPr>
        <w:spacing w:after="120" w:line="276" w:lineRule="auto"/>
        <w:jc w:val="both"/>
        <w:rPr>
          <w:rFonts w:ascii="Verdana" w:hAnsi="Verdana"/>
          <w:bCs/>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 xml:space="preserve">Les annexes font partie intégrante du présent Accord. </w:t>
      </w:r>
    </w:p>
    <w:p w14:paraId="2759E5D9" w14:textId="77777777" w:rsidR="00D91F04" w:rsidRPr="00D91F04" w:rsidRDefault="00D91F04" w:rsidP="00D91F04">
      <w:pPr>
        <w:numPr>
          <w:ilvl w:val="0"/>
          <w:numId w:val="3"/>
        </w:numPr>
        <w:spacing w:after="120" w:line="276" w:lineRule="auto"/>
        <w:jc w:val="both"/>
        <w:rPr>
          <w:rFonts w:ascii="Verdana" w:hAnsi="Verdana"/>
          <w:bCs/>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 xml:space="preserve">L’annexe 1 est destinée à servir de référence pour la conduite des activités opérationnelles et aucune disposition du présent Accord ne peut être considérée comme portant atteinte aux droits, aux revendications ou aux points de vue d’une Partie en ce qui concerne les limites ou l’étendue de sa juridiction nationale. </w:t>
      </w:r>
    </w:p>
    <w:p w14:paraId="3ED36F14"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0"/>
          <w:szCs w:val="20"/>
          <w:lang w:val="fr-FR"/>
          <w14:ligatures w14:val="none"/>
        </w:rPr>
      </w:pPr>
    </w:p>
    <w:p w14:paraId="5059236A"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lang w:val="fr-FR"/>
          <w14:ligatures w14:val="none"/>
        </w:rPr>
      </w:pPr>
      <w:r w:rsidRPr="00D91F04">
        <w:rPr>
          <w:rFonts w:ascii="Verdana" w:hAnsi="Verdana"/>
          <w:b/>
          <w:iCs/>
          <w:color w:val="00928F"/>
          <w:kern w:val="0"/>
          <w:sz w:val="28"/>
          <w:szCs w:val="28"/>
          <w:lang w:val="fr-FR" w:bidi="fr-FR"/>
          <w14:ligatures w14:val="none"/>
        </w:rPr>
        <w:t>Article 11</w:t>
      </w:r>
    </w:p>
    <w:p w14:paraId="06B0687C"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lang w:val="fr-FR"/>
          <w14:ligatures w14:val="none"/>
        </w:rPr>
      </w:pPr>
      <w:r w:rsidRPr="00D91F04">
        <w:rPr>
          <w:rFonts w:ascii="Verdana" w:hAnsi="Verdana"/>
          <w:b/>
          <w:iCs/>
          <w:color w:val="00928F"/>
          <w:kern w:val="0"/>
          <w:sz w:val="28"/>
          <w:szCs w:val="28"/>
          <w:lang w:val="fr-FR" w:bidi="fr-FR"/>
          <w14:ligatures w14:val="none"/>
        </w:rPr>
        <w:t>Procédures d’application du présent Accord aux pays voisins</w:t>
      </w:r>
    </w:p>
    <w:p w14:paraId="38A521C2" w14:textId="6A141442" w:rsidR="00D91F04" w:rsidRPr="00D91F04" w:rsidRDefault="00D91F04" w:rsidP="00D91F04">
      <w:pPr>
        <w:spacing w:after="120" w:line="276" w:lineRule="auto"/>
        <w:jc w:val="both"/>
        <w:rPr>
          <w:rFonts w:ascii="Verdana" w:hAnsi="Verdana"/>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 xml:space="preserve">Les autorités déléguées des États participants peuvent, par simple accord mutuel et dans le respect des exigences et des procédures de la COI, notamment dans le cadre d’une réunion de </w:t>
      </w:r>
      <w:r w:rsidR="00EB1A39">
        <w:rPr>
          <w:rFonts w:ascii="Verdana" w:hAnsi="Verdana"/>
          <w:iCs/>
          <w:color w:val="000000" w:themeColor="text1"/>
          <w:kern w:val="0"/>
          <w:sz w:val="21"/>
          <w:szCs w:val="21"/>
          <w:lang w:val="fr-FR" w:bidi="fr-FR"/>
          <w14:ligatures w14:val="none"/>
        </w:rPr>
        <w:t>Comité de pilotage</w:t>
      </w:r>
      <w:r w:rsidRPr="00D91F04">
        <w:rPr>
          <w:rFonts w:ascii="Verdana" w:hAnsi="Verdana"/>
          <w:iCs/>
          <w:color w:val="000000" w:themeColor="text1"/>
          <w:kern w:val="0"/>
          <w:sz w:val="21"/>
          <w:szCs w:val="21"/>
          <w:lang w:val="fr-FR" w:bidi="fr-FR"/>
          <w14:ligatures w14:val="none"/>
        </w:rPr>
        <w:t>, déterminer les modalités d’application du présent Accord à l’égard de tout arrangement administratif relatif à la collaboration régionale élargie aux pays voisins.</w:t>
      </w:r>
    </w:p>
    <w:p w14:paraId="320CD89C" w14:textId="77777777" w:rsidR="00D91F04" w:rsidRPr="00D91F04" w:rsidRDefault="00D91F04" w:rsidP="00D91F04">
      <w:pPr>
        <w:spacing w:after="0" w:line="276" w:lineRule="auto"/>
        <w:jc w:val="both"/>
        <w:rPr>
          <w:rFonts w:ascii="Verdana" w:hAnsi="Verdana"/>
          <w:iCs/>
          <w:color w:val="000000" w:themeColor="text1"/>
          <w:kern w:val="0"/>
          <w:sz w:val="18"/>
          <w:szCs w:val="18"/>
          <w:lang w:val="fr-FR"/>
          <w14:ligatures w14:val="none"/>
        </w:rPr>
      </w:pPr>
    </w:p>
    <w:p w14:paraId="31DE96F0"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lang w:val="fr-FR"/>
          <w14:ligatures w14:val="none"/>
        </w:rPr>
      </w:pPr>
      <w:r w:rsidRPr="00D91F04">
        <w:rPr>
          <w:rFonts w:ascii="Verdana" w:hAnsi="Verdana"/>
          <w:b/>
          <w:iCs/>
          <w:color w:val="00928F"/>
          <w:kern w:val="0"/>
          <w:sz w:val="28"/>
          <w:szCs w:val="28"/>
          <w:lang w:val="fr-FR" w:bidi="fr-FR"/>
          <w14:ligatures w14:val="none"/>
        </w:rPr>
        <w:t>Article 12</w:t>
      </w:r>
    </w:p>
    <w:p w14:paraId="43514CDB"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lang w:val="fr-FR"/>
          <w14:ligatures w14:val="none"/>
        </w:rPr>
      </w:pPr>
      <w:r w:rsidRPr="00D91F04">
        <w:rPr>
          <w:rFonts w:ascii="Verdana" w:hAnsi="Verdana"/>
          <w:b/>
          <w:iCs/>
          <w:color w:val="00928F"/>
          <w:kern w:val="0"/>
          <w:sz w:val="28"/>
          <w:szCs w:val="28"/>
          <w:lang w:val="fr-FR" w:bidi="fr-FR"/>
          <w14:ligatures w14:val="none"/>
        </w:rPr>
        <w:t>Signature et adhésion</w:t>
      </w:r>
    </w:p>
    <w:p w14:paraId="20FE34F8" w14:textId="77777777" w:rsidR="00D91F04" w:rsidRPr="00D91F04" w:rsidRDefault="00D91F04" w:rsidP="00D91F04">
      <w:pPr>
        <w:widowControl w:val="0"/>
        <w:spacing w:after="120" w:line="276" w:lineRule="auto"/>
        <w:jc w:val="both"/>
        <w:rPr>
          <w:rFonts w:ascii="Verdana" w:hAnsi="Verdana"/>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Le présent Accord est ouvert à la signature de la Commission de l’océan Indien et des États participants.</w:t>
      </w:r>
    </w:p>
    <w:p w14:paraId="5342C58A"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lang w:val="fr-FR"/>
          <w14:ligatures w14:val="none"/>
        </w:rPr>
      </w:pPr>
      <w:r w:rsidRPr="00D91F04">
        <w:rPr>
          <w:rFonts w:ascii="Verdana" w:hAnsi="Verdana"/>
          <w:b/>
          <w:iCs/>
          <w:color w:val="00928F"/>
          <w:kern w:val="0"/>
          <w:sz w:val="28"/>
          <w:szCs w:val="28"/>
          <w:lang w:val="fr-FR" w:bidi="fr-FR"/>
          <w14:ligatures w14:val="none"/>
        </w:rPr>
        <w:t>Article 13</w:t>
      </w:r>
    </w:p>
    <w:p w14:paraId="43A128DB"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lang w:val="fr-FR"/>
          <w14:ligatures w14:val="none"/>
        </w:rPr>
      </w:pPr>
      <w:r w:rsidRPr="00D91F04">
        <w:rPr>
          <w:rFonts w:ascii="Verdana" w:hAnsi="Verdana"/>
          <w:b/>
          <w:iCs/>
          <w:color w:val="00928F"/>
          <w:kern w:val="0"/>
          <w:sz w:val="28"/>
          <w:szCs w:val="28"/>
          <w:lang w:val="fr-FR" w:bidi="fr-FR"/>
          <w14:ligatures w14:val="none"/>
        </w:rPr>
        <w:t>Entrée en vigueur</w:t>
      </w:r>
    </w:p>
    <w:p w14:paraId="18A93EB7" w14:textId="77777777" w:rsidR="00D91F04" w:rsidRPr="00D91F04" w:rsidRDefault="00D91F04" w:rsidP="00D91F04">
      <w:pPr>
        <w:spacing w:after="120" w:line="276" w:lineRule="auto"/>
        <w:jc w:val="both"/>
        <w:rPr>
          <w:rFonts w:ascii="Verdana" w:hAnsi="Verdana"/>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 xml:space="preserve">Le présent Accord entre en vigueur à la date de sa signature par la Commission de l’océan Indien et par l’ensemble des États participants.    </w:t>
      </w:r>
    </w:p>
    <w:p w14:paraId="2FD7AE33" w14:textId="77777777" w:rsidR="00D91F04" w:rsidRPr="00D91F04" w:rsidRDefault="00D91F04" w:rsidP="00D91F04">
      <w:pPr>
        <w:spacing w:after="120" w:line="276" w:lineRule="auto"/>
        <w:jc w:val="both"/>
        <w:rPr>
          <w:rFonts w:ascii="Verdana" w:hAnsi="Verdana"/>
          <w:iCs/>
          <w:color w:val="000000" w:themeColor="text1"/>
          <w:kern w:val="0"/>
          <w:sz w:val="20"/>
          <w:szCs w:val="20"/>
          <w:lang w:val="fr-FR"/>
          <w14:ligatures w14:val="none"/>
        </w:rPr>
      </w:pPr>
    </w:p>
    <w:p w14:paraId="0042AB74"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lang w:val="fr-FR"/>
          <w14:ligatures w14:val="none"/>
        </w:rPr>
      </w:pPr>
      <w:r w:rsidRPr="00D91F04">
        <w:rPr>
          <w:rFonts w:ascii="Verdana" w:hAnsi="Verdana"/>
          <w:b/>
          <w:iCs/>
          <w:color w:val="00928F"/>
          <w:kern w:val="0"/>
          <w:sz w:val="28"/>
          <w:szCs w:val="28"/>
          <w:lang w:val="fr-FR" w:bidi="fr-FR"/>
          <w14:ligatures w14:val="none"/>
        </w:rPr>
        <w:t>Article 14</w:t>
      </w:r>
    </w:p>
    <w:p w14:paraId="18B83B36"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lang w:val="fr-FR"/>
          <w14:ligatures w14:val="none"/>
        </w:rPr>
      </w:pPr>
      <w:r w:rsidRPr="00D91F04">
        <w:rPr>
          <w:rFonts w:ascii="Verdana" w:hAnsi="Verdana"/>
          <w:b/>
          <w:iCs/>
          <w:color w:val="00928F"/>
          <w:kern w:val="0"/>
          <w:sz w:val="28"/>
          <w:szCs w:val="28"/>
          <w:lang w:val="fr-FR" w:bidi="fr-FR"/>
          <w14:ligatures w14:val="none"/>
        </w:rPr>
        <w:t>Respect du présent Accord</w:t>
      </w:r>
    </w:p>
    <w:p w14:paraId="6EC457B0" w14:textId="77777777" w:rsidR="00D91F04" w:rsidRPr="00D91F04" w:rsidRDefault="00D91F04" w:rsidP="00D91F04">
      <w:pPr>
        <w:spacing w:after="120" w:line="276" w:lineRule="auto"/>
        <w:jc w:val="both"/>
        <w:rPr>
          <w:rFonts w:ascii="Verdana" w:hAnsi="Verdana"/>
          <w:iCs/>
          <w:color w:val="000000" w:themeColor="text1"/>
          <w:kern w:val="0"/>
          <w:sz w:val="21"/>
          <w:szCs w:val="21"/>
          <w:lang w:val="fr-FR" w:bidi="fr-FR"/>
          <w14:ligatures w14:val="none"/>
        </w:rPr>
      </w:pPr>
      <w:r w:rsidRPr="00D91F04">
        <w:rPr>
          <w:rFonts w:ascii="Verdana" w:hAnsi="Verdana"/>
          <w:iCs/>
          <w:color w:val="000000" w:themeColor="text1"/>
          <w:kern w:val="0"/>
          <w:sz w:val="21"/>
          <w:szCs w:val="21"/>
          <w:lang w:val="fr-FR" w:bidi="fr-FR"/>
          <w14:ligatures w14:val="none"/>
        </w:rPr>
        <w:t xml:space="preserve">Chacune des Parties prend toutes les mesures appropriées, compte tenu de ses ressources et conformément à ses obligations et au droit international en vigueur, afin de respecter et de faire respecter le présent Accord. </w:t>
      </w:r>
    </w:p>
    <w:p w14:paraId="7D64F7AC" w14:textId="77777777" w:rsidR="00D91F04" w:rsidRPr="00D91F04" w:rsidRDefault="00D91F04" w:rsidP="00D91F04">
      <w:pPr>
        <w:spacing w:after="120" w:line="276" w:lineRule="auto"/>
        <w:jc w:val="both"/>
        <w:rPr>
          <w:rFonts w:ascii="Verdana" w:hAnsi="Verdana"/>
          <w:iCs/>
          <w:color w:val="000000" w:themeColor="text1"/>
          <w:kern w:val="0"/>
          <w:sz w:val="20"/>
          <w:szCs w:val="20"/>
          <w:lang w:val="fr-FR"/>
          <w14:ligatures w14:val="none"/>
        </w:rPr>
      </w:pPr>
    </w:p>
    <w:p w14:paraId="257E73C1"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14:ligatures w14:val="none"/>
        </w:rPr>
      </w:pPr>
      <w:r w:rsidRPr="00D91F04">
        <w:rPr>
          <w:rFonts w:ascii="Verdana" w:hAnsi="Verdana"/>
          <w:b/>
          <w:iCs/>
          <w:color w:val="00928F"/>
          <w:kern w:val="0"/>
          <w:sz w:val="28"/>
          <w:szCs w:val="28"/>
          <w:lang w:val="fr-FR" w:bidi="fr-FR"/>
          <w14:ligatures w14:val="none"/>
        </w:rPr>
        <w:t>Article 15</w:t>
      </w:r>
    </w:p>
    <w:p w14:paraId="7F2B66BC"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14:ligatures w14:val="none"/>
        </w:rPr>
      </w:pPr>
      <w:r w:rsidRPr="00D91F04">
        <w:rPr>
          <w:rFonts w:ascii="Verdana" w:hAnsi="Verdana"/>
          <w:b/>
          <w:iCs/>
          <w:color w:val="00928F"/>
          <w:kern w:val="0"/>
          <w:sz w:val="28"/>
          <w:szCs w:val="28"/>
          <w:lang w:val="fr-FR" w:bidi="fr-FR"/>
          <w14:ligatures w14:val="none"/>
        </w:rPr>
        <w:t>Application provisoire</w:t>
      </w:r>
    </w:p>
    <w:p w14:paraId="3F114045" w14:textId="77777777" w:rsidR="00D91F04" w:rsidRPr="00D91F04" w:rsidRDefault="00D91F04" w:rsidP="00D91F04">
      <w:pPr>
        <w:numPr>
          <w:ilvl w:val="0"/>
          <w:numId w:val="7"/>
        </w:numPr>
        <w:spacing w:after="120" w:line="276" w:lineRule="auto"/>
        <w:jc w:val="both"/>
        <w:rPr>
          <w:rFonts w:ascii="Verdana" w:hAnsi="Verdana"/>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 xml:space="preserve">Le présent Accord est appliqué à titre provisoire par un État ou une entité qui consent à son application provisoire en le notifiant par écrit au dépositaire.  </w:t>
      </w:r>
      <w:r w:rsidRPr="00D91F04">
        <w:rPr>
          <w:rFonts w:ascii="Verdana" w:hAnsi="Verdana"/>
          <w:iCs/>
          <w:color w:val="000000" w:themeColor="text1"/>
          <w:kern w:val="0"/>
          <w:sz w:val="21"/>
          <w:szCs w:val="21"/>
          <w:lang w:val="fr-FR" w:bidi="fr-FR"/>
          <w14:ligatures w14:val="none"/>
        </w:rPr>
        <w:lastRenderedPageBreak/>
        <w:t>L’application provisoire prend effet à compter de la date de réception de la notification et, en cas de conflit avec toute exigence nationale, le présent Accord prévaut.</w:t>
      </w:r>
    </w:p>
    <w:p w14:paraId="13DB6837" w14:textId="77777777" w:rsidR="00D91F04" w:rsidRPr="00D91F04" w:rsidRDefault="00D91F04" w:rsidP="00D91F04">
      <w:pPr>
        <w:numPr>
          <w:ilvl w:val="0"/>
          <w:numId w:val="7"/>
        </w:numPr>
        <w:spacing w:after="120" w:line="276" w:lineRule="auto"/>
        <w:jc w:val="both"/>
        <w:rPr>
          <w:rFonts w:ascii="Verdana" w:hAnsi="Verdana"/>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L’application provisoire par un État ou une entité prend fin dès l’entrée en vigueur du présent Accord pour cet État ou cette entité ou dès que cet État ou cette entité notifie par écrit au dépositaire son intention de mettre fin à l’application provisoire.</w:t>
      </w:r>
    </w:p>
    <w:p w14:paraId="6339D4F4"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4"/>
          <w:szCs w:val="24"/>
          <w:lang w:val="fr-FR"/>
          <w14:ligatures w14:val="none"/>
        </w:rPr>
      </w:pPr>
    </w:p>
    <w:p w14:paraId="3CAB7FB7"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14:ligatures w14:val="none"/>
        </w:rPr>
      </w:pPr>
      <w:r w:rsidRPr="00D91F04">
        <w:rPr>
          <w:rFonts w:ascii="Verdana" w:hAnsi="Verdana"/>
          <w:b/>
          <w:iCs/>
          <w:color w:val="00928F"/>
          <w:kern w:val="0"/>
          <w:sz w:val="28"/>
          <w:szCs w:val="28"/>
          <w:lang w:val="fr-FR" w:bidi="fr-FR"/>
          <w14:ligatures w14:val="none"/>
        </w:rPr>
        <w:t>Article 16</w:t>
      </w:r>
    </w:p>
    <w:p w14:paraId="1A4F589D"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14:ligatures w14:val="none"/>
        </w:rPr>
      </w:pPr>
      <w:r w:rsidRPr="00D91F04">
        <w:rPr>
          <w:rFonts w:ascii="Verdana" w:hAnsi="Verdana"/>
          <w:b/>
          <w:iCs/>
          <w:color w:val="00928F"/>
          <w:kern w:val="0"/>
          <w:sz w:val="28"/>
          <w:szCs w:val="28"/>
          <w:lang w:val="fr-FR" w:bidi="fr-FR"/>
          <w14:ligatures w14:val="none"/>
        </w:rPr>
        <w:t>Règlement des différends</w:t>
      </w:r>
    </w:p>
    <w:p w14:paraId="71073D4C" w14:textId="77777777" w:rsidR="00D91F04" w:rsidRPr="00D91F04" w:rsidRDefault="00D91F04" w:rsidP="00D91F04">
      <w:pPr>
        <w:numPr>
          <w:ilvl w:val="0"/>
          <w:numId w:val="15"/>
        </w:numPr>
        <w:spacing w:after="120" w:line="276" w:lineRule="auto"/>
        <w:jc w:val="both"/>
        <w:rPr>
          <w:rFonts w:ascii="Verdana" w:hAnsi="Verdana"/>
          <w:iCs/>
          <w:color w:val="000000" w:themeColor="text1"/>
          <w:spacing w:val="-4"/>
          <w:kern w:val="0"/>
          <w:sz w:val="21"/>
          <w:szCs w:val="21"/>
          <w:lang w:val="fr-FR"/>
          <w14:ligatures w14:val="none"/>
        </w:rPr>
      </w:pPr>
      <w:r w:rsidRPr="00D91F04">
        <w:rPr>
          <w:rFonts w:ascii="Verdana" w:hAnsi="Verdana"/>
          <w:iCs/>
          <w:color w:val="000000" w:themeColor="text1"/>
          <w:spacing w:val="-4"/>
          <w:kern w:val="0"/>
          <w:sz w:val="21"/>
          <w:szCs w:val="21"/>
          <w:lang w:val="fr-FR" w:bidi="fr-FR"/>
          <w14:ligatures w14:val="none"/>
        </w:rPr>
        <w:t xml:space="preserve">En cas de doutes ou de différends entre deux ou plusieurs Parties découlant de l’interprétation ou de la mise en œuvre du présent Accord ou de ses annexes, les Parties se consultent afin de régler le différend par la voie de négociations ou par tout autre moyen pacifique de leur choix. </w:t>
      </w:r>
    </w:p>
    <w:p w14:paraId="3DC78AA4" w14:textId="5DAAE213" w:rsidR="00D91F04" w:rsidRPr="00D91F04" w:rsidRDefault="00D91F04" w:rsidP="00D91F04">
      <w:pPr>
        <w:numPr>
          <w:ilvl w:val="0"/>
          <w:numId w:val="15"/>
        </w:numPr>
        <w:spacing w:after="120" w:line="276" w:lineRule="auto"/>
        <w:jc w:val="both"/>
        <w:rPr>
          <w:rFonts w:ascii="Verdana" w:hAnsi="Verdana"/>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 xml:space="preserve">Si un doute ou un différend visé au paragraphe 1 n’est pas réglé dans un délai de quatre-vingt-dix jours, les Parties le soumettent à </w:t>
      </w:r>
      <w:r w:rsidR="00EB1A39">
        <w:rPr>
          <w:rFonts w:ascii="Verdana" w:hAnsi="Verdana"/>
          <w:iCs/>
          <w:color w:val="000000" w:themeColor="text1"/>
          <w:kern w:val="0"/>
          <w:sz w:val="21"/>
          <w:szCs w:val="21"/>
          <w:lang w:val="fr-FR" w:bidi="fr-FR"/>
          <w14:ligatures w14:val="none"/>
        </w:rPr>
        <w:t>Comité de pilotage</w:t>
      </w:r>
      <w:r w:rsidRPr="00D91F04">
        <w:rPr>
          <w:rFonts w:ascii="Verdana" w:hAnsi="Verdana"/>
          <w:iCs/>
          <w:color w:val="000000" w:themeColor="text1"/>
          <w:kern w:val="0"/>
          <w:sz w:val="21"/>
          <w:szCs w:val="21"/>
          <w:lang w:val="fr-FR" w:bidi="fr-FR"/>
          <w14:ligatures w14:val="none"/>
        </w:rPr>
        <w:t>, qui, après enquête et consultation impartiale de chaque Partie au différend, facilite le règlement par des moyens tels que la fourniture de conseils appropriés ou la formulation de recommandations sur un processus, des modalités et des conditions de règlement du différend.</w:t>
      </w:r>
    </w:p>
    <w:p w14:paraId="2B1E7D23" w14:textId="19F77C8A" w:rsidR="00D91F04" w:rsidRPr="00D91F04" w:rsidRDefault="00D91F04" w:rsidP="00D91F04">
      <w:pPr>
        <w:numPr>
          <w:ilvl w:val="0"/>
          <w:numId w:val="15"/>
        </w:numPr>
        <w:spacing w:after="120" w:line="276" w:lineRule="auto"/>
        <w:jc w:val="both"/>
        <w:rPr>
          <w:rFonts w:ascii="Verdana" w:hAnsi="Verdana"/>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 xml:space="preserve">Les Parties au différend mettent en œuvre de bonne foi la recommandation de </w:t>
      </w:r>
      <w:r w:rsidR="00EB1A39">
        <w:rPr>
          <w:rFonts w:ascii="Verdana" w:hAnsi="Verdana"/>
          <w:iCs/>
          <w:color w:val="000000" w:themeColor="text1"/>
          <w:kern w:val="0"/>
          <w:sz w:val="21"/>
          <w:szCs w:val="21"/>
          <w:lang w:val="fr-FR" w:bidi="fr-FR"/>
          <w14:ligatures w14:val="none"/>
        </w:rPr>
        <w:t>Comité de pilotage</w:t>
      </w:r>
      <w:r w:rsidRPr="00D91F04">
        <w:rPr>
          <w:rFonts w:ascii="Verdana" w:hAnsi="Verdana"/>
          <w:iCs/>
          <w:color w:val="000000" w:themeColor="text1"/>
          <w:kern w:val="0"/>
          <w:sz w:val="21"/>
          <w:szCs w:val="21"/>
          <w:lang w:val="fr-FR" w:bidi="fr-FR"/>
          <w14:ligatures w14:val="none"/>
        </w:rPr>
        <w:t xml:space="preserve">.                                                                                                                                                                                                                                                                                                                                                                                                                                                                                                                                                                                                                                                                                                                                                                                                                                                                                                                             </w:t>
      </w:r>
    </w:p>
    <w:p w14:paraId="4BB36D19"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4"/>
          <w:szCs w:val="24"/>
          <w:lang w:val="fr-FR" w:bidi="fr-FR"/>
          <w14:ligatures w14:val="none"/>
        </w:rPr>
      </w:pPr>
    </w:p>
    <w:p w14:paraId="3D6D3990"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lang w:val="fr-FR"/>
          <w14:ligatures w14:val="none"/>
        </w:rPr>
      </w:pPr>
      <w:r w:rsidRPr="00D91F04">
        <w:rPr>
          <w:rFonts w:ascii="Verdana" w:hAnsi="Verdana"/>
          <w:b/>
          <w:iCs/>
          <w:color w:val="00928F"/>
          <w:kern w:val="0"/>
          <w:sz w:val="28"/>
          <w:szCs w:val="28"/>
          <w:lang w:val="fr-FR" w:bidi="fr-FR"/>
          <w14:ligatures w14:val="none"/>
        </w:rPr>
        <w:t>Article 17</w:t>
      </w:r>
    </w:p>
    <w:p w14:paraId="22462F38"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lang w:val="fr-FR"/>
          <w14:ligatures w14:val="none"/>
        </w:rPr>
      </w:pPr>
      <w:r w:rsidRPr="00D91F04">
        <w:rPr>
          <w:rFonts w:ascii="Verdana" w:hAnsi="Verdana"/>
          <w:b/>
          <w:iCs/>
          <w:color w:val="00928F"/>
          <w:kern w:val="0"/>
          <w:sz w:val="28"/>
          <w:szCs w:val="28"/>
          <w:lang w:val="fr-FR" w:bidi="fr-FR"/>
          <w14:ligatures w14:val="none"/>
        </w:rPr>
        <w:t>Modification du présent Accord</w:t>
      </w:r>
    </w:p>
    <w:p w14:paraId="798E2C04" w14:textId="77777777" w:rsidR="00D91F04" w:rsidRPr="00D91F04" w:rsidRDefault="00D91F04" w:rsidP="00D91F04">
      <w:pPr>
        <w:numPr>
          <w:ilvl w:val="0"/>
          <w:numId w:val="16"/>
        </w:numPr>
        <w:spacing w:after="120" w:line="276" w:lineRule="auto"/>
        <w:jc w:val="both"/>
        <w:rPr>
          <w:rFonts w:ascii="Verdana" w:hAnsi="Verdana" w:cs="Times New Roman (Body CS)"/>
          <w:iCs/>
          <w:color w:val="000000" w:themeColor="text1"/>
          <w:kern w:val="0"/>
          <w:sz w:val="21"/>
          <w:szCs w:val="21"/>
          <w:lang w:val="fr-FR"/>
          <w14:ligatures w14:val="none"/>
        </w:rPr>
      </w:pPr>
      <w:r w:rsidRPr="00D91F04">
        <w:rPr>
          <w:rFonts w:ascii="Verdana" w:hAnsi="Verdana" w:cs="Times New Roman (Body CS)"/>
          <w:iCs/>
          <w:color w:val="000000" w:themeColor="text1"/>
          <w:kern w:val="0"/>
          <w:sz w:val="21"/>
          <w:szCs w:val="21"/>
          <w:lang w:val="fr-FR" w:bidi="fr-FR"/>
          <w14:ligatures w14:val="none"/>
        </w:rPr>
        <w:t>Toute Partie peut, à tout moment après l’entrée en vigueur du présent Accord, proposer des modifications au présent Accord et à ses annexes en communiquant le texte de sa proposition au dépositaire, lequel le transmet sans délai à toutes les Parties et, à moins que dans un délai de trois mois à compter de la date de communication dudit texte, la moitié des Parties ne s’oppose à la proposition de modification, le dépositaire désigne ou convoque une réunion des Parties aux fins de l’examen de la proposition.</w:t>
      </w:r>
    </w:p>
    <w:p w14:paraId="5E3B89E4" w14:textId="77777777" w:rsidR="00D91F04" w:rsidRPr="00D91F04" w:rsidRDefault="00D91F04" w:rsidP="00D91F04">
      <w:pPr>
        <w:numPr>
          <w:ilvl w:val="0"/>
          <w:numId w:val="16"/>
        </w:numPr>
        <w:spacing w:after="120" w:line="276" w:lineRule="auto"/>
        <w:jc w:val="both"/>
        <w:rPr>
          <w:rFonts w:ascii="Verdana" w:hAnsi="Verdana"/>
          <w:iCs/>
          <w:color w:val="000000" w:themeColor="text1"/>
          <w:spacing w:val="-4"/>
          <w:kern w:val="0"/>
          <w:sz w:val="21"/>
          <w:szCs w:val="21"/>
          <w:lang w:val="fr-FR"/>
          <w14:ligatures w14:val="none"/>
        </w:rPr>
      </w:pPr>
      <w:r w:rsidRPr="00D91F04">
        <w:rPr>
          <w:rFonts w:ascii="Verdana" w:hAnsi="Verdana"/>
          <w:iCs/>
          <w:color w:val="000000" w:themeColor="text1"/>
          <w:spacing w:val="-4"/>
          <w:kern w:val="0"/>
          <w:sz w:val="21"/>
          <w:szCs w:val="21"/>
          <w:lang w:val="fr-FR" w:bidi="fr-FR"/>
          <w14:ligatures w14:val="none"/>
        </w:rPr>
        <w:t xml:space="preserve">Sous réserve du paragraphe 1, toute modification du présent Accord est </w:t>
      </w:r>
      <w:proofErr w:type="gramStart"/>
      <w:r w:rsidRPr="00D91F04">
        <w:rPr>
          <w:rFonts w:ascii="Verdana" w:hAnsi="Verdana"/>
          <w:iCs/>
          <w:color w:val="000000" w:themeColor="text1"/>
          <w:spacing w:val="-4"/>
          <w:kern w:val="0"/>
          <w:sz w:val="21"/>
          <w:szCs w:val="21"/>
          <w:lang w:val="fr-FR" w:bidi="fr-FR"/>
          <w14:ligatures w14:val="none"/>
        </w:rPr>
        <w:t>adoptée</w:t>
      </w:r>
      <w:proofErr w:type="gramEnd"/>
      <w:r w:rsidRPr="00D91F04">
        <w:rPr>
          <w:rFonts w:ascii="Verdana" w:hAnsi="Verdana"/>
          <w:iCs/>
          <w:color w:val="000000" w:themeColor="text1"/>
          <w:spacing w:val="-4"/>
          <w:kern w:val="0"/>
          <w:sz w:val="21"/>
          <w:szCs w:val="21"/>
          <w:lang w:val="fr-FR" w:bidi="fr-FR"/>
          <w14:ligatures w14:val="none"/>
        </w:rPr>
        <w:t xml:space="preserve"> uniquement par consensus des Parties présentes à la réunion au cours de laquelle elle est proposée pour adoption.</w:t>
      </w:r>
    </w:p>
    <w:p w14:paraId="2D25D429" w14:textId="77777777" w:rsidR="00D91F04" w:rsidRPr="00D91F04" w:rsidRDefault="00D91F04" w:rsidP="00D91F04">
      <w:pPr>
        <w:numPr>
          <w:ilvl w:val="0"/>
          <w:numId w:val="16"/>
        </w:numPr>
        <w:spacing w:after="120" w:line="276" w:lineRule="auto"/>
        <w:jc w:val="both"/>
        <w:rPr>
          <w:rFonts w:ascii="Verdana" w:hAnsi="Verdana"/>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Toute modification adoptée lors d’une réunion des Parties entre en vigueur pour les Parties l’ayant ratifiée, adoptée ou approuvée le trentième jour suivant le dépôt des instruments de ratification, d’acceptation ou d’approbation par les deux tiers des Parties au présent Accord, sur la base du nombre de Parties à la date d’adoption de la modification.</w:t>
      </w:r>
    </w:p>
    <w:p w14:paraId="1F48E4B1"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lang w:val="fr-FR"/>
          <w14:ligatures w14:val="none"/>
        </w:rPr>
      </w:pPr>
    </w:p>
    <w:p w14:paraId="4A7A0BD4"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lang w:val="fr-FR"/>
          <w14:ligatures w14:val="none"/>
        </w:rPr>
      </w:pPr>
      <w:r w:rsidRPr="00D91F04">
        <w:rPr>
          <w:rFonts w:ascii="Verdana" w:hAnsi="Verdana"/>
          <w:b/>
          <w:iCs/>
          <w:color w:val="00928F"/>
          <w:kern w:val="0"/>
          <w:sz w:val="28"/>
          <w:szCs w:val="28"/>
          <w:lang w:val="fr-FR" w:bidi="fr-FR"/>
          <w14:ligatures w14:val="none"/>
        </w:rPr>
        <w:t>Article 18</w:t>
      </w:r>
    </w:p>
    <w:p w14:paraId="4724A054"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lang w:val="fr-FR"/>
          <w14:ligatures w14:val="none"/>
        </w:rPr>
      </w:pPr>
      <w:r w:rsidRPr="00D91F04">
        <w:rPr>
          <w:rFonts w:ascii="Verdana" w:hAnsi="Verdana"/>
          <w:b/>
          <w:iCs/>
          <w:color w:val="00928F"/>
          <w:kern w:val="0"/>
          <w:sz w:val="28"/>
          <w:szCs w:val="28"/>
          <w:lang w:val="fr-FR" w:bidi="fr-FR"/>
          <w14:ligatures w14:val="none"/>
        </w:rPr>
        <w:lastRenderedPageBreak/>
        <w:t>Retrait du présent Accord</w:t>
      </w:r>
    </w:p>
    <w:p w14:paraId="632787F6" w14:textId="77777777" w:rsidR="00D91F04" w:rsidRPr="00D91F04" w:rsidRDefault="00D91F04" w:rsidP="00D91F04">
      <w:pPr>
        <w:spacing w:after="120" w:line="276" w:lineRule="auto"/>
        <w:jc w:val="both"/>
        <w:rPr>
          <w:rFonts w:ascii="Verdana" w:hAnsi="Verdana"/>
          <w:iCs/>
          <w:color w:val="000000" w:themeColor="text1"/>
          <w:kern w:val="0"/>
          <w:sz w:val="21"/>
          <w:szCs w:val="21"/>
          <w:lang w:val="fr-FR" w:bidi="fr-FR"/>
          <w14:ligatures w14:val="none"/>
        </w:rPr>
      </w:pPr>
      <w:r w:rsidRPr="00D91F04">
        <w:rPr>
          <w:rFonts w:ascii="Verdana" w:hAnsi="Verdana"/>
          <w:iCs/>
          <w:color w:val="000000" w:themeColor="text1"/>
          <w:kern w:val="0"/>
          <w:sz w:val="21"/>
          <w:szCs w:val="21"/>
          <w:lang w:val="fr-FR" w:bidi="fr-FR"/>
          <w14:ligatures w14:val="none"/>
        </w:rPr>
        <w:t xml:space="preserve">Tout État participant peut se retirer du présent Accord sur notification écrite, avec un préavis de quatre-vingt-dix jours, de son intention de se retirer au dépositaire, conformément à la Convention de Vienne sur le droit des traités. </w:t>
      </w:r>
    </w:p>
    <w:p w14:paraId="7E97D336" w14:textId="77777777" w:rsidR="00D91F04" w:rsidRPr="00D91F04" w:rsidRDefault="00D91F04" w:rsidP="00D91F04">
      <w:pPr>
        <w:spacing w:after="120" w:line="276" w:lineRule="auto"/>
        <w:jc w:val="both"/>
        <w:rPr>
          <w:rFonts w:ascii="Verdana" w:hAnsi="Verdana"/>
          <w:bCs/>
          <w:iCs/>
          <w:color w:val="000000" w:themeColor="text1"/>
          <w:kern w:val="0"/>
          <w:sz w:val="21"/>
          <w:szCs w:val="21"/>
          <w:lang w:val="fr-FR"/>
          <w14:ligatures w14:val="none"/>
        </w:rPr>
      </w:pPr>
    </w:p>
    <w:p w14:paraId="218EBF92"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lang w:val="fr-FR"/>
          <w14:ligatures w14:val="none"/>
        </w:rPr>
      </w:pPr>
      <w:r w:rsidRPr="00D91F04">
        <w:rPr>
          <w:rFonts w:ascii="Verdana" w:hAnsi="Verdana"/>
          <w:b/>
          <w:iCs/>
          <w:color w:val="00928F"/>
          <w:kern w:val="0"/>
          <w:sz w:val="28"/>
          <w:szCs w:val="28"/>
          <w:lang w:val="fr-FR" w:bidi="fr-FR"/>
          <w14:ligatures w14:val="none"/>
        </w:rPr>
        <w:t>Article 19</w:t>
      </w:r>
    </w:p>
    <w:p w14:paraId="7C580EBD"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lang w:val="fr-FR"/>
          <w14:ligatures w14:val="none"/>
        </w:rPr>
      </w:pPr>
      <w:r w:rsidRPr="00D91F04">
        <w:rPr>
          <w:rFonts w:ascii="Verdana" w:hAnsi="Verdana"/>
          <w:b/>
          <w:iCs/>
          <w:color w:val="00928F"/>
          <w:kern w:val="0"/>
          <w:sz w:val="28"/>
          <w:szCs w:val="28"/>
          <w:lang w:val="fr-FR" w:bidi="fr-FR"/>
          <w14:ligatures w14:val="none"/>
        </w:rPr>
        <w:t>Dépositaire</w:t>
      </w:r>
    </w:p>
    <w:p w14:paraId="593A6C88" w14:textId="77777777" w:rsidR="00D91F04" w:rsidRPr="00D91F04" w:rsidRDefault="00D91F04" w:rsidP="00D91F04">
      <w:pPr>
        <w:spacing w:after="120" w:line="276" w:lineRule="auto"/>
        <w:jc w:val="both"/>
        <w:rPr>
          <w:rFonts w:ascii="Verdana" w:hAnsi="Verdana"/>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L’exemplaire original du présent Accord est déposé auprès de la Commission de l’océan Indien, qui en est le dépositaire.</w:t>
      </w:r>
    </w:p>
    <w:p w14:paraId="3162919F" w14:textId="77777777" w:rsidR="00D91F04" w:rsidRPr="00D91F04" w:rsidRDefault="00D91F04" w:rsidP="00D91F04">
      <w:pPr>
        <w:spacing w:after="120" w:line="276" w:lineRule="auto"/>
        <w:jc w:val="both"/>
        <w:rPr>
          <w:rFonts w:ascii="Verdana" w:hAnsi="Verdana"/>
          <w:iCs/>
          <w:color w:val="000000" w:themeColor="text1"/>
          <w:kern w:val="0"/>
          <w:sz w:val="21"/>
          <w:szCs w:val="21"/>
          <w:lang w:val="fr-FR"/>
          <w14:ligatures w14:val="none"/>
        </w:rPr>
      </w:pPr>
    </w:p>
    <w:p w14:paraId="2D79500A"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lang w:val="fr-FR"/>
          <w14:ligatures w14:val="none"/>
        </w:rPr>
      </w:pPr>
      <w:r w:rsidRPr="00D91F04">
        <w:rPr>
          <w:rFonts w:ascii="Verdana" w:hAnsi="Verdana"/>
          <w:b/>
          <w:iCs/>
          <w:color w:val="00928F"/>
          <w:kern w:val="0"/>
          <w:sz w:val="28"/>
          <w:szCs w:val="28"/>
          <w:lang w:val="fr-FR" w:bidi="fr-FR"/>
          <w14:ligatures w14:val="none"/>
        </w:rPr>
        <w:t>Article 20</w:t>
      </w:r>
    </w:p>
    <w:p w14:paraId="220049DB" w14:textId="77777777" w:rsidR="00D91F04" w:rsidRPr="00D91F04" w:rsidRDefault="00D91F04" w:rsidP="00D91F04">
      <w:pPr>
        <w:spacing w:after="120" w:line="276" w:lineRule="auto"/>
        <w:ind w:left="851" w:hanging="851"/>
        <w:contextualSpacing/>
        <w:jc w:val="center"/>
        <w:rPr>
          <w:rFonts w:ascii="Verdana" w:hAnsi="Verdana"/>
          <w:b/>
          <w:iCs/>
          <w:color w:val="00928F"/>
          <w:kern w:val="0"/>
          <w:sz w:val="28"/>
          <w:szCs w:val="28"/>
          <w:lang w:val="fr-FR"/>
          <w14:ligatures w14:val="none"/>
        </w:rPr>
      </w:pPr>
      <w:r w:rsidRPr="00D91F04">
        <w:rPr>
          <w:rFonts w:ascii="Verdana" w:hAnsi="Verdana"/>
          <w:b/>
          <w:iCs/>
          <w:color w:val="00928F"/>
          <w:kern w:val="0"/>
          <w:sz w:val="28"/>
          <w:szCs w:val="28"/>
          <w:lang w:val="fr-FR" w:bidi="fr-FR"/>
          <w14:ligatures w14:val="none"/>
        </w:rPr>
        <w:t>Textes authentiques</w:t>
      </w:r>
    </w:p>
    <w:p w14:paraId="001E0F35" w14:textId="77777777" w:rsidR="00D91F04" w:rsidRPr="00D91F04" w:rsidRDefault="00D91F04" w:rsidP="00D91F04">
      <w:pPr>
        <w:spacing w:after="120" w:line="276" w:lineRule="auto"/>
        <w:jc w:val="both"/>
        <w:rPr>
          <w:rFonts w:ascii="Verdana" w:hAnsi="Verdana"/>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t xml:space="preserve">Les textes anglais, français et portugais du présent Accord font également foi. </w:t>
      </w:r>
    </w:p>
    <w:p w14:paraId="1C3A2405" w14:textId="77777777" w:rsidR="00D91F04" w:rsidRPr="00D91F04" w:rsidRDefault="00D91F04" w:rsidP="00D91F04">
      <w:pPr>
        <w:spacing w:after="0" w:line="240" w:lineRule="auto"/>
        <w:rPr>
          <w:rFonts w:ascii="Verdana" w:hAnsi="Verdana"/>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br w:type="page"/>
      </w:r>
    </w:p>
    <w:p w14:paraId="7D849D65" w14:textId="77777777" w:rsidR="00D91F04" w:rsidRPr="00D91F04" w:rsidRDefault="00D91F04" w:rsidP="00D91F04">
      <w:pPr>
        <w:keepNext/>
        <w:keepLines/>
        <w:pBdr>
          <w:bottom w:val="single" w:sz="4" w:space="8" w:color="auto"/>
        </w:pBdr>
        <w:spacing w:after="240" w:line="240" w:lineRule="auto"/>
        <w:outlineLvl w:val="0"/>
        <w:rPr>
          <w:rFonts w:ascii="Verdana" w:eastAsia="Times New Roman" w:hAnsi="Verdana" w:cs="Calibri Light"/>
          <w:b/>
          <w:bCs/>
          <w:iCs/>
          <w:color w:val="004171"/>
          <w:kern w:val="0"/>
          <w:sz w:val="40"/>
          <w:szCs w:val="40"/>
          <w:lang w:val="fr-FR"/>
          <w14:ligatures w14:val="none"/>
        </w:rPr>
      </w:pPr>
      <w:bookmarkStart w:id="5" w:name="_Toc138165786"/>
      <w:r w:rsidRPr="00D91F04">
        <w:rPr>
          <w:rFonts w:ascii="Verdana" w:eastAsia="Times New Roman" w:hAnsi="Verdana" w:cs="Calibri Light"/>
          <w:b/>
          <w:bCs/>
          <w:iCs/>
          <w:color w:val="004171"/>
          <w:kern w:val="0"/>
          <w:sz w:val="40"/>
          <w:szCs w:val="40"/>
          <w:lang w:val="fr-FR" w:bidi="fr-FR"/>
          <w14:ligatures w14:val="none"/>
        </w:rPr>
        <w:lastRenderedPageBreak/>
        <w:t>Signature</w:t>
      </w:r>
      <w:bookmarkEnd w:id="5"/>
    </w:p>
    <w:p w14:paraId="63972227" w14:textId="77777777" w:rsidR="00D91F04" w:rsidRPr="00D91F04" w:rsidRDefault="00D91F04" w:rsidP="00D91F04">
      <w:pPr>
        <w:spacing w:after="120" w:line="276" w:lineRule="auto"/>
        <w:jc w:val="both"/>
        <w:rPr>
          <w:rFonts w:ascii="Verdana" w:hAnsi="Verdana"/>
          <w:iCs/>
          <w:color w:val="000000" w:themeColor="text1"/>
          <w:kern w:val="0"/>
          <w:sz w:val="21"/>
          <w:szCs w:val="21"/>
          <w:lang w:val="fr-FR"/>
          <w14:ligatures w14:val="none"/>
        </w:rPr>
      </w:pPr>
    </w:p>
    <w:p w14:paraId="183282A7" w14:textId="704BFC02" w:rsidR="00D91F04" w:rsidRDefault="00D91F04" w:rsidP="00D91F04">
      <w:pPr>
        <w:spacing w:after="120" w:line="276" w:lineRule="auto"/>
        <w:jc w:val="both"/>
        <w:rPr>
          <w:rFonts w:ascii="Verdana" w:hAnsi="Verdana"/>
          <w:iCs/>
          <w:color w:val="000000" w:themeColor="text1"/>
          <w:kern w:val="0"/>
          <w:sz w:val="21"/>
          <w:szCs w:val="21"/>
          <w:lang w:val="fr-FR" w:bidi="fr-FR"/>
          <w14:ligatures w14:val="none"/>
        </w:rPr>
      </w:pPr>
      <w:r w:rsidRPr="00D91F04">
        <w:rPr>
          <w:rFonts w:ascii="Verdana" w:hAnsi="Verdana"/>
          <w:iCs/>
          <w:color w:val="000000" w:themeColor="text1"/>
          <w:kern w:val="0"/>
          <w:sz w:val="21"/>
          <w:szCs w:val="21"/>
          <w:lang w:val="fr-FR" w:bidi="fr-FR"/>
          <w14:ligatures w14:val="none"/>
        </w:rPr>
        <w:t>EN FOI DE QUOI, les Ministres soussignés, dûment autorisés à cet effet, ont signé le présent Accord.</w:t>
      </w:r>
    </w:p>
    <w:p w14:paraId="2C5EC9B2" w14:textId="77777777" w:rsidR="006E4673" w:rsidRPr="00D91F04" w:rsidRDefault="006E4673" w:rsidP="00D91F04">
      <w:pPr>
        <w:spacing w:after="120" w:line="276" w:lineRule="auto"/>
        <w:jc w:val="both"/>
        <w:rPr>
          <w:rFonts w:ascii="Verdana" w:hAnsi="Verdana"/>
          <w:bCs/>
          <w:color w:val="000000" w:themeColor="text1"/>
          <w:kern w:val="0"/>
          <w:sz w:val="21"/>
          <w:szCs w:val="21"/>
          <w:lang w:val="fr-FR"/>
          <w14:ligatures w14:val="none"/>
        </w:rPr>
      </w:pPr>
    </w:p>
    <w:p w14:paraId="64CAEC33" w14:textId="0070FA65" w:rsidR="00D91F04" w:rsidRDefault="00D91F04" w:rsidP="00D91F04">
      <w:pPr>
        <w:spacing w:after="120" w:line="276" w:lineRule="auto"/>
        <w:jc w:val="both"/>
        <w:rPr>
          <w:rFonts w:ascii="Verdana" w:hAnsi="Verdana"/>
          <w:iCs/>
          <w:color w:val="000000" w:themeColor="text1"/>
          <w:kern w:val="0"/>
          <w:sz w:val="21"/>
          <w:szCs w:val="21"/>
          <w:lang w:val="fr-FR" w:bidi="fr-FR"/>
          <w14:ligatures w14:val="none"/>
        </w:rPr>
      </w:pPr>
      <w:r w:rsidRPr="00D91F04">
        <w:rPr>
          <w:rFonts w:ascii="Verdana" w:hAnsi="Verdana"/>
          <w:iCs/>
          <w:color w:val="000000" w:themeColor="text1"/>
          <w:kern w:val="0"/>
          <w:sz w:val="21"/>
          <w:szCs w:val="21"/>
          <w:lang w:val="fr-FR" w:bidi="fr-FR"/>
          <w14:ligatures w14:val="none"/>
        </w:rPr>
        <w:t xml:space="preserve">OUVERT À LA SIGNATURE à xxx, le xxx </w:t>
      </w:r>
      <w:proofErr w:type="spellStart"/>
      <w:r w:rsidRPr="00D91F04">
        <w:rPr>
          <w:rFonts w:ascii="Verdana" w:hAnsi="Verdana"/>
          <w:iCs/>
          <w:color w:val="000000" w:themeColor="text1"/>
          <w:kern w:val="0"/>
          <w:sz w:val="21"/>
          <w:szCs w:val="21"/>
          <w:lang w:val="fr-FR" w:bidi="fr-FR"/>
          <w14:ligatures w14:val="none"/>
        </w:rPr>
        <w:t>xxx</w:t>
      </w:r>
      <w:proofErr w:type="spellEnd"/>
      <w:r w:rsidRPr="00D91F04">
        <w:rPr>
          <w:rFonts w:ascii="Verdana" w:hAnsi="Verdana"/>
          <w:iCs/>
          <w:color w:val="000000" w:themeColor="text1"/>
          <w:kern w:val="0"/>
          <w:sz w:val="21"/>
          <w:szCs w:val="21"/>
          <w:lang w:val="fr-FR" w:bidi="fr-FR"/>
          <w14:ligatures w14:val="none"/>
        </w:rPr>
        <w:t xml:space="preserve"> 2023, en un seul exemplaire, en langues </w:t>
      </w:r>
      <w:r w:rsidR="006E4673">
        <w:rPr>
          <w:rFonts w:ascii="Verdana" w:hAnsi="Verdana"/>
          <w:iCs/>
          <w:color w:val="000000" w:themeColor="text1"/>
          <w:kern w:val="0"/>
          <w:sz w:val="21"/>
          <w:szCs w:val="21"/>
          <w:lang w:val="fr-FR" w:bidi="fr-FR"/>
          <w14:ligatures w14:val="none"/>
        </w:rPr>
        <w:t xml:space="preserve">anglaise, </w:t>
      </w:r>
      <w:r w:rsidRPr="00D91F04">
        <w:rPr>
          <w:rFonts w:ascii="Verdana" w:hAnsi="Verdana"/>
          <w:iCs/>
          <w:color w:val="000000" w:themeColor="text1"/>
          <w:kern w:val="0"/>
          <w:sz w:val="21"/>
          <w:szCs w:val="21"/>
          <w:lang w:val="fr-FR" w:bidi="fr-FR"/>
          <w14:ligatures w14:val="none"/>
        </w:rPr>
        <w:t xml:space="preserve">française et </w:t>
      </w:r>
      <w:r w:rsidR="006E4673">
        <w:rPr>
          <w:rFonts w:ascii="Verdana" w:hAnsi="Verdana"/>
          <w:iCs/>
          <w:color w:val="000000" w:themeColor="text1"/>
          <w:kern w:val="0"/>
          <w:sz w:val="21"/>
          <w:szCs w:val="21"/>
          <w:lang w:val="fr-FR" w:bidi="fr-FR"/>
          <w14:ligatures w14:val="none"/>
        </w:rPr>
        <w:t>portug</w:t>
      </w:r>
      <w:r w:rsidRPr="00D91F04">
        <w:rPr>
          <w:rFonts w:ascii="Verdana" w:hAnsi="Verdana"/>
          <w:iCs/>
          <w:color w:val="000000" w:themeColor="text1"/>
          <w:kern w:val="0"/>
          <w:sz w:val="21"/>
          <w:szCs w:val="21"/>
          <w:lang w:val="fr-FR" w:bidi="fr-FR"/>
          <w14:ligatures w14:val="none"/>
        </w:rPr>
        <w:t>aise.</w:t>
      </w:r>
    </w:p>
    <w:p w14:paraId="787BBD0C" w14:textId="77777777" w:rsidR="006E4673" w:rsidRPr="00D91F04" w:rsidRDefault="006E4673" w:rsidP="00D91F04">
      <w:pPr>
        <w:spacing w:after="120" w:line="276" w:lineRule="auto"/>
        <w:jc w:val="both"/>
        <w:rPr>
          <w:rFonts w:ascii="Verdana" w:hAnsi="Verdana"/>
          <w:bCs/>
          <w:color w:val="000000" w:themeColor="text1"/>
          <w:kern w:val="0"/>
          <w:sz w:val="21"/>
          <w:szCs w:val="21"/>
          <w:lang w:val="fr-FR"/>
          <w14:ligatures w14:val="none"/>
        </w:rPr>
      </w:pPr>
    </w:p>
    <w:p w14:paraId="06E0B685" w14:textId="5BB35CE2" w:rsidR="00D91F04" w:rsidRPr="00D91F04" w:rsidRDefault="00D91F04" w:rsidP="006E4673">
      <w:pPr>
        <w:spacing w:after="0" w:line="240" w:lineRule="auto"/>
        <w:rPr>
          <w:rFonts w:ascii="Verdana" w:hAnsi="Verdana"/>
          <w:bCs/>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EN FOI DE QUOI, LES SOUSSIGNÉS, DÛMENT AUTORISÉS PAR LEURS GOUVERNEMENTS RESPECTIFS, ONT SIGNÉ LE PRÉSENT ACCORD.</w:t>
      </w:r>
    </w:p>
    <w:p w14:paraId="52294062"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1397E2EB" w14:textId="032B2D55" w:rsidR="00D91F04" w:rsidRDefault="00D91F04" w:rsidP="00D91F04">
      <w:pPr>
        <w:spacing w:after="120" w:line="276" w:lineRule="auto"/>
        <w:jc w:val="both"/>
        <w:rPr>
          <w:rFonts w:ascii="Verdana" w:hAnsi="Verdana"/>
          <w:b/>
          <w:iCs/>
          <w:color w:val="000000" w:themeColor="text1"/>
          <w:kern w:val="0"/>
          <w:sz w:val="21"/>
          <w:szCs w:val="21"/>
          <w:lang w:val="fr-FR" w:bidi="fr-FR"/>
          <w14:ligatures w14:val="none"/>
        </w:rPr>
      </w:pPr>
      <w:r w:rsidRPr="00D91F04">
        <w:rPr>
          <w:rFonts w:ascii="Verdana" w:hAnsi="Verdana"/>
          <w:b/>
          <w:iCs/>
          <w:color w:val="000000" w:themeColor="text1"/>
          <w:kern w:val="0"/>
          <w:sz w:val="21"/>
          <w:szCs w:val="21"/>
          <w:lang w:val="fr-FR" w:bidi="fr-FR"/>
          <w14:ligatures w14:val="none"/>
        </w:rPr>
        <w:t xml:space="preserve">FAIT LE .................., en trois exemplaires originaux en langue anglaise, </w:t>
      </w:r>
      <w:r w:rsidR="006E4673">
        <w:rPr>
          <w:rFonts w:ascii="Verdana" w:hAnsi="Verdana"/>
          <w:b/>
          <w:iCs/>
          <w:color w:val="000000" w:themeColor="text1"/>
          <w:kern w:val="0"/>
          <w:sz w:val="21"/>
          <w:szCs w:val="21"/>
          <w:lang w:val="fr-FR" w:bidi="fr-FR"/>
          <w14:ligatures w14:val="none"/>
        </w:rPr>
        <w:t xml:space="preserve">française et portugais, </w:t>
      </w:r>
      <w:r w:rsidRPr="00D91F04">
        <w:rPr>
          <w:rFonts w:ascii="Verdana" w:hAnsi="Verdana"/>
          <w:b/>
          <w:iCs/>
          <w:color w:val="000000" w:themeColor="text1"/>
          <w:kern w:val="0"/>
          <w:sz w:val="21"/>
          <w:szCs w:val="21"/>
          <w:lang w:val="fr-FR" w:bidi="fr-FR"/>
          <w14:ligatures w14:val="none"/>
        </w:rPr>
        <w:t>tous les textes faisant également foi.</w:t>
      </w:r>
    </w:p>
    <w:p w14:paraId="0EB1F0F4" w14:textId="77777777" w:rsidR="00F2743A" w:rsidRPr="00D91F04" w:rsidRDefault="00F2743A" w:rsidP="00D91F04">
      <w:pPr>
        <w:spacing w:after="120" w:line="276" w:lineRule="auto"/>
        <w:jc w:val="both"/>
        <w:rPr>
          <w:rFonts w:ascii="Verdana" w:hAnsi="Verdana"/>
          <w:b/>
          <w:bCs/>
          <w:color w:val="000000" w:themeColor="text1"/>
          <w:kern w:val="0"/>
          <w:sz w:val="21"/>
          <w:szCs w:val="21"/>
          <w:lang w:val="fr-FR"/>
          <w14:ligatures w14:val="none"/>
        </w:rPr>
      </w:pPr>
    </w:p>
    <w:p w14:paraId="3D8DC66C" w14:textId="0844DB86" w:rsidR="00D91F04" w:rsidRPr="00D91F04" w:rsidRDefault="00D91F04" w:rsidP="00F2743A">
      <w:pPr>
        <w:spacing w:after="0" w:line="240" w:lineRule="auto"/>
        <w:rPr>
          <w:rFonts w:ascii="Verdana" w:hAnsi="Verdana"/>
          <w:b/>
          <w:bCs/>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Pour l’Union des Comores</w:t>
      </w:r>
    </w:p>
    <w:p w14:paraId="0301F7C0"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7D8A4468"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3C6F4AD0"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1495CFE1" w14:textId="77777777" w:rsidR="00D91F04" w:rsidRPr="00D91F04" w:rsidRDefault="00D91F04" w:rsidP="00D91F04">
      <w:pPr>
        <w:spacing w:after="120" w:line="276" w:lineRule="auto"/>
        <w:jc w:val="both"/>
        <w:rPr>
          <w:rFonts w:ascii="Verdana" w:hAnsi="Verdana"/>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Date</w:t>
      </w:r>
      <w:r w:rsidRPr="00D91F04">
        <w:rPr>
          <w:rFonts w:ascii="Verdana" w:hAnsi="Verdana"/>
          <w:iCs/>
          <w:color w:val="000000" w:themeColor="text1"/>
          <w:kern w:val="0"/>
          <w:sz w:val="21"/>
          <w:szCs w:val="21"/>
          <w:lang w:val="fr-FR" w:bidi="fr-FR"/>
          <w14:ligatures w14:val="none"/>
        </w:rPr>
        <w:t> : ____________</w:t>
      </w:r>
    </w:p>
    <w:p w14:paraId="525494B3"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ab/>
      </w:r>
    </w:p>
    <w:p w14:paraId="11D96614"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Nom</w:t>
      </w:r>
      <w:r w:rsidRPr="00D91F04">
        <w:rPr>
          <w:rFonts w:ascii="Verdana" w:hAnsi="Verdana"/>
          <w:iCs/>
          <w:color w:val="000000" w:themeColor="text1"/>
          <w:kern w:val="0"/>
          <w:sz w:val="21"/>
          <w:szCs w:val="21"/>
          <w:lang w:val="fr-FR" w:bidi="fr-FR"/>
          <w14:ligatures w14:val="none"/>
        </w:rPr>
        <w:t xml:space="preserve"> _____________________________</w:t>
      </w:r>
      <w:r w:rsidRPr="00D91F04">
        <w:rPr>
          <w:rFonts w:ascii="Verdana" w:hAnsi="Verdana"/>
          <w:b/>
          <w:iCs/>
          <w:color w:val="000000" w:themeColor="text1"/>
          <w:kern w:val="0"/>
          <w:sz w:val="21"/>
          <w:szCs w:val="21"/>
          <w:lang w:val="fr-FR" w:bidi="fr-FR"/>
          <w14:ligatures w14:val="none"/>
        </w:rPr>
        <w:tab/>
        <w:t xml:space="preserve"> Signature</w:t>
      </w:r>
    </w:p>
    <w:p w14:paraId="5C2DD8F1"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65E880EC"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23A6C2BD" w14:textId="7DDD7213" w:rsidR="00D91F04" w:rsidRPr="00D91F04" w:rsidRDefault="00D91F04" w:rsidP="00D91F04">
      <w:pPr>
        <w:spacing w:after="120" w:line="276" w:lineRule="auto"/>
        <w:jc w:val="both"/>
        <w:rPr>
          <w:rFonts w:ascii="Verdana" w:hAnsi="Verdana"/>
          <w:bCs/>
          <w:color w:val="D9D9D9" w:themeColor="background1" w:themeShade="D9"/>
          <w:kern w:val="0"/>
          <w:sz w:val="21"/>
          <w:szCs w:val="21"/>
          <w:lang w:val="fr-FR"/>
          <w14:ligatures w14:val="none"/>
        </w:rPr>
      </w:pPr>
      <w:r w:rsidRPr="00D91F04">
        <w:rPr>
          <w:rFonts w:ascii="Verdana" w:hAnsi="Verdana"/>
          <w:iCs/>
          <w:color w:val="D9D9D9" w:themeColor="background1" w:themeShade="D9"/>
          <w:kern w:val="0"/>
          <w:sz w:val="21"/>
          <w:szCs w:val="21"/>
          <w:lang w:val="fr-FR" w:bidi="fr-FR"/>
          <w14:ligatures w14:val="none"/>
        </w:rPr>
        <w:t>___________________________________________________________________</w:t>
      </w:r>
    </w:p>
    <w:p w14:paraId="4F89A0CE"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6DEAD800"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Pour la République française (représentée par la Réunion)</w:t>
      </w:r>
    </w:p>
    <w:p w14:paraId="656D57AE"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2EC9ACC4"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09F5AD07"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30FBA682" w14:textId="77777777" w:rsidR="00D91F04" w:rsidRPr="00D91F04" w:rsidRDefault="00D91F04" w:rsidP="00D91F04">
      <w:pPr>
        <w:spacing w:after="120" w:line="276" w:lineRule="auto"/>
        <w:jc w:val="both"/>
        <w:rPr>
          <w:rFonts w:ascii="Verdana" w:hAnsi="Verdana"/>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Date</w:t>
      </w:r>
      <w:r w:rsidRPr="00D91F04">
        <w:rPr>
          <w:rFonts w:ascii="Verdana" w:hAnsi="Verdana"/>
          <w:iCs/>
          <w:color w:val="000000" w:themeColor="text1"/>
          <w:kern w:val="0"/>
          <w:sz w:val="21"/>
          <w:szCs w:val="21"/>
          <w:lang w:val="fr-FR" w:bidi="fr-FR"/>
          <w14:ligatures w14:val="none"/>
        </w:rPr>
        <w:t> : ____________</w:t>
      </w:r>
    </w:p>
    <w:p w14:paraId="412F8F36"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ab/>
      </w:r>
    </w:p>
    <w:p w14:paraId="5895D71E"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Nom</w:t>
      </w:r>
      <w:r w:rsidRPr="00D91F04">
        <w:rPr>
          <w:rFonts w:ascii="Verdana" w:hAnsi="Verdana"/>
          <w:iCs/>
          <w:color w:val="000000" w:themeColor="text1"/>
          <w:kern w:val="0"/>
          <w:sz w:val="21"/>
          <w:szCs w:val="21"/>
          <w:lang w:val="fr-FR" w:bidi="fr-FR"/>
          <w14:ligatures w14:val="none"/>
        </w:rPr>
        <w:t xml:space="preserve"> _____________________________</w:t>
      </w:r>
      <w:r w:rsidRPr="00D91F04">
        <w:rPr>
          <w:rFonts w:ascii="Verdana" w:hAnsi="Verdana"/>
          <w:b/>
          <w:iCs/>
          <w:color w:val="000000" w:themeColor="text1"/>
          <w:kern w:val="0"/>
          <w:sz w:val="21"/>
          <w:szCs w:val="21"/>
          <w:lang w:val="fr-FR" w:bidi="fr-FR"/>
          <w14:ligatures w14:val="none"/>
        </w:rPr>
        <w:tab/>
        <w:t xml:space="preserve"> Signature</w:t>
      </w:r>
    </w:p>
    <w:p w14:paraId="076A8533"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1C84AD34"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28F555CB" w14:textId="34F4EDAB" w:rsidR="00D91F04" w:rsidRPr="00D91F04" w:rsidRDefault="00D91F04" w:rsidP="00D91F04">
      <w:pPr>
        <w:spacing w:after="120" w:line="276" w:lineRule="auto"/>
        <w:jc w:val="both"/>
        <w:rPr>
          <w:rFonts w:ascii="Verdana" w:hAnsi="Verdana"/>
          <w:bCs/>
          <w:color w:val="D9D9D9" w:themeColor="background1" w:themeShade="D9"/>
          <w:kern w:val="0"/>
          <w:sz w:val="21"/>
          <w:szCs w:val="21"/>
          <w:lang w:val="fr-FR"/>
          <w14:ligatures w14:val="none"/>
        </w:rPr>
      </w:pPr>
      <w:r w:rsidRPr="00D91F04">
        <w:rPr>
          <w:rFonts w:ascii="Verdana" w:hAnsi="Verdana"/>
          <w:iCs/>
          <w:color w:val="D9D9D9" w:themeColor="background1" w:themeShade="D9"/>
          <w:kern w:val="0"/>
          <w:sz w:val="21"/>
          <w:szCs w:val="21"/>
          <w:lang w:val="fr-FR" w:bidi="fr-FR"/>
          <w14:ligatures w14:val="none"/>
        </w:rPr>
        <w:lastRenderedPageBreak/>
        <w:t>___________________________________________________________________</w:t>
      </w:r>
    </w:p>
    <w:p w14:paraId="66E92589"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1951DBFA"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Pour la République du Kenya</w:t>
      </w:r>
    </w:p>
    <w:p w14:paraId="7470CC2D"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2655C9B1"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44276225"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35ECECED" w14:textId="77777777" w:rsidR="00D91F04" w:rsidRPr="00D91F04" w:rsidRDefault="00D91F04" w:rsidP="00D91F04">
      <w:pPr>
        <w:spacing w:after="120" w:line="276" w:lineRule="auto"/>
        <w:jc w:val="both"/>
        <w:rPr>
          <w:rFonts w:ascii="Verdana" w:hAnsi="Verdana"/>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Date</w:t>
      </w:r>
      <w:r w:rsidRPr="00D91F04">
        <w:rPr>
          <w:rFonts w:ascii="Verdana" w:hAnsi="Verdana"/>
          <w:iCs/>
          <w:color w:val="000000" w:themeColor="text1"/>
          <w:kern w:val="0"/>
          <w:sz w:val="21"/>
          <w:szCs w:val="21"/>
          <w:lang w:val="fr-FR" w:bidi="fr-FR"/>
          <w14:ligatures w14:val="none"/>
        </w:rPr>
        <w:t> : ____________</w:t>
      </w:r>
    </w:p>
    <w:p w14:paraId="5D49FE83"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ab/>
      </w:r>
    </w:p>
    <w:p w14:paraId="7AB5CD30" w14:textId="77777777" w:rsidR="00D91F04" w:rsidRDefault="00D91F04" w:rsidP="00D91F04">
      <w:pPr>
        <w:spacing w:after="120" w:line="276" w:lineRule="auto"/>
        <w:jc w:val="both"/>
        <w:rPr>
          <w:rFonts w:ascii="Verdana" w:hAnsi="Verdana"/>
          <w:b/>
          <w:iCs/>
          <w:color w:val="000000" w:themeColor="text1"/>
          <w:kern w:val="0"/>
          <w:sz w:val="21"/>
          <w:szCs w:val="21"/>
          <w:lang w:val="fr-FR" w:bidi="fr-FR"/>
          <w14:ligatures w14:val="none"/>
        </w:rPr>
      </w:pPr>
      <w:r w:rsidRPr="00D91F04">
        <w:rPr>
          <w:rFonts w:ascii="Verdana" w:hAnsi="Verdana"/>
          <w:b/>
          <w:iCs/>
          <w:color w:val="000000" w:themeColor="text1"/>
          <w:kern w:val="0"/>
          <w:sz w:val="21"/>
          <w:szCs w:val="21"/>
          <w:lang w:val="fr-FR" w:bidi="fr-FR"/>
          <w14:ligatures w14:val="none"/>
        </w:rPr>
        <w:t>Nom</w:t>
      </w:r>
      <w:r w:rsidRPr="00D91F04">
        <w:rPr>
          <w:rFonts w:ascii="Verdana" w:hAnsi="Verdana"/>
          <w:iCs/>
          <w:color w:val="000000" w:themeColor="text1"/>
          <w:kern w:val="0"/>
          <w:sz w:val="21"/>
          <w:szCs w:val="21"/>
          <w:lang w:val="fr-FR" w:bidi="fr-FR"/>
          <w14:ligatures w14:val="none"/>
        </w:rPr>
        <w:t xml:space="preserve"> _____________________________</w:t>
      </w:r>
      <w:r w:rsidRPr="00D91F04">
        <w:rPr>
          <w:rFonts w:ascii="Verdana" w:hAnsi="Verdana"/>
          <w:b/>
          <w:iCs/>
          <w:color w:val="000000" w:themeColor="text1"/>
          <w:kern w:val="0"/>
          <w:sz w:val="21"/>
          <w:szCs w:val="21"/>
          <w:lang w:val="fr-FR" w:bidi="fr-FR"/>
          <w14:ligatures w14:val="none"/>
        </w:rPr>
        <w:tab/>
        <w:t xml:space="preserve"> Signature</w:t>
      </w:r>
    </w:p>
    <w:p w14:paraId="1935C11D" w14:textId="77777777" w:rsidR="00F2743A" w:rsidRDefault="00F2743A" w:rsidP="00D91F04">
      <w:pPr>
        <w:spacing w:after="120" w:line="276" w:lineRule="auto"/>
        <w:jc w:val="both"/>
        <w:rPr>
          <w:rFonts w:ascii="Verdana" w:hAnsi="Verdana"/>
          <w:b/>
          <w:iCs/>
          <w:color w:val="000000" w:themeColor="text1"/>
          <w:kern w:val="0"/>
          <w:sz w:val="21"/>
          <w:szCs w:val="21"/>
          <w:lang w:val="fr-FR" w:bidi="fr-FR"/>
          <w14:ligatures w14:val="none"/>
        </w:rPr>
      </w:pPr>
    </w:p>
    <w:p w14:paraId="73F15027" w14:textId="77777777" w:rsidR="00F2743A" w:rsidRDefault="00F2743A" w:rsidP="00D91F04">
      <w:pPr>
        <w:spacing w:after="120" w:line="276" w:lineRule="auto"/>
        <w:jc w:val="both"/>
        <w:rPr>
          <w:rFonts w:ascii="Verdana" w:hAnsi="Verdana"/>
          <w:b/>
          <w:iCs/>
          <w:color w:val="000000" w:themeColor="text1"/>
          <w:kern w:val="0"/>
          <w:sz w:val="21"/>
          <w:szCs w:val="21"/>
          <w:lang w:val="fr-FR" w:bidi="fr-FR"/>
          <w14:ligatures w14:val="none"/>
        </w:rPr>
      </w:pPr>
    </w:p>
    <w:p w14:paraId="31A3130B" w14:textId="77777777" w:rsidR="00F2743A" w:rsidRDefault="00F2743A" w:rsidP="00D91F04">
      <w:pPr>
        <w:spacing w:after="120" w:line="276" w:lineRule="auto"/>
        <w:jc w:val="both"/>
        <w:rPr>
          <w:rFonts w:ascii="Verdana" w:hAnsi="Verdana"/>
          <w:b/>
          <w:bCs/>
          <w:color w:val="000000" w:themeColor="text1"/>
          <w:kern w:val="0"/>
          <w:sz w:val="21"/>
          <w:szCs w:val="21"/>
          <w:lang w:val="fr-FR"/>
          <w14:ligatures w14:val="none"/>
        </w:rPr>
      </w:pPr>
    </w:p>
    <w:p w14:paraId="6572DEFD" w14:textId="77777777" w:rsidR="00F2743A" w:rsidRPr="00D91F04" w:rsidRDefault="00F2743A" w:rsidP="00F2743A">
      <w:pPr>
        <w:spacing w:after="120" w:line="276" w:lineRule="auto"/>
        <w:jc w:val="both"/>
        <w:rPr>
          <w:rFonts w:ascii="Verdana" w:hAnsi="Verdana"/>
          <w:bCs/>
          <w:color w:val="D9D9D9" w:themeColor="background1" w:themeShade="D9"/>
          <w:kern w:val="0"/>
          <w:sz w:val="21"/>
          <w:szCs w:val="21"/>
          <w:lang w:val="fr-FR"/>
          <w14:ligatures w14:val="none"/>
        </w:rPr>
      </w:pPr>
      <w:r w:rsidRPr="00D91F04">
        <w:rPr>
          <w:rFonts w:ascii="Verdana" w:hAnsi="Verdana"/>
          <w:iCs/>
          <w:color w:val="D9D9D9" w:themeColor="background1" w:themeShade="D9"/>
          <w:kern w:val="0"/>
          <w:sz w:val="21"/>
          <w:szCs w:val="21"/>
          <w:lang w:val="fr-FR" w:bidi="fr-FR"/>
          <w14:ligatures w14:val="none"/>
        </w:rPr>
        <w:t>___________________________________________________________________</w:t>
      </w:r>
    </w:p>
    <w:p w14:paraId="64888C15" w14:textId="77777777" w:rsidR="00F2743A" w:rsidRPr="00D91F04" w:rsidRDefault="00F2743A" w:rsidP="00D91F04">
      <w:pPr>
        <w:spacing w:after="120" w:line="276" w:lineRule="auto"/>
        <w:jc w:val="both"/>
        <w:rPr>
          <w:rFonts w:ascii="Verdana" w:hAnsi="Verdana"/>
          <w:b/>
          <w:bCs/>
          <w:color w:val="000000" w:themeColor="text1"/>
          <w:kern w:val="0"/>
          <w:sz w:val="21"/>
          <w:szCs w:val="21"/>
          <w:lang w:val="fr-FR"/>
          <w14:ligatures w14:val="none"/>
        </w:rPr>
      </w:pPr>
    </w:p>
    <w:p w14:paraId="76989326" w14:textId="44FFC88B" w:rsidR="00D91F04" w:rsidRPr="00D91F04" w:rsidRDefault="00D91F04" w:rsidP="00F2743A">
      <w:pPr>
        <w:spacing w:after="0" w:line="240" w:lineRule="auto"/>
        <w:rPr>
          <w:rFonts w:ascii="Verdana" w:hAnsi="Verdana"/>
          <w:b/>
          <w:bCs/>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Pour la République de Madagascar</w:t>
      </w:r>
    </w:p>
    <w:p w14:paraId="56520274"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2334FA7A"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4279E819"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59C9CF63" w14:textId="77777777" w:rsidR="00D91F04" w:rsidRPr="00D91F04" w:rsidRDefault="00D91F04" w:rsidP="00D91F04">
      <w:pPr>
        <w:spacing w:after="120" w:line="276" w:lineRule="auto"/>
        <w:jc w:val="both"/>
        <w:rPr>
          <w:rFonts w:ascii="Verdana" w:hAnsi="Verdana"/>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Date</w:t>
      </w:r>
      <w:r w:rsidRPr="00D91F04">
        <w:rPr>
          <w:rFonts w:ascii="Verdana" w:hAnsi="Verdana"/>
          <w:iCs/>
          <w:color w:val="000000" w:themeColor="text1"/>
          <w:kern w:val="0"/>
          <w:sz w:val="21"/>
          <w:szCs w:val="21"/>
          <w:lang w:val="fr-FR" w:bidi="fr-FR"/>
          <w14:ligatures w14:val="none"/>
        </w:rPr>
        <w:t> : ____________</w:t>
      </w:r>
    </w:p>
    <w:p w14:paraId="2E25EDAB"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ab/>
      </w:r>
    </w:p>
    <w:p w14:paraId="001B97C2"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Nom</w:t>
      </w:r>
      <w:r w:rsidRPr="00D91F04">
        <w:rPr>
          <w:rFonts w:ascii="Verdana" w:hAnsi="Verdana"/>
          <w:iCs/>
          <w:color w:val="000000" w:themeColor="text1"/>
          <w:kern w:val="0"/>
          <w:sz w:val="21"/>
          <w:szCs w:val="21"/>
          <w:lang w:val="fr-FR" w:bidi="fr-FR"/>
          <w14:ligatures w14:val="none"/>
        </w:rPr>
        <w:t xml:space="preserve"> _____________________________</w:t>
      </w:r>
      <w:r w:rsidRPr="00D91F04">
        <w:rPr>
          <w:rFonts w:ascii="Verdana" w:hAnsi="Verdana"/>
          <w:b/>
          <w:iCs/>
          <w:color w:val="000000" w:themeColor="text1"/>
          <w:kern w:val="0"/>
          <w:sz w:val="21"/>
          <w:szCs w:val="21"/>
          <w:lang w:val="fr-FR" w:bidi="fr-FR"/>
          <w14:ligatures w14:val="none"/>
        </w:rPr>
        <w:tab/>
        <w:t xml:space="preserve"> Signature</w:t>
      </w:r>
    </w:p>
    <w:p w14:paraId="3D99B0C3"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4C1F0707"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5D5D65C4" w14:textId="2BCBFE7A" w:rsidR="00D91F04" w:rsidRPr="00D91F04" w:rsidRDefault="00D91F04" w:rsidP="00D91F04">
      <w:pPr>
        <w:spacing w:after="120" w:line="276" w:lineRule="auto"/>
        <w:jc w:val="both"/>
        <w:rPr>
          <w:rFonts w:ascii="Verdana" w:hAnsi="Verdana"/>
          <w:bCs/>
          <w:color w:val="D9D9D9" w:themeColor="background1" w:themeShade="D9"/>
          <w:kern w:val="0"/>
          <w:sz w:val="21"/>
          <w:szCs w:val="21"/>
          <w:lang w:val="fr-FR"/>
          <w14:ligatures w14:val="none"/>
        </w:rPr>
      </w:pPr>
      <w:r w:rsidRPr="00D91F04">
        <w:rPr>
          <w:rFonts w:ascii="Verdana" w:hAnsi="Verdana"/>
          <w:iCs/>
          <w:color w:val="D9D9D9" w:themeColor="background1" w:themeShade="D9"/>
          <w:kern w:val="0"/>
          <w:sz w:val="21"/>
          <w:szCs w:val="21"/>
          <w:lang w:val="fr-FR" w:bidi="fr-FR"/>
          <w14:ligatures w14:val="none"/>
        </w:rPr>
        <w:t>___________________________________________________________________</w:t>
      </w:r>
    </w:p>
    <w:p w14:paraId="63160251"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5E63CFC4"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Pour la République de Maurice</w:t>
      </w:r>
    </w:p>
    <w:p w14:paraId="36267316"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7C19E782"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08D3623D"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306C62F4" w14:textId="77777777" w:rsidR="00D91F04" w:rsidRPr="00D91F04" w:rsidRDefault="00D91F04" w:rsidP="00D91F04">
      <w:pPr>
        <w:spacing w:after="120" w:line="276" w:lineRule="auto"/>
        <w:jc w:val="both"/>
        <w:rPr>
          <w:rFonts w:ascii="Verdana" w:hAnsi="Verdana"/>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Date</w:t>
      </w:r>
      <w:r w:rsidRPr="00D91F04">
        <w:rPr>
          <w:rFonts w:ascii="Verdana" w:hAnsi="Verdana"/>
          <w:iCs/>
          <w:color w:val="000000" w:themeColor="text1"/>
          <w:kern w:val="0"/>
          <w:sz w:val="21"/>
          <w:szCs w:val="21"/>
          <w:lang w:val="fr-FR" w:bidi="fr-FR"/>
          <w14:ligatures w14:val="none"/>
        </w:rPr>
        <w:t> : ____________</w:t>
      </w:r>
    </w:p>
    <w:p w14:paraId="491CE53C"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ab/>
      </w:r>
    </w:p>
    <w:p w14:paraId="74930A48"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Nom</w:t>
      </w:r>
      <w:r w:rsidRPr="00D91F04">
        <w:rPr>
          <w:rFonts w:ascii="Verdana" w:hAnsi="Verdana"/>
          <w:iCs/>
          <w:color w:val="000000" w:themeColor="text1"/>
          <w:kern w:val="0"/>
          <w:sz w:val="21"/>
          <w:szCs w:val="21"/>
          <w:lang w:val="fr-FR" w:bidi="fr-FR"/>
          <w14:ligatures w14:val="none"/>
        </w:rPr>
        <w:t xml:space="preserve"> _____________________________</w:t>
      </w:r>
      <w:r w:rsidRPr="00D91F04">
        <w:rPr>
          <w:rFonts w:ascii="Verdana" w:hAnsi="Verdana"/>
          <w:b/>
          <w:iCs/>
          <w:color w:val="000000" w:themeColor="text1"/>
          <w:kern w:val="0"/>
          <w:sz w:val="21"/>
          <w:szCs w:val="21"/>
          <w:lang w:val="fr-FR" w:bidi="fr-FR"/>
          <w14:ligatures w14:val="none"/>
        </w:rPr>
        <w:tab/>
        <w:t xml:space="preserve"> Signature</w:t>
      </w:r>
    </w:p>
    <w:p w14:paraId="47FE640B"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08771066" w14:textId="77777777" w:rsidR="00F2743A" w:rsidRPr="00D91F04" w:rsidRDefault="00F2743A" w:rsidP="00D91F04">
      <w:pPr>
        <w:spacing w:after="120" w:line="276" w:lineRule="auto"/>
        <w:jc w:val="both"/>
        <w:rPr>
          <w:rFonts w:ascii="Verdana" w:hAnsi="Verdana"/>
          <w:b/>
          <w:bCs/>
          <w:color w:val="000000" w:themeColor="text1"/>
          <w:kern w:val="0"/>
          <w:sz w:val="21"/>
          <w:szCs w:val="21"/>
          <w:lang w:val="fr-FR"/>
          <w14:ligatures w14:val="none"/>
        </w:rPr>
      </w:pPr>
    </w:p>
    <w:p w14:paraId="06B3A340" w14:textId="62F43AA8" w:rsidR="00D91F04" w:rsidRPr="00D91F04" w:rsidRDefault="00D91F04" w:rsidP="00D91F04">
      <w:pPr>
        <w:spacing w:after="120" w:line="276" w:lineRule="auto"/>
        <w:jc w:val="both"/>
        <w:rPr>
          <w:rFonts w:ascii="Verdana" w:hAnsi="Verdana"/>
          <w:bCs/>
          <w:color w:val="D9D9D9" w:themeColor="background1" w:themeShade="D9"/>
          <w:kern w:val="0"/>
          <w:sz w:val="21"/>
          <w:szCs w:val="21"/>
          <w:lang w:val="fr-FR"/>
          <w14:ligatures w14:val="none"/>
        </w:rPr>
      </w:pPr>
      <w:r w:rsidRPr="00D91F04">
        <w:rPr>
          <w:rFonts w:ascii="Verdana" w:hAnsi="Verdana"/>
          <w:iCs/>
          <w:color w:val="D9D9D9" w:themeColor="background1" w:themeShade="D9"/>
          <w:kern w:val="0"/>
          <w:sz w:val="21"/>
          <w:szCs w:val="21"/>
          <w:lang w:val="fr-FR" w:bidi="fr-FR"/>
          <w14:ligatures w14:val="none"/>
        </w:rPr>
        <w:lastRenderedPageBreak/>
        <w:t>___________________________________________________________________</w:t>
      </w:r>
    </w:p>
    <w:p w14:paraId="348A72E4"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3E6667D9"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Pour la République du Mozambique</w:t>
      </w:r>
    </w:p>
    <w:p w14:paraId="79AAD38F"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29830C16"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23737AA4" w14:textId="77777777" w:rsidR="00D91F04" w:rsidRPr="00D91F04" w:rsidRDefault="00D91F04" w:rsidP="00D91F04">
      <w:pPr>
        <w:spacing w:after="120" w:line="276" w:lineRule="auto"/>
        <w:jc w:val="both"/>
        <w:rPr>
          <w:rFonts w:ascii="Verdana" w:hAnsi="Verdana"/>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Date</w:t>
      </w:r>
      <w:r w:rsidRPr="00D91F04">
        <w:rPr>
          <w:rFonts w:ascii="Verdana" w:hAnsi="Verdana"/>
          <w:iCs/>
          <w:color w:val="000000" w:themeColor="text1"/>
          <w:kern w:val="0"/>
          <w:sz w:val="21"/>
          <w:szCs w:val="21"/>
          <w:lang w:val="fr-FR" w:bidi="fr-FR"/>
          <w14:ligatures w14:val="none"/>
        </w:rPr>
        <w:t> : ____________</w:t>
      </w:r>
    </w:p>
    <w:p w14:paraId="2034A678"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ab/>
      </w:r>
    </w:p>
    <w:p w14:paraId="1EE3089C" w14:textId="77777777" w:rsidR="00D91F04" w:rsidRDefault="00D91F04" w:rsidP="00D91F04">
      <w:pPr>
        <w:spacing w:after="120" w:line="276" w:lineRule="auto"/>
        <w:jc w:val="both"/>
        <w:rPr>
          <w:rFonts w:ascii="Verdana" w:hAnsi="Verdana"/>
          <w:b/>
          <w:iCs/>
          <w:color w:val="000000" w:themeColor="text1"/>
          <w:kern w:val="0"/>
          <w:sz w:val="21"/>
          <w:szCs w:val="21"/>
          <w:lang w:val="fr-FR" w:bidi="fr-FR"/>
          <w14:ligatures w14:val="none"/>
        </w:rPr>
      </w:pPr>
      <w:r w:rsidRPr="00D91F04">
        <w:rPr>
          <w:rFonts w:ascii="Verdana" w:hAnsi="Verdana"/>
          <w:b/>
          <w:iCs/>
          <w:color w:val="000000" w:themeColor="text1"/>
          <w:kern w:val="0"/>
          <w:sz w:val="21"/>
          <w:szCs w:val="21"/>
          <w:lang w:val="fr-FR" w:bidi="fr-FR"/>
          <w14:ligatures w14:val="none"/>
        </w:rPr>
        <w:t>Nom</w:t>
      </w:r>
      <w:r w:rsidRPr="00D91F04">
        <w:rPr>
          <w:rFonts w:ascii="Verdana" w:hAnsi="Verdana"/>
          <w:iCs/>
          <w:color w:val="000000" w:themeColor="text1"/>
          <w:kern w:val="0"/>
          <w:sz w:val="21"/>
          <w:szCs w:val="21"/>
          <w:lang w:val="fr-FR" w:bidi="fr-FR"/>
          <w14:ligatures w14:val="none"/>
        </w:rPr>
        <w:t xml:space="preserve"> _____________________________</w:t>
      </w:r>
      <w:r w:rsidRPr="00D91F04">
        <w:rPr>
          <w:rFonts w:ascii="Verdana" w:hAnsi="Verdana"/>
          <w:b/>
          <w:iCs/>
          <w:color w:val="000000" w:themeColor="text1"/>
          <w:kern w:val="0"/>
          <w:sz w:val="21"/>
          <w:szCs w:val="21"/>
          <w:lang w:val="fr-FR" w:bidi="fr-FR"/>
          <w14:ligatures w14:val="none"/>
        </w:rPr>
        <w:tab/>
        <w:t xml:space="preserve"> Signature</w:t>
      </w:r>
    </w:p>
    <w:p w14:paraId="3B19C7B7" w14:textId="77777777" w:rsidR="00F2743A" w:rsidRDefault="00F2743A" w:rsidP="00D91F04">
      <w:pPr>
        <w:spacing w:after="120" w:line="276" w:lineRule="auto"/>
        <w:jc w:val="both"/>
        <w:rPr>
          <w:rFonts w:ascii="Verdana" w:hAnsi="Verdana"/>
          <w:b/>
          <w:bCs/>
          <w:color w:val="000000" w:themeColor="text1"/>
          <w:kern w:val="0"/>
          <w:sz w:val="21"/>
          <w:szCs w:val="21"/>
          <w:lang w:val="fr-FR"/>
          <w14:ligatures w14:val="none"/>
        </w:rPr>
      </w:pPr>
    </w:p>
    <w:p w14:paraId="651C81AC" w14:textId="77777777" w:rsidR="00F2743A" w:rsidRDefault="00F2743A" w:rsidP="00D91F04">
      <w:pPr>
        <w:spacing w:after="120" w:line="276" w:lineRule="auto"/>
        <w:jc w:val="both"/>
        <w:rPr>
          <w:rFonts w:ascii="Verdana" w:hAnsi="Verdana"/>
          <w:b/>
          <w:bCs/>
          <w:color w:val="000000" w:themeColor="text1"/>
          <w:kern w:val="0"/>
          <w:sz w:val="21"/>
          <w:szCs w:val="21"/>
          <w:lang w:val="fr-FR"/>
          <w14:ligatures w14:val="none"/>
        </w:rPr>
      </w:pPr>
    </w:p>
    <w:p w14:paraId="26D2FCCE" w14:textId="77777777" w:rsidR="00F2743A" w:rsidRDefault="00F2743A" w:rsidP="00F2743A">
      <w:pPr>
        <w:spacing w:after="120" w:line="276" w:lineRule="auto"/>
        <w:jc w:val="both"/>
        <w:rPr>
          <w:rFonts w:ascii="Verdana" w:hAnsi="Verdana"/>
          <w:iCs/>
          <w:color w:val="D9D9D9" w:themeColor="background1" w:themeShade="D9"/>
          <w:kern w:val="0"/>
          <w:sz w:val="21"/>
          <w:szCs w:val="21"/>
          <w:lang w:val="fr-FR" w:bidi="fr-FR"/>
          <w14:ligatures w14:val="none"/>
        </w:rPr>
      </w:pPr>
    </w:p>
    <w:p w14:paraId="7B9100FF" w14:textId="04E02AB4" w:rsidR="00F2743A" w:rsidRPr="00D91F04" w:rsidRDefault="00F2743A" w:rsidP="00F2743A">
      <w:pPr>
        <w:spacing w:after="120" w:line="276" w:lineRule="auto"/>
        <w:jc w:val="both"/>
        <w:rPr>
          <w:rFonts w:ascii="Verdana" w:hAnsi="Verdana"/>
          <w:bCs/>
          <w:color w:val="D9D9D9" w:themeColor="background1" w:themeShade="D9"/>
          <w:kern w:val="0"/>
          <w:sz w:val="21"/>
          <w:szCs w:val="21"/>
          <w:lang w:val="fr-FR"/>
          <w14:ligatures w14:val="none"/>
        </w:rPr>
      </w:pPr>
      <w:r w:rsidRPr="00D91F04">
        <w:rPr>
          <w:rFonts w:ascii="Verdana" w:hAnsi="Verdana"/>
          <w:iCs/>
          <w:color w:val="D9D9D9" w:themeColor="background1" w:themeShade="D9"/>
          <w:kern w:val="0"/>
          <w:sz w:val="21"/>
          <w:szCs w:val="21"/>
          <w:lang w:val="fr-FR" w:bidi="fr-FR"/>
          <w14:ligatures w14:val="none"/>
        </w:rPr>
        <w:t>___________________________________________________________________</w:t>
      </w:r>
    </w:p>
    <w:p w14:paraId="62A1FDC3" w14:textId="77777777" w:rsidR="00F2743A" w:rsidRPr="00D91F04" w:rsidRDefault="00F2743A" w:rsidP="00D91F04">
      <w:pPr>
        <w:spacing w:after="120" w:line="276" w:lineRule="auto"/>
        <w:jc w:val="both"/>
        <w:rPr>
          <w:rFonts w:ascii="Verdana" w:hAnsi="Verdana"/>
          <w:b/>
          <w:bCs/>
          <w:color w:val="000000" w:themeColor="text1"/>
          <w:kern w:val="0"/>
          <w:sz w:val="21"/>
          <w:szCs w:val="21"/>
          <w:lang w:val="fr-FR"/>
          <w14:ligatures w14:val="none"/>
        </w:rPr>
      </w:pPr>
    </w:p>
    <w:p w14:paraId="2BAD3D2C" w14:textId="21E8CB14" w:rsidR="00D91F04" w:rsidRPr="00D91F04" w:rsidRDefault="00D91F04" w:rsidP="00F2743A">
      <w:pPr>
        <w:spacing w:after="0" w:line="240" w:lineRule="auto"/>
        <w:rPr>
          <w:rFonts w:ascii="Verdana" w:hAnsi="Verdana"/>
          <w:b/>
          <w:bCs/>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Pour la République des Seychelles</w:t>
      </w:r>
    </w:p>
    <w:p w14:paraId="30107C2E"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0378B739"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4919B643"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7A71F6C9" w14:textId="77777777" w:rsidR="00D91F04" w:rsidRPr="00D91F04" w:rsidRDefault="00D91F04" w:rsidP="00D91F04">
      <w:pPr>
        <w:spacing w:after="120" w:line="276" w:lineRule="auto"/>
        <w:jc w:val="both"/>
        <w:rPr>
          <w:rFonts w:ascii="Verdana" w:hAnsi="Verdana"/>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Date</w:t>
      </w:r>
      <w:r w:rsidRPr="00D91F04">
        <w:rPr>
          <w:rFonts w:ascii="Verdana" w:hAnsi="Verdana"/>
          <w:iCs/>
          <w:color w:val="000000" w:themeColor="text1"/>
          <w:kern w:val="0"/>
          <w:sz w:val="21"/>
          <w:szCs w:val="21"/>
          <w:lang w:val="fr-FR" w:bidi="fr-FR"/>
          <w14:ligatures w14:val="none"/>
        </w:rPr>
        <w:t> : ____________</w:t>
      </w:r>
    </w:p>
    <w:p w14:paraId="0115840B"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ab/>
      </w:r>
    </w:p>
    <w:p w14:paraId="317759C3"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Nom</w:t>
      </w:r>
      <w:r w:rsidRPr="00D91F04">
        <w:rPr>
          <w:rFonts w:ascii="Verdana" w:hAnsi="Verdana"/>
          <w:iCs/>
          <w:color w:val="000000" w:themeColor="text1"/>
          <w:kern w:val="0"/>
          <w:sz w:val="21"/>
          <w:szCs w:val="21"/>
          <w:lang w:val="fr-FR" w:bidi="fr-FR"/>
          <w14:ligatures w14:val="none"/>
        </w:rPr>
        <w:t xml:space="preserve"> _____________________________</w:t>
      </w:r>
      <w:r w:rsidRPr="00D91F04">
        <w:rPr>
          <w:rFonts w:ascii="Verdana" w:hAnsi="Verdana"/>
          <w:b/>
          <w:iCs/>
          <w:color w:val="000000" w:themeColor="text1"/>
          <w:kern w:val="0"/>
          <w:sz w:val="21"/>
          <w:szCs w:val="21"/>
          <w:lang w:val="fr-FR" w:bidi="fr-FR"/>
          <w14:ligatures w14:val="none"/>
        </w:rPr>
        <w:tab/>
        <w:t xml:space="preserve"> Signature</w:t>
      </w:r>
    </w:p>
    <w:p w14:paraId="4ABB576C"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10159774"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275FE468" w14:textId="11559BA7" w:rsidR="00D91F04" w:rsidRPr="00D91F04" w:rsidRDefault="00D91F04" w:rsidP="00D91F04">
      <w:pPr>
        <w:spacing w:after="120" w:line="276" w:lineRule="auto"/>
        <w:jc w:val="both"/>
        <w:rPr>
          <w:rFonts w:ascii="Verdana" w:hAnsi="Verdana"/>
          <w:bCs/>
          <w:color w:val="D9D9D9" w:themeColor="background1" w:themeShade="D9"/>
          <w:kern w:val="0"/>
          <w:sz w:val="21"/>
          <w:szCs w:val="21"/>
          <w:lang w:val="fr-FR"/>
          <w14:ligatures w14:val="none"/>
        </w:rPr>
      </w:pPr>
      <w:r w:rsidRPr="00D91F04">
        <w:rPr>
          <w:rFonts w:ascii="Verdana" w:hAnsi="Verdana"/>
          <w:iCs/>
          <w:color w:val="D9D9D9" w:themeColor="background1" w:themeShade="D9"/>
          <w:kern w:val="0"/>
          <w:sz w:val="21"/>
          <w:szCs w:val="21"/>
          <w:lang w:val="fr-FR" w:bidi="fr-FR"/>
          <w14:ligatures w14:val="none"/>
        </w:rPr>
        <w:t>___________________________________________________________________</w:t>
      </w:r>
    </w:p>
    <w:p w14:paraId="24CA2427"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79D9B2BF"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Pour la République-Unie de Tanzanie</w:t>
      </w:r>
    </w:p>
    <w:p w14:paraId="2FAB4DA3"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59CE309E"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562C0566"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71D7F863" w14:textId="77777777" w:rsidR="00D91F04" w:rsidRPr="00D91F04" w:rsidRDefault="00D91F04" w:rsidP="00D91F04">
      <w:pPr>
        <w:spacing w:after="120" w:line="276" w:lineRule="auto"/>
        <w:jc w:val="both"/>
        <w:rPr>
          <w:rFonts w:ascii="Verdana" w:hAnsi="Verdana"/>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Date</w:t>
      </w:r>
      <w:r w:rsidRPr="00D91F04">
        <w:rPr>
          <w:rFonts w:ascii="Verdana" w:hAnsi="Verdana"/>
          <w:iCs/>
          <w:color w:val="000000" w:themeColor="text1"/>
          <w:kern w:val="0"/>
          <w:sz w:val="21"/>
          <w:szCs w:val="21"/>
          <w:lang w:val="fr-FR" w:bidi="fr-FR"/>
          <w14:ligatures w14:val="none"/>
        </w:rPr>
        <w:t> : ____________</w:t>
      </w:r>
    </w:p>
    <w:p w14:paraId="0560E21C"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ab/>
      </w:r>
    </w:p>
    <w:p w14:paraId="70CEEE43"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Nom</w:t>
      </w:r>
      <w:r w:rsidRPr="00D91F04">
        <w:rPr>
          <w:rFonts w:ascii="Verdana" w:hAnsi="Verdana"/>
          <w:iCs/>
          <w:color w:val="000000" w:themeColor="text1"/>
          <w:kern w:val="0"/>
          <w:sz w:val="21"/>
          <w:szCs w:val="21"/>
          <w:lang w:val="fr-FR" w:bidi="fr-FR"/>
          <w14:ligatures w14:val="none"/>
        </w:rPr>
        <w:t xml:space="preserve"> _____________________________</w:t>
      </w:r>
      <w:r w:rsidRPr="00D91F04">
        <w:rPr>
          <w:rFonts w:ascii="Verdana" w:hAnsi="Verdana"/>
          <w:b/>
          <w:iCs/>
          <w:color w:val="000000" w:themeColor="text1"/>
          <w:kern w:val="0"/>
          <w:sz w:val="21"/>
          <w:szCs w:val="21"/>
          <w:lang w:val="fr-FR" w:bidi="fr-FR"/>
          <w14:ligatures w14:val="none"/>
        </w:rPr>
        <w:tab/>
        <w:t xml:space="preserve"> Signature</w:t>
      </w:r>
    </w:p>
    <w:p w14:paraId="4D9772FB"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4622DDBA"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72EB446F" w14:textId="77777777" w:rsidR="00F2743A" w:rsidRDefault="00F2743A" w:rsidP="00D91F04">
      <w:pPr>
        <w:spacing w:after="120" w:line="276" w:lineRule="auto"/>
        <w:jc w:val="both"/>
        <w:rPr>
          <w:rFonts w:ascii="Verdana" w:hAnsi="Verdana"/>
          <w:iCs/>
          <w:color w:val="D9D9D9" w:themeColor="background1" w:themeShade="D9"/>
          <w:kern w:val="0"/>
          <w:sz w:val="21"/>
          <w:szCs w:val="21"/>
          <w:lang w:val="fr-FR" w:bidi="fr-FR"/>
          <w14:ligatures w14:val="none"/>
        </w:rPr>
      </w:pPr>
    </w:p>
    <w:p w14:paraId="42A0FA8B" w14:textId="2757EB51" w:rsidR="00D91F04" w:rsidRPr="00D91F04" w:rsidRDefault="00D91F04" w:rsidP="00D91F04">
      <w:pPr>
        <w:spacing w:after="120" w:line="276" w:lineRule="auto"/>
        <w:jc w:val="both"/>
        <w:rPr>
          <w:rFonts w:ascii="Verdana" w:hAnsi="Verdana"/>
          <w:bCs/>
          <w:color w:val="D9D9D9" w:themeColor="background1" w:themeShade="D9"/>
          <w:kern w:val="0"/>
          <w:sz w:val="21"/>
          <w:szCs w:val="21"/>
          <w:lang w:val="fr-FR"/>
          <w14:ligatures w14:val="none"/>
        </w:rPr>
      </w:pPr>
      <w:r w:rsidRPr="00D91F04">
        <w:rPr>
          <w:rFonts w:ascii="Verdana" w:hAnsi="Verdana"/>
          <w:iCs/>
          <w:color w:val="D9D9D9" w:themeColor="background1" w:themeShade="D9"/>
          <w:kern w:val="0"/>
          <w:sz w:val="21"/>
          <w:szCs w:val="21"/>
          <w:lang w:val="fr-FR" w:bidi="fr-FR"/>
          <w14:ligatures w14:val="none"/>
        </w:rPr>
        <w:lastRenderedPageBreak/>
        <w:t>___________________________________________________________________</w:t>
      </w:r>
    </w:p>
    <w:p w14:paraId="34B87566"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237C87CC"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Pour la Commission de l’océan Indien</w:t>
      </w:r>
    </w:p>
    <w:p w14:paraId="7B726A5B"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6F672FAC"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p>
    <w:p w14:paraId="649CDB2F" w14:textId="77777777" w:rsidR="00D91F04" w:rsidRPr="00D91F04" w:rsidRDefault="00D91F04" w:rsidP="00D91F04">
      <w:pPr>
        <w:spacing w:after="120" w:line="276" w:lineRule="auto"/>
        <w:jc w:val="both"/>
        <w:rPr>
          <w:rFonts w:ascii="Verdana" w:hAnsi="Verdana"/>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Date</w:t>
      </w:r>
      <w:r w:rsidRPr="00D91F04">
        <w:rPr>
          <w:rFonts w:ascii="Verdana" w:hAnsi="Verdana"/>
          <w:iCs/>
          <w:color w:val="000000" w:themeColor="text1"/>
          <w:kern w:val="0"/>
          <w:sz w:val="21"/>
          <w:szCs w:val="21"/>
          <w:lang w:val="fr-FR" w:bidi="fr-FR"/>
          <w14:ligatures w14:val="none"/>
        </w:rPr>
        <w:t> : ____________</w:t>
      </w:r>
    </w:p>
    <w:p w14:paraId="70918418"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ab/>
      </w:r>
    </w:p>
    <w:p w14:paraId="19858DBF" w14:textId="77777777" w:rsidR="00D91F04" w:rsidRPr="00D91F04" w:rsidRDefault="00D91F04" w:rsidP="00D91F04">
      <w:pPr>
        <w:spacing w:after="120" w:line="276" w:lineRule="auto"/>
        <w:rPr>
          <w:rFonts w:ascii="Verdana" w:hAnsi="Verdana"/>
          <w:b/>
          <w:bCs/>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 xml:space="preserve">Le Secrétaire général de la Commission de l’océan Indien </w:t>
      </w:r>
      <w:r w:rsidRPr="00D91F04">
        <w:rPr>
          <w:rFonts w:ascii="Verdana" w:hAnsi="Verdana"/>
          <w:iCs/>
          <w:color w:val="000000" w:themeColor="text1"/>
          <w:kern w:val="0"/>
          <w:sz w:val="21"/>
          <w:szCs w:val="21"/>
          <w:lang w:val="fr-FR" w:bidi="fr-FR"/>
          <w14:ligatures w14:val="none"/>
        </w:rPr>
        <w:t>_______________________</w:t>
      </w:r>
    </w:p>
    <w:p w14:paraId="339BAA22" w14:textId="77777777" w:rsidR="00D91F04" w:rsidRPr="00D91F04" w:rsidRDefault="00D91F04" w:rsidP="00D91F04">
      <w:pPr>
        <w:spacing w:after="120" w:line="276" w:lineRule="auto"/>
        <w:rPr>
          <w:rFonts w:ascii="Verdana" w:hAnsi="Verdana"/>
          <w:b/>
          <w:bCs/>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ab/>
        <w:t xml:space="preserve"> </w:t>
      </w:r>
    </w:p>
    <w:p w14:paraId="75DABAB5" w14:textId="77777777" w:rsidR="00D91F04" w:rsidRPr="00D91F04" w:rsidRDefault="00D91F04" w:rsidP="00D91F04">
      <w:pPr>
        <w:spacing w:after="120" w:line="276" w:lineRule="auto"/>
        <w:jc w:val="both"/>
        <w:rPr>
          <w:rFonts w:ascii="Verdana" w:hAnsi="Verdana"/>
          <w:b/>
          <w:bCs/>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Signature</w:t>
      </w:r>
    </w:p>
    <w:p w14:paraId="6339A238" w14:textId="77777777" w:rsidR="00D91F04" w:rsidRPr="00D91F04" w:rsidRDefault="00D91F04" w:rsidP="00D91F04">
      <w:pPr>
        <w:spacing w:after="120" w:line="276" w:lineRule="auto"/>
        <w:jc w:val="both"/>
        <w:rPr>
          <w:rFonts w:ascii="Verdana" w:hAnsi="Verdana"/>
          <w:iCs/>
          <w:color w:val="000000" w:themeColor="text1"/>
          <w:kern w:val="0"/>
          <w:sz w:val="21"/>
          <w:szCs w:val="21"/>
          <w:lang w:val="fr-FR"/>
          <w14:ligatures w14:val="none"/>
        </w:rPr>
      </w:pPr>
    </w:p>
    <w:p w14:paraId="351130E9" w14:textId="77777777" w:rsidR="00D91F04" w:rsidRPr="00D91F04" w:rsidRDefault="00D91F04" w:rsidP="00D91F04">
      <w:pPr>
        <w:spacing w:after="0" w:line="240" w:lineRule="auto"/>
        <w:rPr>
          <w:rFonts w:ascii="Verdana" w:hAnsi="Verdana"/>
          <w:iCs/>
          <w:color w:val="000000" w:themeColor="text1"/>
          <w:kern w:val="0"/>
          <w:sz w:val="21"/>
          <w:szCs w:val="21"/>
          <w:lang w:val="fr-FR"/>
          <w14:ligatures w14:val="none"/>
        </w:rPr>
      </w:pPr>
      <w:r w:rsidRPr="00D91F04">
        <w:rPr>
          <w:rFonts w:ascii="Verdana" w:hAnsi="Verdana"/>
          <w:iCs/>
          <w:color w:val="000000" w:themeColor="text1"/>
          <w:kern w:val="0"/>
          <w:sz w:val="21"/>
          <w:szCs w:val="21"/>
          <w:lang w:val="fr-FR" w:bidi="fr-FR"/>
          <w14:ligatures w14:val="none"/>
        </w:rPr>
        <w:br w:type="page"/>
      </w:r>
    </w:p>
    <w:p w14:paraId="6F8E2A11" w14:textId="77777777" w:rsidR="00D91F04" w:rsidRPr="00D91F04" w:rsidRDefault="00D91F04" w:rsidP="00D91F04">
      <w:pPr>
        <w:keepNext/>
        <w:keepLines/>
        <w:pBdr>
          <w:bottom w:val="single" w:sz="4" w:space="8" w:color="auto"/>
        </w:pBdr>
        <w:spacing w:after="240" w:line="240" w:lineRule="auto"/>
        <w:outlineLvl w:val="0"/>
        <w:rPr>
          <w:rFonts w:ascii="Verdana" w:eastAsia="Times New Roman" w:hAnsi="Verdana" w:cs="Calibri Light"/>
          <w:b/>
          <w:bCs/>
          <w:iCs/>
          <w:color w:val="004171"/>
          <w:kern w:val="0"/>
          <w:sz w:val="40"/>
          <w:szCs w:val="40"/>
          <w:lang w:val="fr-FR"/>
          <w14:ligatures w14:val="none"/>
        </w:rPr>
      </w:pPr>
      <w:bookmarkStart w:id="6" w:name="_Toc138165787"/>
      <w:r w:rsidRPr="00D91F04">
        <w:rPr>
          <w:rFonts w:ascii="Verdana" w:eastAsia="Times New Roman" w:hAnsi="Verdana" w:cs="Calibri Light"/>
          <w:b/>
          <w:bCs/>
          <w:iCs/>
          <w:color w:val="004171"/>
          <w:kern w:val="0"/>
          <w:sz w:val="40"/>
          <w:szCs w:val="40"/>
          <w:lang w:val="fr-FR" w:bidi="fr-FR"/>
          <w14:ligatures w14:val="none"/>
        </w:rPr>
        <w:lastRenderedPageBreak/>
        <w:t>ANNEXE 1 – Zone de coopération</w:t>
      </w:r>
      <w:r w:rsidRPr="00D91F04">
        <w:rPr>
          <w:rFonts w:ascii="Verdana" w:eastAsia="Times New Roman" w:hAnsi="Verdana" w:cs="Calibri Light"/>
          <w:b/>
          <w:bCs/>
          <w:iCs/>
          <w:color w:val="004171"/>
          <w:kern w:val="0"/>
          <w:sz w:val="40"/>
          <w:szCs w:val="40"/>
          <w:vertAlign w:val="superscript"/>
          <w:lang w:val="fr-FR" w:bidi="fr-FR"/>
          <w14:ligatures w14:val="none"/>
        </w:rPr>
        <w:footnoteReference w:id="2"/>
      </w:r>
      <w:bookmarkEnd w:id="6"/>
    </w:p>
    <w:p w14:paraId="3BF0BCB2" w14:textId="77777777" w:rsidR="00D91F04" w:rsidRPr="00D91F04" w:rsidRDefault="00D91F04" w:rsidP="00D91F04">
      <w:pPr>
        <w:spacing w:after="120" w:line="276" w:lineRule="auto"/>
        <w:jc w:val="both"/>
        <w:rPr>
          <w:rFonts w:ascii="Verdana" w:hAnsi="Verdana"/>
          <w:iCs/>
          <w:color w:val="000000" w:themeColor="text1"/>
          <w:kern w:val="0"/>
          <w:sz w:val="21"/>
          <w:szCs w:val="21"/>
          <w:lang w:val="fr-FR"/>
          <w14:ligatures w14:val="none"/>
        </w:rPr>
      </w:pPr>
    </w:p>
    <w:p w14:paraId="1D83CF82" w14:textId="77777777" w:rsidR="00D91F04" w:rsidRPr="00D91F04" w:rsidRDefault="00D91F04" w:rsidP="00D91F04">
      <w:pPr>
        <w:spacing w:after="120" w:line="276" w:lineRule="auto"/>
        <w:jc w:val="both"/>
        <w:rPr>
          <w:rFonts w:ascii="Verdana" w:hAnsi="Verdana"/>
          <w:b/>
          <w:bCs/>
          <w:iCs/>
          <w:color w:val="000000" w:themeColor="text1"/>
          <w:kern w:val="0"/>
          <w:sz w:val="21"/>
          <w:szCs w:val="21"/>
          <w:lang w:val="fr-FR"/>
          <w14:ligatures w14:val="none"/>
        </w:rPr>
      </w:pPr>
    </w:p>
    <w:p w14:paraId="64BC75B5" w14:textId="77777777" w:rsidR="00D91F04" w:rsidRPr="00D91F04" w:rsidRDefault="00D91F04" w:rsidP="00D91F04">
      <w:pPr>
        <w:spacing w:after="120" w:line="276" w:lineRule="auto"/>
        <w:ind w:left="-142" w:right="-147"/>
        <w:jc w:val="both"/>
        <w:rPr>
          <w:rFonts w:ascii="Verdana" w:hAnsi="Verdana"/>
          <w:b/>
          <w:bCs/>
          <w:iCs/>
          <w:color w:val="000000" w:themeColor="text1"/>
          <w:kern w:val="0"/>
          <w:sz w:val="21"/>
          <w:szCs w:val="21"/>
          <w:lang w:val="fr-FR"/>
          <w14:ligatures w14:val="none"/>
        </w:rPr>
      </w:pPr>
      <w:r w:rsidRPr="00D91F04">
        <w:rPr>
          <w:rFonts w:ascii="Verdana" w:hAnsi="Verdana"/>
          <w:b/>
          <w:iCs/>
          <w:color w:val="000000" w:themeColor="text1"/>
          <w:kern w:val="0"/>
          <w:sz w:val="21"/>
          <w:szCs w:val="21"/>
          <w:lang w:val="fr-FR" w:bidi="fr-FR"/>
          <w14:ligatures w14:val="none"/>
        </w:rPr>
        <w:t>La zone de coopération comprend les zones économiques exclusives officiellement délimitées des États participants et exclut les zones contestées.</w:t>
      </w:r>
    </w:p>
    <w:p w14:paraId="2CFC8589" w14:textId="77777777" w:rsidR="00D91F04" w:rsidRPr="00D91F04" w:rsidRDefault="00D91F04" w:rsidP="00D91F04">
      <w:pPr>
        <w:spacing w:after="120" w:line="276" w:lineRule="auto"/>
        <w:jc w:val="both"/>
        <w:rPr>
          <w:rFonts w:ascii="Verdana" w:hAnsi="Verdana"/>
          <w:iCs/>
          <w:color w:val="000000" w:themeColor="text1"/>
          <w:kern w:val="0"/>
          <w:sz w:val="21"/>
          <w:szCs w:val="21"/>
          <w:lang w:val="fr-FR"/>
          <w14:ligatures w14:val="none"/>
        </w:rPr>
      </w:pPr>
    </w:p>
    <w:p w14:paraId="6E9B9802" w14:textId="77777777" w:rsidR="00D91F04" w:rsidRPr="00D91F04" w:rsidRDefault="00D91F04" w:rsidP="00D91F04">
      <w:pPr>
        <w:spacing w:after="120" w:line="276" w:lineRule="auto"/>
        <w:jc w:val="both"/>
        <w:rPr>
          <w:rFonts w:ascii="Verdana" w:hAnsi="Verdana"/>
          <w:iCs/>
          <w:color w:val="000000" w:themeColor="text1"/>
          <w:kern w:val="0"/>
          <w:sz w:val="21"/>
          <w:szCs w:val="21"/>
          <w:lang w:val="fr-FR"/>
          <w14:ligatures w14:val="none"/>
        </w:rPr>
      </w:pPr>
      <w:r w:rsidRPr="00D91F04">
        <w:rPr>
          <w:rFonts w:ascii="Verdana" w:hAnsi="Verdana"/>
          <w:iCs/>
          <w:noProof/>
          <w:color w:val="000000" w:themeColor="text1"/>
          <w:kern w:val="0"/>
          <w:sz w:val="21"/>
          <w:szCs w:val="21"/>
          <w14:ligatures w14:val="none"/>
        </w:rPr>
        <w:drawing>
          <wp:inline distT="0" distB="0" distL="0" distR="0" wp14:anchorId="1685408A" wp14:editId="1109A5F5">
            <wp:extent cx="6012815" cy="5503545"/>
            <wp:effectExtent l="0" t="0" r="6985" b="1905"/>
            <wp:docPr id="681466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12815" cy="5503545"/>
                    </a:xfrm>
                    <a:prstGeom prst="rect">
                      <a:avLst/>
                    </a:prstGeom>
                    <a:noFill/>
                    <a:ln>
                      <a:noFill/>
                    </a:ln>
                  </pic:spPr>
                </pic:pic>
              </a:graphicData>
            </a:graphic>
          </wp:inline>
        </w:drawing>
      </w:r>
    </w:p>
    <w:p w14:paraId="62236A41" w14:textId="77777777" w:rsidR="00D91F04" w:rsidRPr="00D91F04" w:rsidRDefault="00D91F04" w:rsidP="00D91F04">
      <w:pPr>
        <w:spacing w:after="120" w:line="276" w:lineRule="auto"/>
        <w:rPr>
          <w:rFonts w:ascii="Verdana" w:hAnsi="Verdana"/>
          <w:iCs/>
          <w:color w:val="000000" w:themeColor="text1"/>
          <w:kern w:val="0"/>
          <w:sz w:val="21"/>
          <w:szCs w:val="21"/>
          <w14:ligatures w14:val="none"/>
        </w:rPr>
      </w:pPr>
    </w:p>
    <w:p w14:paraId="03B01E40" w14:textId="77777777" w:rsidR="00D91F04" w:rsidRPr="00D91F04" w:rsidRDefault="00D91F04" w:rsidP="00D91F04">
      <w:pPr>
        <w:spacing w:after="120" w:line="276" w:lineRule="auto"/>
        <w:jc w:val="both"/>
        <w:rPr>
          <w:rFonts w:ascii="Verdana" w:hAnsi="Verdana"/>
          <w:iCs/>
          <w:color w:val="000000" w:themeColor="text1"/>
          <w:kern w:val="0"/>
          <w:sz w:val="21"/>
          <w:szCs w:val="21"/>
          <w14:ligatures w14:val="none"/>
        </w:rPr>
      </w:pPr>
    </w:p>
    <w:p w14:paraId="66D71D22" w14:textId="77777777" w:rsidR="00E76B19" w:rsidRDefault="00E76B19"/>
    <w:sectPr w:rsidR="00E76B1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5C96EE" w14:textId="77777777" w:rsidR="00C77DB3" w:rsidRDefault="00C77DB3" w:rsidP="00D91F04">
      <w:pPr>
        <w:spacing w:after="0" w:line="240" w:lineRule="auto"/>
      </w:pPr>
      <w:r>
        <w:separator/>
      </w:r>
    </w:p>
  </w:endnote>
  <w:endnote w:type="continuationSeparator" w:id="0">
    <w:p w14:paraId="31104964" w14:textId="77777777" w:rsidR="00C77DB3" w:rsidRDefault="00C77DB3" w:rsidP="00D91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28346" w14:textId="77777777" w:rsidR="0084250E" w:rsidRDefault="0084250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17530" w14:textId="77777777" w:rsidR="0084250E" w:rsidRDefault="0084250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72F45" w14:textId="77777777" w:rsidR="0084250E" w:rsidRDefault="0084250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6786CD" w14:textId="77777777" w:rsidR="00C77DB3" w:rsidRDefault="00C77DB3" w:rsidP="00D91F04">
      <w:pPr>
        <w:spacing w:after="0" w:line="240" w:lineRule="auto"/>
      </w:pPr>
      <w:r>
        <w:separator/>
      </w:r>
    </w:p>
  </w:footnote>
  <w:footnote w:type="continuationSeparator" w:id="0">
    <w:p w14:paraId="2160245A" w14:textId="77777777" w:rsidR="00C77DB3" w:rsidRDefault="00C77DB3" w:rsidP="00D91F04">
      <w:pPr>
        <w:spacing w:after="0" w:line="240" w:lineRule="auto"/>
      </w:pPr>
      <w:r>
        <w:continuationSeparator/>
      </w:r>
    </w:p>
  </w:footnote>
  <w:footnote w:id="1">
    <w:p w14:paraId="3A3067D8" w14:textId="77777777" w:rsidR="00D91F04" w:rsidRPr="000807A3" w:rsidRDefault="00D91F04" w:rsidP="00D91F04">
      <w:pPr>
        <w:pStyle w:val="Notedebasdepage"/>
        <w:ind w:left="227" w:hanging="227"/>
        <w:rPr>
          <w:lang w:val="fr-FR"/>
        </w:rPr>
      </w:pPr>
      <w:r>
        <w:rPr>
          <w:rStyle w:val="Appelnotedebasdep"/>
          <w:lang w:val="fr-FR" w:bidi="fr-FR"/>
        </w:rPr>
        <w:footnoteRef/>
      </w:r>
      <w:r w:rsidRPr="000807A3">
        <w:rPr>
          <w:lang w:val="fr-FR" w:bidi="fr-FR"/>
        </w:rPr>
        <w:t xml:space="preserve"> </w:t>
      </w:r>
      <w:r>
        <w:rPr>
          <w:lang w:val="fr-FR" w:bidi="fr-FR"/>
        </w:rPr>
        <w:tab/>
      </w:r>
      <w:r w:rsidRPr="000807A3">
        <w:rPr>
          <w:lang w:val="fr-FR" w:bidi="fr-FR"/>
        </w:rPr>
        <w:t>Plan régional de surveillance des pêches</w:t>
      </w:r>
    </w:p>
  </w:footnote>
  <w:footnote w:id="2">
    <w:p w14:paraId="189A5DB2" w14:textId="02F00357" w:rsidR="00F441A7" w:rsidRDefault="00D91F04" w:rsidP="00D91F04">
      <w:pPr>
        <w:pStyle w:val="Notedebasdepage"/>
        <w:ind w:left="227" w:hanging="227"/>
        <w:rPr>
          <w:lang w:val="fr-FR" w:bidi="fr-FR"/>
        </w:rPr>
      </w:pPr>
      <w:r>
        <w:rPr>
          <w:rStyle w:val="Appelnotedebasdep"/>
          <w:lang w:val="fr-FR" w:bidi="fr-FR"/>
        </w:rPr>
        <w:footnoteRef/>
      </w:r>
      <w:r>
        <w:rPr>
          <w:lang w:val="fr-FR" w:bidi="fr-FR"/>
        </w:rPr>
        <w:t xml:space="preserve"> </w:t>
      </w:r>
      <w:bookmarkStart w:id="7" w:name="_Hlk131153579"/>
      <w:r>
        <w:rPr>
          <w:lang w:val="fr-FR" w:bidi="fr-FR"/>
        </w:rPr>
        <w:tab/>
      </w:r>
      <w:r w:rsidR="00F441A7">
        <w:rPr>
          <w:lang w:val="fr-FR" w:bidi="fr-FR"/>
        </w:rPr>
        <w:t xml:space="preserve">Positions des Etats Membres lors de l’atelier juridique de Zanzibar du </w:t>
      </w:r>
      <w:r w:rsidR="00E36724">
        <w:rPr>
          <w:lang w:val="fr-FR" w:bidi="fr-FR"/>
        </w:rPr>
        <w:t>13 au 17 mars 2023 :</w:t>
      </w:r>
    </w:p>
    <w:p w14:paraId="6E0C9A04" w14:textId="23D52281" w:rsidR="00D91F04" w:rsidRDefault="00E36724" w:rsidP="00D91F04">
      <w:pPr>
        <w:pStyle w:val="Notedebasdepage"/>
        <w:ind w:left="227" w:hanging="227"/>
        <w:rPr>
          <w:lang w:val="fr-FR" w:bidi="fr-FR"/>
        </w:rPr>
      </w:pPr>
      <w:r w:rsidRPr="00C204A5">
        <w:rPr>
          <w:b/>
          <w:bCs/>
          <w:lang w:val="fr-FR" w:bidi="fr-FR"/>
        </w:rPr>
        <w:t>MAURICE</w:t>
      </w:r>
      <w:r>
        <w:rPr>
          <w:lang w:val="fr-FR" w:bidi="fr-FR"/>
        </w:rPr>
        <w:t xml:space="preserve"> : </w:t>
      </w:r>
      <w:r w:rsidR="00D91F04">
        <w:rPr>
          <w:lang w:val="fr-FR" w:bidi="fr-FR"/>
        </w:rPr>
        <w:t>Zone de coopération provisoire avec inclusion de l’archipel des Chagos et de la zone de gestion commune, pour approbation par le Conseil des ministres de la COI en vue d’intégrer ces deux zones dans une zone de coopération à part entière.</w:t>
      </w:r>
      <w:bookmarkEnd w:id="7"/>
    </w:p>
    <w:p w14:paraId="16AE181C" w14:textId="04CC6F9A" w:rsidR="00E36724" w:rsidRDefault="00E36724" w:rsidP="00D91F04">
      <w:pPr>
        <w:pStyle w:val="Notedebasdepage"/>
        <w:ind w:left="227" w:hanging="227"/>
        <w:rPr>
          <w:lang w:val="fr-FR" w:bidi="fr-FR"/>
        </w:rPr>
      </w:pPr>
      <w:r w:rsidRPr="00C204A5">
        <w:rPr>
          <w:b/>
          <w:bCs/>
          <w:lang w:val="fr-FR" w:bidi="fr-FR"/>
        </w:rPr>
        <w:t>MADAGASCAR</w:t>
      </w:r>
      <w:r>
        <w:rPr>
          <w:lang w:val="fr-FR" w:bidi="fr-FR"/>
        </w:rPr>
        <w:t> : Proposition relative à l’inscription des Iles Eparses du Canal de Mozambique dans la zone grise (terme utilisé au début de PRSP en 2007)</w:t>
      </w:r>
    </w:p>
    <w:p w14:paraId="48A3E3D9" w14:textId="17A5DBE6" w:rsidR="00E36724" w:rsidRPr="00371C9A" w:rsidRDefault="00E36724" w:rsidP="00D91F04">
      <w:pPr>
        <w:pStyle w:val="Notedebasdepage"/>
        <w:ind w:left="227" w:hanging="227"/>
        <w:rPr>
          <w:lang w:val="fr-FR"/>
        </w:rPr>
      </w:pPr>
      <w:r w:rsidRPr="00C204A5">
        <w:rPr>
          <w:b/>
          <w:bCs/>
          <w:lang w:val="fr-FR" w:bidi="fr-FR"/>
        </w:rPr>
        <w:t>France/Réunion</w:t>
      </w:r>
      <w:r>
        <w:rPr>
          <w:lang w:val="fr-FR" w:bidi="fr-FR"/>
        </w:rPr>
        <w:t xml:space="preserve"> : Proposition relative à la suppression de la zone grise dans la zone de coopération </w:t>
      </w:r>
      <w:r w:rsidR="0075544D">
        <w:rPr>
          <w:lang w:val="fr-FR" w:bidi="fr-FR"/>
        </w:rPr>
        <w:t>en termes de</w:t>
      </w:r>
      <w:r>
        <w:rPr>
          <w:lang w:val="fr-FR" w:bidi="fr-FR"/>
        </w:rPr>
        <w:t xml:space="preserve"> lutte contre la pêche illégale, non-déclarée et non-réglementée (INN)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C0BB7" w14:textId="77777777" w:rsidR="0084250E" w:rsidRDefault="0084250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A815C" w14:textId="4F1D8092" w:rsidR="0084250E" w:rsidRPr="0084250E" w:rsidRDefault="0084250E">
    <w:pPr>
      <w:pStyle w:val="En-tte"/>
      <w:rPr>
        <w:lang w:val="fr-FR"/>
      </w:rPr>
    </w:pPr>
    <w:r>
      <w:rPr>
        <w:lang w:val="fr-FR"/>
      </w:rPr>
      <w:tab/>
    </w:r>
    <w:r>
      <w:rPr>
        <w:lang w:val="fr-FR"/>
      </w:rPr>
      <w:tab/>
    </w:r>
    <w:r>
      <w:rPr>
        <w:lang w:val="fr-FR"/>
      </w:rPr>
      <w:tab/>
    </w:r>
    <w:r>
      <w:rPr>
        <w:lang w:val="fr-FR"/>
      </w:rPr>
      <w:tab/>
    </w:r>
    <w:r w:rsidRPr="0084250E">
      <w:rPr>
        <w:sz w:val="28"/>
        <w:szCs w:val="28"/>
        <w:lang w:val="fr-FR"/>
      </w:rPr>
      <w:t>2.</w:t>
    </w:r>
    <w:r w:rsidR="000644F7">
      <w:rPr>
        <w:sz w:val="28"/>
        <w:szCs w:val="28"/>
        <w:lang w:val="fr-FR"/>
      </w:rPr>
      <w:t>11</w:t>
    </w:r>
    <w:r w:rsidRPr="0084250E">
      <w:rPr>
        <w:sz w:val="28"/>
        <w:szCs w:val="28"/>
        <w:lang w:val="fr-FR"/>
      </w:rPr>
      <w:t>. Annexe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0E595" w14:textId="77777777" w:rsidR="0084250E" w:rsidRDefault="0084250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B38D2"/>
    <w:multiLevelType w:val="hybridMultilevel"/>
    <w:tmpl w:val="00400A1A"/>
    <w:lvl w:ilvl="0" w:tplc="27B0038C">
      <w:start w:val="1"/>
      <w:numFmt w:val="decimal"/>
      <w:lvlText w:val="%1"/>
      <w:lvlJc w:val="left"/>
      <w:pPr>
        <w:ind w:left="36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D9233E"/>
    <w:multiLevelType w:val="hybridMultilevel"/>
    <w:tmpl w:val="7E6C87A8"/>
    <w:lvl w:ilvl="0" w:tplc="2000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181848"/>
    <w:multiLevelType w:val="hybridMultilevel"/>
    <w:tmpl w:val="7B8C30F8"/>
    <w:lvl w:ilvl="0" w:tplc="2C787374">
      <w:start w:val="1"/>
      <w:numFmt w:val="decimal"/>
      <w:lvlText w:val="%1"/>
      <w:lvlJc w:val="left"/>
      <w:pPr>
        <w:ind w:left="360" w:hanging="360"/>
      </w:pPr>
      <w:rPr>
        <w:rFonts w:eastAsia="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41615CA"/>
    <w:multiLevelType w:val="hybridMultilevel"/>
    <w:tmpl w:val="48D0EB6C"/>
    <w:lvl w:ilvl="0" w:tplc="D68409E4">
      <w:start w:val="2"/>
      <w:numFmt w:val="decimal"/>
      <w:lvlText w:val="%1"/>
      <w:lvlJc w:val="left"/>
      <w:pPr>
        <w:ind w:left="360" w:hanging="360"/>
      </w:pPr>
      <w:rPr>
        <w:rFonts w:eastAsia="Times New Roman"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4" w15:restartNumberingAfterBreak="0">
    <w:nsid w:val="2B7E4665"/>
    <w:multiLevelType w:val="hybridMultilevel"/>
    <w:tmpl w:val="8C96F7B4"/>
    <w:lvl w:ilvl="0" w:tplc="D14C0514">
      <w:start w:val="1"/>
      <w:numFmt w:val="lowerRoman"/>
      <w:lvlText w:val="%1."/>
      <w:lvlJc w:val="righ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254E39"/>
    <w:multiLevelType w:val="hybridMultilevel"/>
    <w:tmpl w:val="2860617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4625A14"/>
    <w:multiLevelType w:val="hybridMultilevel"/>
    <w:tmpl w:val="9D069330"/>
    <w:lvl w:ilvl="0" w:tplc="D7161E64">
      <w:start w:val="1"/>
      <w:numFmt w:val="lowerRoman"/>
      <w:lvlText w:val="%1."/>
      <w:lvlJc w:val="right"/>
      <w:pPr>
        <w:ind w:left="1440" w:hanging="360"/>
      </w:pPr>
      <w:rPr>
        <w:rFonts w:hint="default"/>
      </w:rPr>
    </w:lvl>
    <w:lvl w:ilvl="1" w:tplc="FFFFFFFF">
      <w:start w:val="1"/>
      <w:numFmt w:val="lowerRoman"/>
      <w:lvlText w:val="%2."/>
      <w:lvlJc w:val="right"/>
      <w:pPr>
        <w:ind w:left="1811" w:hanging="360"/>
      </w:pPr>
      <w:rPr>
        <w:rFonts w:hint="default"/>
      </w:rPr>
    </w:lvl>
    <w:lvl w:ilvl="2" w:tplc="FFFFFFFF">
      <w:start w:val="1"/>
      <w:numFmt w:val="lowerRoman"/>
      <w:lvlText w:val="%3."/>
      <w:lvlJc w:val="right"/>
      <w:pPr>
        <w:ind w:left="2531" w:hanging="180"/>
      </w:pPr>
    </w:lvl>
    <w:lvl w:ilvl="3" w:tplc="FFFFFFFF" w:tentative="1">
      <w:start w:val="1"/>
      <w:numFmt w:val="decimal"/>
      <w:lvlText w:val="%4."/>
      <w:lvlJc w:val="left"/>
      <w:pPr>
        <w:ind w:left="3251" w:hanging="360"/>
      </w:pPr>
    </w:lvl>
    <w:lvl w:ilvl="4" w:tplc="FFFFFFFF" w:tentative="1">
      <w:start w:val="1"/>
      <w:numFmt w:val="lowerLetter"/>
      <w:lvlText w:val="%5."/>
      <w:lvlJc w:val="left"/>
      <w:pPr>
        <w:ind w:left="3971" w:hanging="360"/>
      </w:pPr>
    </w:lvl>
    <w:lvl w:ilvl="5" w:tplc="FFFFFFFF" w:tentative="1">
      <w:start w:val="1"/>
      <w:numFmt w:val="lowerRoman"/>
      <w:lvlText w:val="%6."/>
      <w:lvlJc w:val="right"/>
      <w:pPr>
        <w:ind w:left="4691" w:hanging="180"/>
      </w:pPr>
    </w:lvl>
    <w:lvl w:ilvl="6" w:tplc="FFFFFFFF" w:tentative="1">
      <w:start w:val="1"/>
      <w:numFmt w:val="decimal"/>
      <w:lvlText w:val="%7."/>
      <w:lvlJc w:val="left"/>
      <w:pPr>
        <w:ind w:left="5411" w:hanging="360"/>
      </w:pPr>
    </w:lvl>
    <w:lvl w:ilvl="7" w:tplc="FFFFFFFF" w:tentative="1">
      <w:start w:val="1"/>
      <w:numFmt w:val="lowerLetter"/>
      <w:lvlText w:val="%8."/>
      <w:lvlJc w:val="left"/>
      <w:pPr>
        <w:ind w:left="6131" w:hanging="360"/>
      </w:pPr>
    </w:lvl>
    <w:lvl w:ilvl="8" w:tplc="FFFFFFFF" w:tentative="1">
      <w:start w:val="1"/>
      <w:numFmt w:val="lowerRoman"/>
      <w:lvlText w:val="%9."/>
      <w:lvlJc w:val="right"/>
      <w:pPr>
        <w:ind w:left="6851" w:hanging="180"/>
      </w:pPr>
    </w:lvl>
  </w:abstractNum>
  <w:abstractNum w:abstractNumId="7" w15:restartNumberingAfterBreak="0">
    <w:nsid w:val="36D24A47"/>
    <w:multiLevelType w:val="hybridMultilevel"/>
    <w:tmpl w:val="7F14A35E"/>
    <w:lvl w:ilvl="0" w:tplc="6C28CD64">
      <w:start w:val="1"/>
      <w:numFmt w:val="decimal"/>
      <w:lvlText w:val="%1"/>
      <w:lvlJc w:val="left"/>
      <w:pPr>
        <w:ind w:left="360" w:hanging="360"/>
      </w:pPr>
      <w:rPr>
        <w:rFonts w:hint="default"/>
        <w:i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EA72FD"/>
    <w:multiLevelType w:val="hybridMultilevel"/>
    <w:tmpl w:val="B23083DE"/>
    <w:lvl w:ilvl="0" w:tplc="FFFFFFFF">
      <w:start w:val="1"/>
      <w:numFmt w:val="decimal"/>
      <w:lvlText w:val="%1"/>
      <w:lvlJc w:val="left"/>
      <w:pPr>
        <w:ind w:left="360" w:hanging="360"/>
      </w:pPr>
      <w:rPr>
        <w:rFonts w:hint="default"/>
        <w:i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28A605E"/>
    <w:multiLevelType w:val="hybridMultilevel"/>
    <w:tmpl w:val="87CC06AC"/>
    <w:lvl w:ilvl="0" w:tplc="2000000F">
      <w:start w:val="1"/>
      <w:numFmt w:val="decimal"/>
      <w:lvlText w:val="%1."/>
      <w:lvlJc w:val="left"/>
      <w:pPr>
        <w:ind w:left="450" w:hanging="360"/>
      </w:pPr>
    </w:lvl>
    <w:lvl w:ilvl="1" w:tplc="20000019" w:tentative="1">
      <w:start w:val="1"/>
      <w:numFmt w:val="lowerLetter"/>
      <w:lvlText w:val="%2."/>
      <w:lvlJc w:val="left"/>
      <w:pPr>
        <w:ind w:left="1170" w:hanging="360"/>
      </w:pPr>
    </w:lvl>
    <w:lvl w:ilvl="2" w:tplc="2000001B" w:tentative="1">
      <w:start w:val="1"/>
      <w:numFmt w:val="lowerRoman"/>
      <w:lvlText w:val="%3."/>
      <w:lvlJc w:val="right"/>
      <w:pPr>
        <w:ind w:left="1890" w:hanging="180"/>
      </w:pPr>
    </w:lvl>
    <w:lvl w:ilvl="3" w:tplc="2000000F" w:tentative="1">
      <w:start w:val="1"/>
      <w:numFmt w:val="decimal"/>
      <w:lvlText w:val="%4."/>
      <w:lvlJc w:val="left"/>
      <w:pPr>
        <w:ind w:left="2610" w:hanging="360"/>
      </w:pPr>
    </w:lvl>
    <w:lvl w:ilvl="4" w:tplc="20000019" w:tentative="1">
      <w:start w:val="1"/>
      <w:numFmt w:val="lowerLetter"/>
      <w:lvlText w:val="%5."/>
      <w:lvlJc w:val="left"/>
      <w:pPr>
        <w:ind w:left="3330" w:hanging="360"/>
      </w:pPr>
    </w:lvl>
    <w:lvl w:ilvl="5" w:tplc="2000001B" w:tentative="1">
      <w:start w:val="1"/>
      <w:numFmt w:val="lowerRoman"/>
      <w:lvlText w:val="%6."/>
      <w:lvlJc w:val="right"/>
      <w:pPr>
        <w:ind w:left="4050" w:hanging="180"/>
      </w:pPr>
    </w:lvl>
    <w:lvl w:ilvl="6" w:tplc="2000000F" w:tentative="1">
      <w:start w:val="1"/>
      <w:numFmt w:val="decimal"/>
      <w:lvlText w:val="%7."/>
      <w:lvlJc w:val="left"/>
      <w:pPr>
        <w:ind w:left="4770" w:hanging="360"/>
      </w:pPr>
    </w:lvl>
    <w:lvl w:ilvl="7" w:tplc="20000019" w:tentative="1">
      <w:start w:val="1"/>
      <w:numFmt w:val="lowerLetter"/>
      <w:lvlText w:val="%8."/>
      <w:lvlJc w:val="left"/>
      <w:pPr>
        <w:ind w:left="5490" w:hanging="360"/>
      </w:pPr>
    </w:lvl>
    <w:lvl w:ilvl="8" w:tplc="2000001B" w:tentative="1">
      <w:start w:val="1"/>
      <w:numFmt w:val="lowerRoman"/>
      <w:lvlText w:val="%9."/>
      <w:lvlJc w:val="right"/>
      <w:pPr>
        <w:ind w:left="6210" w:hanging="180"/>
      </w:pPr>
    </w:lvl>
  </w:abstractNum>
  <w:abstractNum w:abstractNumId="10" w15:restartNumberingAfterBreak="0">
    <w:nsid w:val="476B0EB3"/>
    <w:multiLevelType w:val="hybridMultilevel"/>
    <w:tmpl w:val="EB1630E2"/>
    <w:lvl w:ilvl="0" w:tplc="FFFFFFFF">
      <w:start w:val="1"/>
      <w:numFmt w:val="decimal"/>
      <w:lvlText w:val="%1"/>
      <w:lvlJc w:val="left"/>
      <w:pPr>
        <w:ind w:left="36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C615A1D"/>
    <w:multiLevelType w:val="hybridMultilevel"/>
    <w:tmpl w:val="B23083DE"/>
    <w:lvl w:ilvl="0" w:tplc="CD0E13A2">
      <w:start w:val="1"/>
      <w:numFmt w:val="decimal"/>
      <w:lvlText w:val="%1"/>
      <w:lvlJc w:val="left"/>
      <w:pPr>
        <w:ind w:left="360" w:hanging="360"/>
      </w:pPr>
      <w:rPr>
        <w:rFonts w:hint="default"/>
        <w:i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1B0A6B"/>
    <w:multiLevelType w:val="hybridMultilevel"/>
    <w:tmpl w:val="98A2ECBE"/>
    <w:lvl w:ilvl="0" w:tplc="1856DD9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5B5671"/>
    <w:multiLevelType w:val="hybridMultilevel"/>
    <w:tmpl w:val="CCE2A7D6"/>
    <w:lvl w:ilvl="0" w:tplc="2000000F">
      <w:start w:val="1"/>
      <w:numFmt w:val="decimal"/>
      <w:lvlText w:val="%1."/>
      <w:lvlJc w:val="left"/>
      <w:pPr>
        <w:ind w:left="450" w:hanging="360"/>
      </w:pPr>
    </w:lvl>
    <w:lvl w:ilvl="1" w:tplc="20000019">
      <w:start w:val="1"/>
      <w:numFmt w:val="lowerLetter"/>
      <w:lvlText w:val="%2."/>
      <w:lvlJc w:val="left"/>
      <w:pPr>
        <w:ind w:left="1170" w:hanging="360"/>
      </w:pPr>
    </w:lvl>
    <w:lvl w:ilvl="2" w:tplc="2000001B" w:tentative="1">
      <w:start w:val="1"/>
      <w:numFmt w:val="lowerRoman"/>
      <w:lvlText w:val="%3."/>
      <w:lvlJc w:val="right"/>
      <w:pPr>
        <w:ind w:left="1890" w:hanging="180"/>
      </w:pPr>
    </w:lvl>
    <w:lvl w:ilvl="3" w:tplc="2000000F" w:tentative="1">
      <w:start w:val="1"/>
      <w:numFmt w:val="decimal"/>
      <w:lvlText w:val="%4."/>
      <w:lvlJc w:val="left"/>
      <w:pPr>
        <w:ind w:left="2610" w:hanging="360"/>
      </w:pPr>
    </w:lvl>
    <w:lvl w:ilvl="4" w:tplc="20000019" w:tentative="1">
      <w:start w:val="1"/>
      <w:numFmt w:val="lowerLetter"/>
      <w:lvlText w:val="%5."/>
      <w:lvlJc w:val="left"/>
      <w:pPr>
        <w:ind w:left="3330" w:hanging="360"/>
      </w:pPr>
    </w:lvl>
    <w:lvl w:ilvl="5" w:tplc="2000001B" w:tentative="1">
      <w:start w:val="1"/>
      <w:numFmt w:val="lowerRoman"/>
      <w:lvlText w:val="%6."/>
      <w:lvlJc w:val="right"/>
      <w:pPr>
        <w:ind w:left="4050" w:hanging="180"/>
      </w:pPr>
    </w:lvl>
    <w:lvl w:ilvl="6" w:tplc="2000000F" w:tentative="1">
      <w:start w:val="1"/>
      <w:numFmt w:val="decimal"/>
      <w:lvlText w:val="%7."/>
      <w:lvlJc w:val="left"/>
      <w:pPr>
        <w:ind w:left="4770" w:hanging="360"/>
      </w:pPr>
    </w:lvl>
    <w:lvl w:ilvl="7" w:tplc="20000019" w:tentative="1">
      <w:start w:val="1"/>
      <w:numFmt w:val="lowerLetter"/>
      <w:lvlText w:val="%8."/>
      <w:lvlJc w:val="left"/>
      <w:pPr>
        <w:ind w:left="5490" w:hanging="360"/>
      </w:pPr>
    </w:lvl>
    <w:lvl w:ilvl="8" w:tplc="2000001B" w:tentative="1">
      <w:start w:val="1"/>
      <w:numFmt w:val="lowerRoman"/>
      <w:lvlText w:val="%9."/>
      <w:lvlJc w:val="right"/>
      <w:pPr>
        <w:ind w:left="6210" w:hanging="180"/>
      </w:pPr>
    </w:lvl>
  </w:abstractNum>
  <w:abstractNum w:abstractNumId="14" w15:restartNumberingAfterBreak="0">
    <w:nsid w:val="5E245CC9"/>
    <w:multiLevelType w:val="hybridMultilevel"/>
    <w:tmpl w:val="1E24A712"/>
    <w:lvl w:ilvl="0" w:tplc="FFFFFFFF">
      <w:start w:val="1"/>
      <w:numFmt w:val="lowerLetter"/>
      <w:lvlText w:val="%1."/>
      <w:lvlJc w:val="left"/>
      <w:pPr>
        <w:ind w:left="1080" w:hanging="360"/>
      </w:pPr>
      <w:rPr>
        <w:rFonts w:hint="default"/>
      </w:rPr>
    </w:lvl>
    <w:lvl w:ilvl="1" w:tplc="FFFFFFFF">
      <w:start w:val="1"/>
      <w:numFmt w:val="lowerLetter"/>
      <w:lvlText w:val="%2."/>
      <w:lvlJc w:val="left"/>
      <w:pPr>
        <w:ind w:left="1451" w:hanging="360"/>
      </w:pPr>
    </w:lvl>
    <w:lvl w:ilvl="2" w:tplc="FFFFFFFF">
      <w:start w:val="1"/>
      <w:numFmt w:val="lowerRoman"/>
      <w:lvlText w:val="%3."/>
      <w:lvlJc w:val="right"/>
      <w:pPr>
        <w:ind w:left="2171" w:hanging="180"/>
      </w:pPr>
    </w:lvl>
    <w:lvl w:ilvl="3" w:tplc="FFFFFFFF" w:tentative="1">
      <w:start w:val="1"/>
      <w:numFmt w:val="decimal"/>
      <w:lvlText w:val="%4."/>
      <w:lvlJc w:val="left"/>
      <w:pPr>
        <w:ind w:left="2891" w:hanging="360"/>
      </w:pPr>
    </w:lvl>
    <w:lvl w:ilvl="4" w:tplc="FFFFFFFF" w:tentative="1">
      <w:start w:val="1"/>
      <w:numFmt w:val="lowerLetter"/>
      <w:lvlText w:val="%5."/>
      <w:lvlJc w:val="left"/>
      <w:pPr>
        <w:ind w:left="3611" w:hanging="360"/>
      </w:pPr>
    </w:lvl>
    <w:lvl w:ilvl="5" w:tplc="FFFFFFFF" w:tentative="1">
      <w:start w:val="1"/>
      <w:numFmt w:val="lowerRoman"/>
      <w:lvlText w:val="%6."/>
      <w:lvlJc w:val="right"/>
      <w:pPr>
        <w:ind w:left="4331" w:hanging="180"/>
      </w:pPr>
    </w:lvl>
    <w:lvl w:ilvl="6" w:tplc="FFFFFFFF" w:tentative="1">
      <w:start w:val="1"/>
      <w:numFmt w:val="decimal"/>
      <w:lvlText w:val="%7."/>
      <w:lvlJc w:val="left"/>
      <w:pPr>
        <w:ind w:left="5051" w:hanging="360"/>
      </w:pPr>
    </w:lvl>
    <w:lvl w:ilvl="7" w:tplc="FFFFFFFF" w:tentative="1">
      <w:start w:val="1"/>
      <w:numFmt w:val="lowerLetter"/>
      <w:lvlText w:val="%8."/>
      <w:lvlJc w:val="left"/>
      <w:pPr>
        <w:ind w:left="5771" w:hanging="360"/>
      </w:pPr>
    </w:lvl>
    <w:lvl w:ilvl="8" w:tplc="FFFFFFFF" w:tentative="1">
      <w:start w:val="1"/>
      <w:numFmt w:val="lowerRoman"/>
      <w:lvlText w:val="%9."/>
      <w:lvlJc w:val="right"/>
      <w:pPr>
        <w:ind w:left="6491" w:hanging="180"/>
      </w:pPr>
    </w:lvl>
  </w:abstractNum>
  <w:abstractNum w:abstractNumId="15" w15:restartNumberingAfterBreak="0">
    <w:nsid w:val="5F644C3E"/>
    <w:multiLevelType w:val="hybridMultilevel"/>
    <w:tmpl w:val="3906FD0E"/>
    <w:lvl w:ilvl="0" w:tplc="2000000F">
      <w:start w:val="1"/>
      <w:numFmt w:val="decimal"/>
      <w:lvlText w:val="%1."/>
      <w:lvlJc w:val="left"/>
      <w:pPr>
        <w:ind w:left="450" w:hanging="360"/>
      </w:pPr>
    </w:lvl>
    <w:lvl w:ilvl="1" w:tplc="20000019">
      <w:start w:val="1"/>
      <w:numFmt w:val="lowerLetter"/>
      <w:lvlText w:val="%2."/>
      <w:lvlJc w:val="left"/>
      <w:pPr>
        <w:ind w:left="1170" w:hanging="360"/>
      </w:pPr>
    </w:lvl>
    <w:lvl w:ilvl="2" w:tplc="2000001B" w:tentative="1">
      <w:start w:val="1"/>
      <w:numFmt w:val="lowerRoman"/>
      <w:lvlText w:val="%3."/>
      <w:lvlJc w:val="right"/>
      <w:pPr>
        <w:ind w:left="1890" w:hanging="180"/>
      </w:pPr>
    </w:lvl>
    <w:lvl w:ilvl="3" w:tplc="2000000F" w:tentative="1">
      <w:start w:val="1"/>
      <w:numFmt w:val="decimal"/>
      <w:lvlText w:val="%4."/>
      <w:lvlJc w:val="left"/>
      <w:pPr>
        <w:ind w:left="2610" w:hanging="360"/>
      </w:pPr>
    </w:lvl>
    <w:lvl w:ilvl="4" w:tplc="20000019" w:tentative="1">
      <w:start w:val="1"/>
      <w:numFmt w:val="lowerLetter"/>
      <w:lvlText w:val="%5."/>
      <w:lvlJc w:val="left"/>
      <w:pPr>
        <w:ind w:left="3330" w:hanging="360"/>
      </w:pPr>
    </w:lvl>
    <w:lvl w:ilvl="5" w:tplc="2000001B" w:tentative="1">
      <w:start w:val="1"/>
      <w:numFmt w:val="lowerRoman"/>
      <w:lvlText w:val="%6."/>
      <w:lvlJc w:val="right"/>
      <w:pPr>
        <w:ind w:left="4050" w:hanging="180"/>
      </w:pPr>
    </w:lvl>
    <w:lvl w:ilvl="6" w:tplc="2000000F" w:tentative="1">
      <w:start w:val="1"/>
      <w:numFmt w:val="decimal"/>
      <w:lvlText w:val="%7."/>
      <w:lvlJc w:val="left"/>
      <w:pPr>
        <w:ind w:left="4770" w:hanging="360"/>
      </w:pPr>
    </w:lvl>
    <w:lvl w:ilvl="7" w:tplc="20000019" w:tentative="1">
      <w:start w:val="1"/>
      <w:numFmt w:val="lowerLetter"/>
      <w:lvlText w:val="%8."/>
      <w:lvlJc w:val="left"/>
      <w:pPr>
        <w:ind w:left="5490" w:hanging="360"/>
      </w:pPr>
    </w:lvl>
    <w:lvl w:ilvl="8" w:tplc="2000001B" w:tentative="1">
      <w:start w:val="1"/>
      <w:numFmt w:val="lowerRoman"/>
      <w:lvlText w:val="%9."/>
      <w:lvlJc w:val="right"/>
      <w:pPr>
        <w:ind w:left="6210" w:hanging="180"/>
      </w:pPr>
    </w:lvl>
  </w:abstractNum>
  <w:num w:numId="1" w16cid:durableId="896939188">
    <w:abstractNumId w:val="15"/>
  </w:num>
  <w:num w:numId="2" w16cid:durableId="1502164830">
    <w:abstractNumId w:val="13"/>
  </w:num>
  <w:num w:numId="3" w16cid:durableId="557981782">
    <w:abstractNumId w:val="9"/>
  </w:num>
  <w:num w:numId="4" w16cid:durableId="1669167888">
    <w:abstractNumId w:val="1"/>
  </w:num>
  <w:num w:numId="5" w16cid:durableId="428701983">
    <w:abstractNumId w:val="2"/>
  </w:num>
  <w:num w:numId="6" w16cid:durableId="644700746">
    <w:abstractNumId w:val="0"/>
  </w:num>
  <w:num w:numId="7" w16cid:durableId="1279027369">
    <w:abstractNumId w:val="11"/>
  </w:num>
  <w:num w:numId="8" w16cid:durableId="2126847864">
    <w:abstractNumId w:val="14"/>
  </w:num>
  <w:num w:numId="9" w16cid:durableId="1296375071">
    <w:abstractNumId w:val="6"/>
  </w:num>
  <w:num w:numId="10" w16cid:durableId="2073313227">
    <w:abstractNumId w:val="10"/>
  </w:num>
  <w:num w:numId="11" w16cid:durableId="1003431181">
    <w:abstractNumId w:val="5"/>
  </w:num>
  <w:num w:numId="12" w16cid:durableId="181239805">
    <w:abstractNumId w:val="3"/>
  </w:num>
  <w:num w:numId="13" w16cid:durableId="1518695337">
    <w:abstractNumId w:val="12"/>
  </w:num>
  <w:num w:numId="14" w16cid:durableId="1784886913">
    <w:abstractNumId w:val="4"/>
  </w:num>
  <w:num w:numId="15" w16cid:durableId="691877716">
    <w:abstractNumId w:val="8"/>
  </w:num>
  <w:num w:numId="16" w16cid:durableId="12376658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F04"/>
    <w:rsid w:val="000644F7"/>
    <w:rsid w:val="001743F7"/>
    <w:rsid w:val="002B685A"/>
    <w:rsid w:val="00314020"/>
    <w:rsid w:val="00317343"/>
    <w:rsid w:val="00367F06"/>
    <w:rsid w:val="0052257F"/>
    <w:rsid w:val="00532FA1"/>
    <w:rsid w:val="005A6CBF"/>
    <w:rsid w:val="006E4673"/>
    <w:rsid w:val="007165AB"/>
    <w:rsid w:val="0075544D"/>
    <w:rsid w:val="007B244B"/>
    <w:rsid w:val="00810080"/>
    <w:rsid w:val="0084250E"/>
    <w:rsid w:val="008E72D5"/>
    <w:rsid w:val="0092710B"/>
    <w:rsid w:val="00956C81"/>
    <w:rsid w:val="00AD08B3"/>
    <w:rsid w:val="00AE07FB"/>
    <w:rsid w:val="00B15FD9"/>
    <w:rsid w:val="00C204A5"/>
    <w:rsid w:val="00C238FB"/>
    <w:rsid w:val="00C77DB3"/>
    <w:rsid w:val="00D14363"/>
    <w:rsid w:val="00D26B45"/>
    <w:rsid w:val="00D46CBC"/>
    <w:rsid w:val="00D91F04"/>
    <w:rsid w:val="00E36724"/>
    <w:rsid w:val="00E76B19"/>
    <w:rsid w:val="00EB1A39"/>
    <w:rsid w:val="00F20915"/>
    <w:rsid w:val="00F2743A"/>
    <w:rsid w:val="00F441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E2D89"/>
  <w15:chartTrackingRefBased/>
  <w15:docId w15:val="{C36A6260-44AC-4989-BD62-A46ADA8D2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D91F0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91F04"/>
    <w:rPr>
      <w:sz w:val="20"/>
      <w:szCs w:val="20"/>
      <w:lang w:val="en-GB"/>
    </w:rPr>
  </w:style>
  <w:style w:type="character" w:styleId="Appelnotedebasdep">
    <w:name w:val="footnote reference"/>
    <w:aliases w:val="FO,16 Point,Superscript 6 Point,ftref,footnote ref,BVI fnr, BVI fnr,fr,Ref,de nota al pie,Footnote,Char Char1,FOOTNOTES Char1,fn Char1,single space Char1,ft Char1,Fodnotetekst Tegn Char1,Footnote Text Char2 Char Char1,SUPERS"/>
    <w:basedOn w:val="Policepardfaut"/>
    <w:uiPriority w:val="99"/>
    <w:unhideWhenUsed/>
    <w:qFormat/>
    <w:rsid w:val="00D91F04"/>
    <w:rPr>
      <w:sz w:val="16"/>
      <w:vertAlign w:val="superscript"/>
    </w:rPr>
  </w:style>
  <w:style w:type="paragraph" w:styleId="En-tte">
    <w:name w:val="header"/>
    <w:basedOn w:val="Normal"/>
    <w:link w:val="En-tteCar"/>
    <w:uiPriority w:val="99"/>
    <w:unhideWhenUsed/>
    <w:rsid w:val="0084250E"/>
    <w:pPr>
      <w:tabs>
        <w:tab w:val="center" w:pos="4513"/>
        <w:tab w:val="right" w:pos="9026"/>
      </w:tabs>
      <w:spacing w:after="0" w:line="240" w:lineRule="auto"/>
    </w:pPr>
  </w:style>
  <w:style w:type="character" w:customStyle="1" w:styleId="En-tteCar">
    <w:name w:val="En-tête Car"/>
    <w:basedOn w:val="Policepardfaut"/>
    <w:link w:val="En-tte"/>
    <w:uiPriority w:val="99"/>
    <w:rsid w:val="0084250E"/>
    <w:rPr>
      <w:lang w:val="en-GB"/>
    </w:rPr>
  </w:style>
  <w:style w:type="paragraph" w:styleId="Pieddepage">
    <w:name w:val="footer"/>
    <w:basedOn w:val="Normal"/>
    <w:link w:val="PieddepageCar"/>
    <w:uiPriority w:val="99"/>
    <w:unhideWhenUsed/>
    <w:rsid w:val="0084250E"/>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84250E"/>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3980</Words>
  <Characters>21892</Characters>
  <Application>Microsoft Office Word</Application>
  <DocSecurity>0</DocSecurity>
  <Lines>182</Lines>
  <Paragraphs>51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 Talma</dc:creator>
  <cp:keywords/>
  <dc:description/>
  <cp:lastModifiedBy>Gilles RIBOUET</cp:lastModifiedBy>
  <cp:revision>4</cp:revision>
  <dcterms:created xsi:type="dcterms:W3CDTF">2024-05-09T08:49:00Z</dcterms:created>
  <dcterms:modified xsi:type="dcterms:W3CDTF">2024-05-10T05:39:00Z</dcterms:modified>
</cp:coreProperties>
</file>