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F88B2" w14:textId="1358CC59" w:rsidR="00C12C93" w:rsidRPr="005B7B74" w:rsidRDefault="00C12C93" w:rsidP="00854EEA">
      <w:pPr>
        <w:jc w:val="center"/>
        <w:rPr>
          <w:rFonts w:ascii="Verdana" w:hAnsi="Verdana"/>
          <w:b/>
          <w:bCs/>
          <w:sz w:val="2"/>
          <w:szCs w:val="2"/>
        </w:rPr>
      </w:pPr>
    </w:p>
    <w:tbl>
      <w:tblPr>
        <w:tblStyle w:val="Grilledutableau"/>
        <w:tblW w:w="0" w:type="auto"/>
        <w:tblLook w:val="04A0" w:firstRow="1" w:lastRow="0" w:firstColumn="1" w:lastColumn="0" w:noHBand="0" w:noVBand="1"/>
      </w:tblPr>
      <w:tblGrid>
        <w:gridCol w:w="7225"/>
        <w:gridCol w:w="1837"/>
      </w:tblGrid>
      <w:tr w:rsidR="00EC22CC" w:rsidRPr="005B7B74" w14:paraId="51109D41" w14:textId="77777777" w:rsidTr="000E2E1E">
        <w:tc>
          <w:tcPr>
            <w:tcW w:w="9062" w:type="dxa"/>
            <w:gridSpan w:val="2"/>
          </w:tcPr>
          <w:p w14:paraId="08DE7BBE" w14:textId="77777777" w:rsidR="00EC22CC" w:rsidRPr="005B7B74" w:rsidRDefault="00584059" w:rsidP="00854EEA">
            <w:pPr>
              <w:jc w:val="center"/>
              <w:rPr>
                <w:rFonts w:ascii="Verdana" w:hAnsi="Verdana"/>
                <w:b/>
                <w:bCs/>
                <w:sz w:val="20"/>
                <w:szCs w:val="20"/>
              </w:rPr>
            </w:pPr>
            <w:r w:rsidRPr="005B7B74">
              <w:rPr>
                <w:rFonts w:ascii="Verdana" w:hAnsi="Verdana"/>
                <w:b/>
                <w:bCs/>
                <w:sz w:val="20"/>
                <w:szCs w:val="20"/>
              </w:rPr>
              <w:t>A</w:t>
            </w:r>
            <w:r w:rsidR="00B04FA8" w:rsidRPr="005B7B74">
              <w:rPr>
                <w:rFonts w:ascii="Verdana" w:hAnsi="Verdana"/>
                <w:b/>
                <w:bCs/>
                <w:sz w:val="20"/>
                <w:szCs w:val="20"/>
              </w:rPr>
              <w:t>DMINISTRATION</w:t>
            </w:r>
          </w:p>
          <w:p w14:paraId="6FC76F95" w14:textId="771D8296" w:rsidR="00B04FA8" w:rsidRPr="005B7B74" w:rsidRDefault="00B04FA8" w:rsidP="00854EEA">
            <w:pPr>
              <w:jc w:val="center"/>
              <w:rPr>
                <w:rFonts w:ascii="Verdana" w:hAnsi="Verdana"/>
                <w:b/>
                <w:bCs/>
                <w:sz w:val="20"/>
                <w:szCs w:val="20"/>
              </w:rPr>
            </w:pPr>
          </w:p>
        </w:tc>
      </w:tr>
      <w:tr w:rsidR="00EC22CC" w:rsidRPr="005B7B74" w14:paraId="7F1B63D2" w14:textId="77777777" w:rsidTr="002A0933">
        <w:tc>
          <w:tcPr>
            <w:tcW w:w="7225" w:type="dxa"/>
          </w:tcPr>
          <w:p w14:paraId="056D9B10" w14:textId="6C129803" w:rsidR="00EC22CC" w:rsidRPr="005B7B74" w:rsidRDefault="003B69CC" w:rsidP="002A096E">
            <w:pPr>
              <w:rPr>
                <w:rFonts w:ascii="Verdana" w:hAnsi="Verdana"/>
                <w:sz w:val="20"/>
                <w:szCs w:val="20"/>
              </w:rPr>
            </w:pPr>
            <w:r w:rsidRPr="005B7B74">
              <w:rPr>
                <w:rFonts w:ascii="Verdana" w:hAnsi="Verdana"/>
                <w:sz w:val="20"/>
                <w:szCs w:val="20"/>
              </w:rPr>
              <w:t>Comité des OPL n°01/24 | 22 et 23 avril 2024</w:t>
            </w:r>
          </w:p>
        </w:tc>
        <w:tc>
          <w:tcPr>
            <w:tcW w:w="1837" w:type="dxa"/>
          </w:tcPr>
          <w:p w14:paraId="58E25D1F" w14:textId="6FCFA67E" w:rsidR="00EC22CC" w:rsidRPr="005B7B74" w:rsidRDefault="002A096E" w:rsidP="00854EEA">
            <w:pPr>
              <w:jc w:val="center"/>
              <w:rPr>
                <w:rFonts w:ascii="Verdana" w:hAnsi="Verdana"/>
                <w:sz w:val="20"/>
                <w:szCs w:val="20"/>
              </w:rPr>
            </w:pPr>
            <w:r w:rsidRPr="005B7B74">
              <w:rPr>
                <w:rFonts w:ascii="Verdana" w:hAnsi="Verdana"/>
                <w:sz w:val="20"/>
                <w:szCs w:val="20"/>
              </w:rPr>
              <w:t xml:space="preserve">Point </w:t>
            </w:r>
            <w:r w:rsidR="00A807D3">
              <w:rPr>
                <w:rFonts w:ascii="Verdana" w:hAnsi="Verdana"/>
                <w:sz w:val="20"/>
                <w:szCs w:val="20"/>
              </w:rPr>
              <w:t>3.5.</w:t>
            </w:r>
          </w:p>
        </w:tc>
      </w:tr>
      <w:tr w:rsidR="00EC22CC" w:rsidRPr="005B7B74" w14:paraId="537D1DE5" w14:textId="77777777" w:rsidTr="003B69CC">
        <w:tc>
          <w:tcPr>
            <w:tcW w:w="7225" w:type="dxa"/>
          </w:tcPr>
          <w:p w14:paraId="43DEF09E" w14:textId="2EC8C63A" w:rsidR="00EC22CC" w:rsidRPr="005B7B74" w:rsidRDefault="00A148A1" w:rsidP="002A096E">
            <w:pPr>
              <w:rPr>
                <w:rFonts w:ascii="Verdana" w:hAnsi="Verdana"/>
                <w:sz w:val="20"/>
                <w:szCs w:val="20"/>
              </w:rPr>
            </w:pPr>
            <w:r w:rsidRPr="005B7B74">
              <w:rPr>
                <w:rFonts w:ascii="Verdana" w:hAnsi="Verdana"/>
                <w:i/>
                <w:iCs/>
                <w:sz w:val="20"/>
                <w:szCs w:val="20"/>
              </w:rPr>
              <w:t>Dossier suivi par :</w:t>
            </w:r>
            <w:r w:rsidR="00EC22CC" w:rsidRPr="005B7B74">
              <w:rPr>
                <w:rFonts w:ascii="Verdana" w:hAnsi="Verdana"/>
                <w:sz w:val="20"/>
                <w:szCs w:val="20"/>
              </w:rPr>
              <w:t xml:space="preserve"> </w:t>
            </w:r>
            <w:r w:rsidR="00584059" w:rsidRPr="005B7B74">
              <w:rPr>
                <w:rFonts w:ascii="Verdana" w:hAnsi="Verdana"/>
                <w:sz w:val="20"/>
                <w:szCs w:val="20"/>
              </w:rPr>
              <w:t xml:space="preserve">Vicky </w:t>
            </w:r>
            <w:proofErr w:type="spellStart"/>
            <w:r w:rsidR="00584059" w:rsidRPr="005B7B74">
              <w:rPr>
                <w:rFonts w:ascii="Verdana" w:hAnsi="Verdana"/>
                <w:sz w:val="20"/>
                <w:szCs w:val="20"/>
              </w:rPr>
              <w:t>Cushmajee</w:t>
            </w:r>
            <w:proofErr w:type="spellEnd"/>
            <w:r w:rsidR="00584059" w:rsidRPr="005B7B74">
              <w:rPr>
                <w:rFonts w:ascii="Verdana" w:hAnsi="Verdana"/>
                <w:sz w:val="20"/>
                <w:szCs w:val="20"/>
              </w:rPr>
              <w:t>, Chef SAF</w:t>
            </w:r>
          </w:p>
        </w:tc>
        <w:tc>
          <w:tcPr>
            <w:tcW w:w="1837" w:type="dxa"/>
            <w:shd w:val="clear" w:color="auto" w:fill="auto"/>
          </w:tcPr>
          <w:p w14:paraId="5AC1AFAB" w14:textId="551D2E6D" w:rsidR="00EC22CC" w:rsidRPr="005B7B74" w:rsidRDefault="004607F7" w:rsidP="00854EEA">
            <w:pPr>
              <w:jc w:val="center"/>
              <w:rPr>
                <w:rFonts w:ascii="Verdana" w:hAnsi="Verdana"/>
                <w:sz w:val="20"/>
                <w:szCs w:val="20"/>
              </w:rPr>
            </w:pPr>
            <w:r w:rsidRPr="00A807D3">
              <w:rPr>
                <w:rFonts w:ascii="Verdana" w:hAnsi="Verdana"/>
                <w:sz w:val="20"/>
                <w:szCs w:val="20"/>
              </w:rPr>
              <w:t xml:space="preserve">Décision </w:t>
            </w:r>
          </w:p>
        </w:tc>
      </w:tr>
      <w:tr w:rsidR="00A90305" w:rsidRPr="005B7B74" w14:paraId="6896DB30" w14:textId="77777777" w:rsidTr="009F5233">
        <w:tc>
          <w:tcPr>
            <w:tcW w:w="9062" w:type="dxa"/>
            <w:gridSpan w:val="2"/>
          </w:tcPr>
          <w:p w14:paraId="0495241B" w14:textId="1EBAFBD7" w:rsidR="00A90305" w:rsidRPr="005B7B74" w:rsidRDefault="00A90305" w:rsidP="00A90305">
            <w:pPr>
              <w:rPr>
                <w:rFonts w:ascii="Verdana" w:hAnsi="Verdana"/>
                <w:sz w:val="20"/>
                <w:szCs w:val="20"/>
              </w:rPr>
            </w:pPr>
            <w:r w:rsidRPr="005B7B74">
              <w:rPr>
                <w:rFonts w:ascii="Verdana" w:hAnsi="Verdana"/>
                <w:i/>
                <w:iCs/>
                <w:sz w:val="20"/>
                <w:szCs w:val="20"/>
              </w:rPr>
              <w:t>Version du</w:t>
            </w:r>
            <w:r w:rsidR="006C6513" w:rsidRPr="005B7B74">
              <w:rPr>
                <w:rFonts w:ascii="Verdana" w:hAnsi="Verdana"/>
                <w:i/>
                <w:iCs/>
                <w:sz w:val="20"/>
                <w:szCs w:val="20"/>
              </w:rPr>
              <w:t xml:space="preserve"> </w:t>
            </w:r>
            <w:r w:rsidR="00584059" w:rsidRPr="005B7B74">
              <w:rPr>
                <w:rFonts w:ascii="Verdana" w:hAnsi="Verdana"/>
                <w:i/>
                <w:iCs/>
                <w:sz w:val="20"/>
                <w:szCs w:val="20"/>
              </w:rPr>
              <w:t>2</w:t>
            </w:r>
            <w:r w:rsidR="00B04FA8" w:rsidRPr="005B7B74">
              <w:rPr>
                <w:rFonts w:ascii="Verdana" w:hAnsi="Verdana"/>
                <w:i/>
                <w:iCs/>
                <w:sz w:val="20"/>
                <w:szCs w:val="20"/>
              </w:rPr>
              <w:t>5</w:t>
            </w:r>
            <w:r w:rsidR="00584059" w:rsidRPr="005B7B74">
              <w:rPr>
                <w:rFonts w:ascii="Verdana" w:hAnsi="Verdana"/>
                <w:i/>
                <w:iCs/>
                <w:sz w:val="20"/>
                <w:szCs w:val="20"/>
              </w:rPr>
              <w:t xml:space="preserve"> mars 2024</w:t>
            </w:r>
            <w:r w:rsidRPr="005B7B74">
              <w:rPr>
                <w:rFonts w:ascii="Verdana" w:hAnsi="Verdana"/>
                <w:i/>
                <w:iCs/>
                <w:sz w:val="20"/>
                <w:szCs w:val="20"/>
              </w:rPr>
              <w:t xml:space="preserve"> </w:t>
            </w:r>
          </w:p>
        </w:tc>
      </w:tr>
    </w:tbl>
    <w:p w14:paraId="1611BCC4" w14:textId="77777777" w:rsidR="00854EEA" w:rsidRPr="001E26ED" w:rsidRDefault="00854EEA" w:rsidP="00816DAC">
      <w:pPr>
        <w:pStyle w:val="Paragraphe"/>
        <w:rPr>
          <w:sz w:val="4"/>
          <w:szCs w:val="4"/>
        </w:rPr>
      </w:pPr>
      <w:bookmarkStart w:id="0" w:name="_Hlk24535240"/>
    </w:p>
    <w:p w14:paraId="6EB243B7" w14:textId="525110F9" w:rsidR="001F5AC6" w:rsidRPr="005B7B74" w:rsidRDefault="00A807D3" w:rsidP="00954F6E">
      <w:pPr>
        <w:pStyle w:val="Titrepartie"/>
      </w:pPr>
      <w:r>
        <w:t xml:space="preserve">Application du Titre II « Privilèges et immunités » - article 4 du Protocole additionnel à l’Accord de Victoria (1989) </w:t>
      </w:r>
    </w:p>
    <w:p w14:paraId="570D6955" w14:textId="2B3C184D" w:rsidR="001B5D63" w:rsidRPr="005B7B74" w:rsidRDefault="00584059" w:rsidP="00954F6E">
      <w:pPr>
        <w:pStyle w:val="Sous-partie2"/>
      </w:pPr>
      <w:r w:rsidRPr="005B7B74">
        <w:t>Contexte</w:t>
      </w:r>
    </w:p>
    <w:p w14:paraId="22509E49" w14:textId="4BA97E1A" w:rsidR="006240A7" w:rsidRPr="004A26DB" w:rsidRDefault="004A26DB" w:rsidP="006240A7">
      <w:pPr>
        <w:ind w:right="399"/>
        <w:jc w:val="both"/>
        <w:rPr>
          <w:rFonts w:ascii="Verdana" w:hAnsi="Verdana"/>
          <w:sz w:val="20"/>
          <w:szCs w:val="20"/>
        </w:rPr>
      </w:pPr>
      <w:r>
        <w:rPr>
          <w:rFonts w:ascii="Verdana" w:hAnsi="Verdana"/>
          <w:sz w:val="20"/>
          <w:szCs w:val="20"/>
        </w:rPr>
        <w:t>L</w:t>
      </w:r>
      <w:r w:rsidR="001F5AC6" w:rsidRPr="004A26DB">
        <w:rPr>
          <w:rFonts w:ascii="Verdana" w:hAnsi="Verdana"/>
          <w:sz w:val="20"/>
          <w:szCs w:val="20"/>
        </w:rPr>
        <w:t xml:space="preserve">e </w:t>
      </w:r>
      <w:r w:rsidR="00393620" w:rsidRPr="004A26DB">
        <w:rPr>
          <w:rFonts w:ascii="Verdana" w:hAnsi="Verdana"/>
          <w:sz w:val="20"/>
          <w:szCs w:val="20"/>
        </w:rPr>
        <w:t xml:space="preserve">Protocole additionnel </w:t>
      </w:r>
      <w:r>
        <w:rPr>
          <w:rFonts w:ascii="Verdana" w:hAnsi="Verdana"/>
          <w:sz w:val="20"/>
          <w:szCs w:val="20"/>
        </w:rPr>
        <w:t xml:space="preserve">à l’Accord de Victoria en date du 14 avril 1989 </w:t>
      </w:r>
      <w:r w:rsidR="00523988" w:rsidRPr="004A26DB">
        <w:rPr>
          <w:rFonts w:ascii="Verdana" w:hAnsi="Verdana"/>
          <w:sz w:val="20"/>
          <w:szCs w:val="20"/>
        </w:rPr>
        <w:t xml:space="preserve">signé par tous les </w:t>
      </w:r>
      <w:r w:rsidRPr="004A26DB">
        <w:rPr>
          <w:rFonts w:ascii="Verdana" w:hAnsi="Verdana"/>
          <w:sz w:val="20"/>
          <w:szCs w:val="20"/>
        </w:rPr>
        <w:t>États</w:t>
      </w:r>
      <w:r w:rsidR="00523988" w:rsidRPr="004A26DB">
        <w:rPr>
          <w:rFonts w:ascii="Verdana" w:hAnsi="Verdana"/>
          <w:sz w:val="20"/>
          <w:szCs w:val="20"/>
        </w:rPr>
        <w:t xml:space="preserve"> membres de la COI </w:t>
      </w:r>
      <w:r>
        <w:rPr>
          <w:rFonts w:ascii="Verdana" w:hAnsi="Verdana"/>
          <w:sz w:val="20"/>
          <w:szCs w:val="20"/>
        </w:rPr>
        <w:t>prévo</w:t>
      </w:r>
      <w:r w:rsidR="00A807D3">
        <w:rPr>
          <w:rFonts w:ascii="Verdana" w:hAnsi="Verdana"/>
          <w:sz w:val="20"/>
          <w:szCs w:val="20"/>
        </w:rPr>
        <w:t>it</w:t>
      </w:r>
      <w:r>
        <w:rPr>
          <w:rFonts w:ascii="Verdana" w:hAnsi="Verdana"/>
          <w:sz w:val="20"/>
          <w:szCs w:val="20"/>
        </w:rPr>
        <w:t xml:space="preserve"> des engagements pour les pays membres concernant l’exemption des droits et taxes pour les activités de la COI. Néanmoins,</w:t>
      </w:r>
      <w:r w:rsidR="00523988" w:rsidRPr="004A26DB">
        <w:rPr>
          <w:rFonts w:ascii="Verdana" w:hAnsi="Verdana"/>
          <w:sz w:val="20"/>
          <w:szCs w:val="20"/>
        </w:rPr>
        <w:t xml:space="preserve"> il n’existe pas </w:t>
      </w:r>
      <w:r>
        <w:rPr>
          <w:rFonts w:ascii="Verdana" w:hAnsi="Verdana"/>
          <w:sz w:val="20"/>
          <w:szCs w:val="20"/>
        </w:rPr>
        <w:t>de</w:t>
      </w:r>
      <w:r w:rsidR="00523988" w:rsidRPr="004A26DB">
        <w:rPr>
          <w:rFonts w:ascii="Verdana" w:hAnsi="Verdana"/>
          <w:sz w:val="20"/>
          <w:szCs w:val="20"/>
        </w:rPr>
        <w:t xml:space="preserve"> disposition</w:t>
      </w:r>
      <w:r>
        <w:rPr>
          <w:rFonts w:ascii="Verdana" w:hAnsi="Verdana"/>
          <w:sz w:val="20"/>
          <w:szCs w:val="20"/>
        </w:rPr>
        <w:t>s</w:t>
      </w:r>
      <w:r w:rsidR="00523988" w:rsidRPr="004A26DB">
        <w:rPr>
          <w:rFonts w:ascii="Verdana" w:hAnsi="Verdana"/>
          <w:sz w:val="20"/>
          <w:szCs w:val="20"/>
        </w:rPr>
        <w:t xml:space="preserve"> claire</w:t>
      </w:r>
      <w:r>
        <w:rPr>
          <w:rFonts w:ascii="Verdana" w:hAnsi="Verdana"/>
          <w:sz w:val="20"/>
          <w:szCs w:val="20"/>
        </w:rPr>
        <w:t>s</w:t>
      </w:r>
      <w:r w:rsidR="00523988" w:rsidRPr="004A26DB">
        <w:rPr>
          <w:rFonts w:ascii="Verdana" w:hAnsi="Verdana"/>
          <w:sz w:val="20"/>
          <w:szCs w:val="20"/>
        </w:rPr>
        <w:t xml:space="preserve"> </w:t>
      </w:r>
      <w:r w:rsidR="005B7B74">
        <w:rPr>
          <w:rFonts w:ascii="Verdana" w:hAnsi="Verdana"/>
          <w:sz w:val="20"/>
          <w:szCs w:val="20"/>
        </w:rPr>
        <w:t>ni de</w:t>
      </w:r>
      <w:r w:rsidR="00523988" w:rsidRPr="004A26DB">
        <w:rPr>
          <w:rFonts w:ascii="Verdana" w:hAnsi="Verdana"/>
          <w:sz w:val="20"/>
          <w:szCs w:val="20"/>
        </w:rPr>
        <w:t xml:space="preserve"> </w:t>
      </w:r>
      <w:r w:rsidRPr="004A26DB">
        <w:rPr>
          <w:rFonts w:ascii="Verdana" w:hAnsi="Verdana"/>
          <w:sz w:val="20"/>
          <w:szCs w:val="20"/>
        </w:rPr>
        <w:t>modalité</w:t>
      </w:r>
      <w:r>
        <w:rPr>
          <w:rFonts w:ascii="Verdana" w:hAnsi="Verdana"/>
          <w:sz w:val="20"/>
          <w:szCs w:val="20"/>
        </w:rPr>
        <w:t>s</w:t>
      </w:r>
      <w:r w:rsidRPr="004A26DB">
        <w:rPr>
          <w:rFonts w:ascii="Verdana" w:hAnsi="Verdana"/>
          <w:sz w:val="20"/>
          <w:szCs w:val="20"/>
        </w:rPr>
        <w:t xml:space="preserve"> définies</w:t>
      </w:r>
      <w:r w:rsidR="00523988" w:rsidRPr="004A26DB">
        <w:rPr>
          <w:rFonts w:ascii="Verdana" w:hAnsi="Verdana"/>
          <w:sz w:val="20"/>
          <w:szCs w:val="20"/>
        </w:rPr>
        <w:t xml:space="preserve"> pour </w:t>
      </w:r>
      <w:r>
        <w:rPr>
          <w:rFonts w:ascii="Verdana" w:hAnsi="Verdana"/>
          <w:sz w:val="20"/>
          <w:szCs w:val="20"/>
        </w:rPr>
        <w:t>l’</w:t>
      </w:r>
      <w:r w:rsidR="00523988" w:rsidRPr="004A26DB">
        <w:rPr>
          <w:rFonts w:ascii="Verdana" w:hAnsi="Verdana"/>
          <w:sz w:val="20"/>
          <w:szCs w:val="20"/>
        </w:rPr>
        <w:t xml:space="preserve">exemption ou </w:t>
      </w:r>
      <w:r w:rsidR="00A807D3">
        <w:rPr>
          <w:rFonts w:ascii="Verdana" w:hAnsi="Verdana"/>
          <w:sz w:val="20"/>
          <w:szCs w:val="20"/>
        </w:rPr>
        <w:t>l</w:t>
      </w:r>
      <w:r w:rsidR="00523988" w:rsidRPr="004A26DB">
        <w:rPr>
          <w:rFonts w:ascii="Verdana" w:hAnsi="Verdana"/>
          <w:sz w:val="20"/>
          <w:szCs w:val="20"/>
        </w:rPr>
        <w:t>e remboursement des droits et taxes dans les Etats membres de la COI à l’exception de Maurice</w:t>
      </w:r>
      <w:r w:rsidR="00A807D3">
        <w:rPr>
          <w:rFonts w:ascii="Verdana" w:hAnsi="Verdana"/>
          <w:sz w:val="20"/>
          <w:szCs w:val="20"/>
        </w:rPr>
        <w:t xml:space="preserve"> en vertu de l’Accord de siège également signé le 14 avril 1989</w:t>
      </w:r>
      <w:r w:rsidR="00523988" w:rsidRPr="004A26DB">
        <w:rPr>
          <w:rFonts w:ascii="Verdana" w:hAnsi="Verdana"/>
          <w:sz w:val="20"/>
          <w:szCs w:val="20"/>
        </w:rPr>
        <w:t xml:space="preserve">. </w:t>
      </w:r>
    </w:p>
    <w:p w14:paraId="0E1D7062" w14:textId="71D02582" w:rsidR="006240A7" w:rsidRPr="004A26DB" w:rsidRDefault="00523988" w:rsidP="006240A7">
      <w:pPr>
        <w:ind w:right="399"/>
        <w:jc w:val="both"/>
        <w:rPr>
          <w:rFonts w:ascii="Verdana" w:hAnsi="Verdana"/>
          <w:sz w:val="20"/>
          <w:szCs w:val="20"/>
        </w:rPr>
      </w:pPr>
      <w:r w:rsidRPr="004A26DB">
        <w:rPr>
          <w:rFonts w:ascii="Verdana" w:hAnsi="Verdana"/>
          <w:sz w:val="20"/>
          <w:szCs w:val="20"/>
        </w:rPr>
        <w:t xml:space="preserve">Le Secrétariat général se trouve de plus en plus </w:t>
      </w:r>
      <w:r w:rsidR="005B7B74">
        <w:rPr>
          <w:rFonts w:ascii="Verdana" w:hAnsi="Verdana"/>
          <w:sz w:val="20"/>
          <w:szCs w:val="20"/>
        </w:rPr>
        <w:t>confronté à</w:t>
      </w:r>
      <w:r w:rsidRPr="004A26DB">
        <w:rPr>
          <w:rFonts w:ascii="Verdana" w:hAnsi="Verdana"/>
          <w:sz w:val="20"/>
          <w:szCs w:val="20"/>
        </w:rPr>
        <w:t xml:space="preserve"> des problèmes d’</w:t>
      </w:r>
      <w:r w:rsidR="00AF61C8">
        <w:rPr>
          <w:rFonts w:ascii="Verdana" w:hAnsi="Verdana"/>
          <w:sz w:val="20"/>
          <w:szCs w:val="20"/>
        </w:rPr>
        <w:t>in</w:t>
      </w:r>
      <w:r w:rsidRPr="004A26DB">
        <w:rPr>
          <w:rFonts w:ascii="Verdana" w:hAnsi="Verdana"/>
          <w:sz w:val="20"/>
          <w:szCs w:val="20"/>
        </w:rPr>
        <w:t xml:space="preserve">éligibilités des dépenses </w:t>
      </w:r>
      <w:r w:rsidR="00AF61C8">
        <w:rPr>
          <w:rFonts w:ascii="Verdana" w:hAnsi="Verdana"/>
          <w:sz w:val="20"/>
          <w:szCs w:val="20"/>
        </w:rPr>
        <w:t>se rapportant à des</w:t>
      </w:r>
      <w:r w:rsidRPr="004A26DB">
        <w:rPr>
          <w:rFonts w:ascii="Verdana" w:hAnsi="Verdana"/>
          <w:sz w:val="20"/>
          <w:szCs w:val="20"/>
        </w:rPr>
        <w:t xml:space="preserve"> taxes à l’importation et </w:t>
      </w:r>
      <w:r w:rsidR="00AF61C8">
        <w:rPr>
          <w:rFonts w:ascii="Verdana" w:hAnsi="Verdana"/>
          <w:sz w:val="20"/>
          <w:szCs w:val="20"/>
        </w:rPr>
        <w:t xml:space="preserve">à </w:t>
      </w:r>
      <w:r w:rsidRPr="004A26DB">
        <w:rPr>
          <w:rFonts w:ascii="Verdana" w:hAnsi="Verdana"/>
          <w:sz w:val="20"/>
          <w:szCs w:val="20"/>
        </w:rPr>
        <w:t xml:space="preserve">la TVA dans </w:t>
      </w:r>
      <w:r w:rsidR="001F5AC6" w:rsidRPr="004A26DB">
        <w:rPr>
          <w:rFonts w:ascii="Verdana" w:hAnsi="Verdana"/>
          <w:sz w:val="20"/>
          <w:szCs w:val="20"/>
        </w:rPr>
        <w:t>les Etats</w:t>
      </w:r>
      <w:r w:rsidRPr="004A26DB">
        <w:rPr>
          <w:rFonts w:ascii="Verdana" w:hAnsi="Verdana"/>
          <w:sz w:val="20"/>
          <w:szCs w:val="20"/>
        </w:rPr>
        <w:t xml:space="preserve"> membres</w:t>
      </w:r>
      <w:r w:rsidR="002E4110">
        <w:rPr>
          <w:rFonts w:ascii="Verdana" w:hAnsi="Verdana"/>
          <w:sz w:val="20"/>
          <w:szCs w:val="20"/>
        </w:rPr>
        <w:t>,</w:t>
      </w:r>
      <w:r w:rsidRPr="004A26DB">
        <w:rPr>
          <w:rFonts w:ascii="Verdana" w:hAnsi="Verdana"/>
          <w:sz w:val="20"/>
          <w:szCs w:val="20"/>
        </w:rPr>
        <w:t xml:space="preserve"> pour les acquisitions en matériels et équipements effectués dans le cadre de ses activités au bénéfice de ces mêmes Etats membres. En effet, la TVA ainsi que les taxes à l’importation ne sont pas éligibles pour tous les bailleurs et </w:t>
      </w:r>
      <w:r w:rsidR="00AB0C6B">
        <w:rPr>
          <w:rFonts w:ascii="Verdana" w:hAnsi="Verdana"/>
          <w:sz w:val="20"/>
          <w:szCs w:val="20"/>
        </w:rPr>
        <w:t>deviennent ainsi des inéligibilités</w:t>
      </w:r>
      <w:r w:rsidR="00CA4892" w:rsidRPr="004A26DB">
        <w:rPr>
          <w:rFonts w:ascii="Verdana" w:hAnsi="Verdana"/>
          <w:sz w:val="20"/>
          <w:szCs w:val="20"/>
        </w:rPr>
        <w:t xml:space="preserve"> à </w:t>
      </w:r>
      <w:r w:rsidRPr="004A26DB">
        <w:rPr>
          <w:rFonts w:ascii="Verdana" w:hAnsi="Verdana"/>
          <w:sz w:val="20"/>
          <w:szCs w:val="20"/>
        </w:rPr>
        <w:t xml:space="preserve">la charge </w:t>
      </w:r>
      <w:r w:rsidR="00A807D3">
        <w:rPr>
          <w:rFonts w:ascii="Verdana" w:hAnsi="Verdana"/>
          <w:sz w:val="20"/>
          <w:szCs w:val="20"/>
        </w:rPr>
        <w:t>de la COI</w:t>
      </w:r>
      <w:r w:rsidRPr="004A26DB">
        <w:rPr>
          <w:rFonts w:ascii="Verdana" w:hAnsi="Verdana"/>
          <w:sz w:val="20"/>
          <w:szCs w:val="20"/>
        </w:rPr>
        <w:t xml:space="preserve">. </w:t>
      </w:r>
    </w:p>
    <w:p w14:paraId="4BC814AB" w14:textId="01548DF9" w:rsidR="00B30539" w:rsidRPr="004A26DB" w:rsidRDefault="00A807D3" w:rsidP="006240A7">
      <w:pPr>
        <w:ind w:right="399"/>
        <w:jc w:val="both"/>
        <w:rPr>
          <w:rFonts w:ascii="Verdana" w:hAnsi="Verdana"/>
          <w:sz w:val="20"/>
          <w:szCs w:val="20"/>
        </w:rPr>
      </w:pPr>
      <w:r>
        <w:rPr>
          <w:rFonts w:ascii="Verdana" w:hAnsi="Verdana"/>
          <w:sz w:val="20"/>
          <w:szCs w:val="20"/>
        </w:rPr>
        <w:t>C</w:t>
      </w:r>
      <w:r w:rsidR="00523988" w:rsidRPr="004A26DB">
        <w:rPr>
          <w:rFonts w:ascii="Verdana" w:hAnsi="Verdana"/>
          <w:sz w:val="20"/>
          <w:szCs w:val="20"/>
        </w:rPr>
        <w:t xml:space="preserve">ette situation </w:t>
      </w:r>
      <w:r>
        <w:rPr>
          <w:rFonts w:ascii="Verdana" w:hAnsi="Verdana"/>
          <w:sz w:val="20"/>
          <w:szCs w:val="20"/>
        </w:rPr>
        <w:t>résulte du fait que</w:t>
      </w:r>
      <w:r w:rsidR="00523988" w:rsidRPr="004A26DB">
        <w:rPr>
          <w:rFonts w:ascii="Verdana" w:hAnsi="Verdana"/>
          <w:sz w:val="20"/>
          <w:szCs w:val="20"/>
        </w:rPr>
        <w:t xml:space="preserve"> l’article 4 du Protocole additionnel n’a pas été</w:t>
      </w:r>
      <w:r w:rsidR="002E4110">
        <w:rPr>
          <w:rFonts w:ascii="Verdana" w:hAnsi="Verdana"/>
          <w:sz w:val="20"/>
          <w:szCs w:val="20"/>
        </w:rPr>
        <w:t xml:space="preserve"> intégré dans l</w:t>
      </w:r>
      <w:r>
        <w:rPr>
          <w:rFonts w:ascii="Verdana" w:hAnsi="Verdana"/>
          <w:sz w:val="20"/>
          <w:szCs w:val="20"/>
        </w:rPr>
        <w:t>es</w:t>
      </w:r>
      <w:r w:rsidR="002E4110">
        <w:rPr>
          <w:rFonts w:ascii="Verdana" w:hAnsi="Verdana"/>
          <w:sz w:val="20"/>
          <w:szCs w:val="20"/>
        </w:rPr>
        <w:t xml:space="preserve"> législation</w:t>
      </w:r>
      <w:r>
        <w:rPr>
          <w:rFonts w:ascii="Verdana" w:hAnsi="Verdana"/>
          <w:sz w:val="20"/>
          <w:szCs w:val="20"/>
        </w:rPr>
        <w:t>s</w:t>
      </w:r>
      <w:r w:rsidR="002E4110">
        <w:rPr>
          <w:rFonts w:ascii="Verdana" w:hAnsi="Verdana"/>
          <w:sz w:val="20"/>
          <w:szCs w:val="20"/>
        </w:rPr>
        <w:t xml:space="preserve"> nationale</w:t>
      </w:r>
      <w:r>
        <w:rPr>
          <w:rFonts w:ascii="Verdana" w:hAnsi="Verdana"/>
          <w:sz w:val="20"/>
          <w:szCs w:val="20"/>
        </w:rPr>
        <w:t>s</w:t>
      </w:r>
      <w:r w:rsidR="00523988" w:rsidRPr="004A26DB">
        <w:rPr>
          <w:rFonts w:ascii="Verdana" w:hAnsi="Verdana"/>
          <w:sz w:val="20"/>
          <w:szCs w:val="20"/>
        </w:rPr>
        <w:t xml:space="preserve"> </w:t>
      </w:r>
      <w:r w:rsidR="00B30539" w:rsidRPr="004A26DB">
        <w:rPr>
          <w:rFonts w:ascii="Verdana" w:hAnsi="Verdana"/>
          <w:sz w:val="20"/>
          <w:szCs w:val="20"/>
        </w:rPr>
        <w:t>(à l’exception de Maurice</w:t>
      </w:r>
      <w:r>
        <w:rPr>
          <w:rFonts w:ascii="Verdana" w:hAnsi="Verdana"/>
          <w:sz w:val="20"/>
          <w:szCs w:val="20"/>
        </w:rPr>
        <w:t>, pays du siège</w:t>
      </w:r>
      <w:r w:rsidR="00B30539" w:rsidRPr="004A26DB">
        <w:rPr>
          <w:rFonts w:ascii="Verdana" w:hAnsi="Verdana"/>
          <w:sz w:val="20"/>
          <w:szCs w:val="20"/>
        </w:rPr>
        <w:t xml:space="preserve">) </w:t>
      </w:r>
      <w:r>
        <w:rPr>
          <w:rFonts w:ascii="Verdana" w:hAnsi="Verdana"/>
          <w:sz w:val="20"/>
          <w:szCs w:val="20"/>
        </w:rPr>
        <w:t xml:space="preserve">ce qui entrave son application systématique </w:t>
      </w:r>
      <w:r w:rsidR="00B30539" w:rsidRPr="004A26DB">
        <w:rPr>
          <w:rFonts w:ascii="Verdana" w:hAnsi="Verdana"/>
          <w:sz w:val="20"/>
          <w:szCs w:val="20"/>
        </w:rPr>
        <w:t xml:space="preserve">par les services compétents, notamment les services </w:t>
      </w:r>
      <w:r w:rsidR="002E4110">
        <w:rPr>
          <w:rFonts w:ascii="Verdana" w:hAnsi="Verdana"/>
          <w:sz w:val="20"/>
          <w:szCs w:val="20"/>
        </w:rPr>
        <w:t>douaniers</w:t>
      </w:r>
      <w:r w:rsidR="00B30539" w:rsidRPr="004A26DB">
        <w:rPr>
          <w:rFonts w:ascii="Verdana" w:hAnsi="Verdana"/>
          <w:sz w:val="20"/>
          <w:szCs w:val="20"/>
        </w:rPr>
        <w:t xml:space="preserve"> ou les différents services du ministère des </w:t>
      </w:r>
      <w:r>
        <w:rPr>
          <w:rFonts w:ascii="Verdana" w:hAnsi="Verdana"/>
          <w:sz w:val="20"/>
          <w:szCs w:val="20"/>
        </w:rPr>
        <w:t>Fi</w:t>
      </w:r>
      <w:r w:rsidR="00B30539" w:rsidRPr="004A26DB">
        <w:rPr>
          <w:rFonts w:ascii="Verdana" w:hAnsi="Verdana"/>
          <w:sz w:val="20"/>
          <w:szCs w:val="20"/>
        </w:rPr>
        <w:t>nances.</w:t>
      </w:r>
    </w:p>
    <w:p w14:paraId="7890BE45" w14:textId="14447153" w:rsidR="006240A7" w:rsidRPr="004A26DB" w:rsidRDefault="00B30539" w:rsidP="006240A7">
      <w:pPr>
        <w:ind w:right="399"/>
        <w:jc w:val="both"/>
        <w:rPr>
          <w:rFonts w:ascii="Verdana" w:hAnsi="Verdana"/>
          <w:sz w:val="20"/>
          <w:szCs w:val="20"/>
        </w:rPr>
      </w:pPr>
      <w:r w:rsidRPr="004A26DB">
        <w:rPr>
          <w:rFonts w:ascii="Verdana" w:hAnsi="Verdana"/>
          <w:sz w:val="20"/>
          <w:szCs w:val="20"/>
        </w:rPr>
        <w:t xml:space="preserve">Pour </w:t>
      </w:r>
      <w:r w:rsidR="005B7B74" w:rsidRPr="004A26DB">
        <w:rPr>
          <w:rFonts w:ascii="Verdana" w:hAnsi="Verdana"/>
          <w:sz w:val="20"/>
          <w:szCs w:val="20"/>
        </w:rPr>
        <w:t>rappel</w:t>
      </w:r>
      <w:r w:rsidRPr="004A26DB">
        <w:rPr>
          <w:rFonts w:ascii="Verdana" w:hAnsi="Verdana"/>
          <w:sz w:val="20"/>
          <w:szCs w:val="20"/>
        </w:rPr>
        <w:t xml:space="preserve">, les articles concernant les taxes </w:t>
      </w:r>
      <w:r w:rsidR="005003F8">
        <w:rPr>
          <w:rFonts w:ascii="Verdana" w:hAnsi="Verdana"/>
          <w:sz w:val="20"/>
          <w:szCs w:val="20"/>
        </w:rPr>
        <w:t>disposent</w:t>
      </w:r>
      <w:r w:rsidRPr="004A26DB">
        <w:rPr>
          <w:rFonts w:ascii="Verdana" w:hAnsi="Verdana"/>
          <w:sz w:val="20"/>
          <w:szCs w:val="20"/>
        </w:rPr>
        <w:t xml:space="preserve"> : </w:t>
      </w:r>
    </w:p>
    <w:p w14:paraId="4EB23470" w14:textId="6505D291" w:rsidR="006240A7" w:rsidRPr="004A26DB" w:rsidRDefault="006240A7" w:rsidP="00393620">
      <w:pPr>
        <w:ind w:left="567" w:right="399"/>
        <w:jc w:val="both"/>
        <w:rPr>
          <w:rFonts w:ascii="Verdana" w:hAnsi="Verdana"/>
          <w:b/>
          <w:bCs/>
          <w:i/>
          <w:iCs/>
          <w:sz w:val="20"/>
          <w:szCs w:val="20"/>
        </w:rPr>
      </w:pPr>
      <w:r w:rsidRPr="004A26DB">
        <w:rPr>
          <w:rFonts w:ascii="Verdana" w:hAnsi="Verdana"/>
          <w:b/>
          <w:bCs/>
          <w:i/>
          <w:iCs/>
          <w:sz w:val="20"/>
          <w:szCs w:val="20"/>
        </w:rPr>
        <w:t>Article 4 du Protocol</w:t>
      </w:r>
      <w:r w:rsidR="00245A0D">
        <w:rPr>
          <w:rFonts w:ascii="Verdana" w:hAnsi="Verdana"/>
          <w:b/>
          <w:bCs/>
          <w:i/>
          <w:iCs/>
          <w:sz w:val="20"/>
          <w:szCs w:val="20"/>
        </w:rPr>
        <w:t>e</w:t>
      </w:r>
      <w:r w:rsidRPr="004A26DB">
        <w:rPr>
          <w:rFonts w:ascii="Verdana" w:hAnsi="Verdana"/>
          <w:b/>
          <w:bCs/>
          <w:i/>
          <w:iCs/>
          <w:sz w:val="20"/>
          <w:szCs w:val="20"/>
        </w:rPr>
        <w:t xml:space="preserve"> </w:t>
      </w:r>
      <w:r w:rsidR="009C1E3A">
        <w:rPr>
          <w:rFonts w:ascii="Verdana" w:hAnsi="Verdana"/>
          <w:b/>
          <w:bCs/>
          <w:i/>
          <w:iCs/>
          <w:sz w:val="20"/>
          <w:szCs w:val="20"/>
        </w:rPr>
        <w:t>a</w:t>
      </w:r>
      <w:r w:rsidRPr="004A26DB">
        <w:rPr>
          <w:rFonts w:ascii="Verdana" w:hAnsi="Verdana"/>
          <w:b/>
          <w:bCs/>
          <w:i/>
          <w:iCs/>
          <w:sz w:val="20"/>
          <w:szCs w:val="20"/>
        </w:rPr>
        <w:t>dditionnel</w:t>
      </w:r>
      <w:r w:rsidR="00A701EF">
        <w:rPr>
          <w:rFonts w:ascii="Verdana" w:hAnsi="Verdana"/>
          <w:b/>
          <w:bCs/>
          <w:i/>
          <w:iCs/>
          <w:sz w:val="20"/>
          <w:szCs w:val="20"/>
        </w:rPr>
        <w:t xml:space="preserve"> </w:t>
      </w:r>
      <w:r w:rsidR="006B24DA">
        <w:rPr>
          <w:rFonts w:ascii="Verdana" w:hAnsi="Verdana"/>
          <w:b/>
          <w:bCs/>
          <w:i/>
          <w:iCs/>
          <w:sz w:val="20"/>
          <w:szCs w:val="20"/>
        </w:rPr>
        <w:t>du 14 avril 1989</w:t>
      </w:r>
    </w:p>
    <w:p w14:paraId="72D5A6D4" w14:textId="7C71A1DC" w:rsidR="00393620" w:rsidRPr="004A26DB" w:rsidRDefault="00245A0D" w:rsidP="00B30539">
      <w:pPr>
        <w:ind w:left="567" w:right="399"/>
        <w:jc w:val="both"/>
        <w:rPr>
          <w:rFonts w:ascii="Verdana" w:hAnsi="Verdana"/>
          <w:i/>
          <w:iCs/>
          <w:sz w:val="20"/>
          <w:szCs w:val="20"/>
        </w:rPr>
      </w:pPr>
      <w:r>
        <w:rPr>
          <w:rFonts w:ascii="Verdana" w:hAnsi="Verdana"/>
          <w:i/>
          <w:iCs/>
          <w:sz w:val="20"/>
          <w:szCs w:val="20"/>
        </w:rPr>
        <w:t>« </w:t>
      </w:r>
      <w:r w:rsidR="006240A7" w:rsidRPr="004A26DB">
        <w:rPr>
          <w:rFonts w:ascii="Verdana" w:hAnsi="Verdana"/>
          <w:i/>
          <w:iCs/>
          <w:sz w:val="20"/>
          <w:szCs w:val="20"/>
        </w:rPr>
        <w:t xml:space="preserve">Lorsque des achats de biens ou de services d'un montant important qui sont strictement nécessaires à l'exercice de ses activités officielles, sont effectués par la </w:t>
      </w:r>
      <w:proofErr w:type="spellStart"/>
      <w:r w:rsidR="006240A7" w:rsidRPr="004A26DB">
        <w:rPr>
          <w:rFonts w:ascii="Verdana" w:hAnsi="Verdana"/>
          <w:i/>
          <w:iCs/>
          <w:sz w:val="20"/>
          <w:szCs w:val="20"/>
        </w:rPr>
        <w:t>COl</w:t>
      </w:r>
      <w:proofErr w:type="spellEnd"/>
      <w:r w:rsidR="006240A7" w:rsidRPr="004A26DB">
        <w:rPr>
          <w:rFonts w:ascii="Verdana" w:hAnsi="Verdana"/>
          <w:i/>
          <w:iCs/>
          <w:sz w:val="20"/>
          <w:szCs w:val="20"/>
        </w:rPr>
        <w:t xml:space="preserve"> et lorsque le prix de ces achats de biens ou de services comprend des taxes ou droits, des dispositions appropriées sont prises par les Etats membres en vue de l'exonération des taxes ou droits de cette nature ou en vue du remboursement de leur montant.</w:t>
      </w:r>
      <w:r>
        <w:rPr>
          <w:rFonts w:ascii="Verdana" w:hAnsi="Verdana"/>
          <w:i/>
          <w:iCs/>
          <w:sz w:val="20"/>
          <w:szCs w:val="20"/>
        </w:rPr>
        <w:t> »</w:t>
      </w:r>
    </w:p>
    <w:p w14:paraId="35212507" w14:textId="03F7192E" w:rsidR="006240A7" w:rsidRPr="006B24DA" w:rsidRDefault="00393620" w:rsidP="00B30539">
      <w:pPr>
        <w:ind w:left="567" w:right="399"/>
        <w:jc w:val="both"/>
        <w:rPr>
          <w:rFonts w:ascii="Verdana" w:hAnsi="Verdana"/>
          <w:b/>
          <w:bCs/>
          <w:i/>
          <w:iCs/>
          <w:sz w:val="20"/>
          <w:szCs w:val="20"/>
        </w:rPr>
      </w:pPr>
      <w:r w:rsidRPr="006B24DA">
        <w:rPr>
          <w:rFonts w:ascii="Verdana" w:hAnsi="Verdana"/>
          <w:b/>
          <w:bCs/>
          <w:i/>
          <w:iCs/>
          <w:sz w:val="20"/>
          <w:szCs w:val="20"/>
        </w:rPr>
        <w:t>Article 9 de l’Accord du siège de la COI</w:t>
      </w:r>
      <w:r w:rsidR="006B24DA" w:rsidRPr="006B24DA">
        <w:rPr>
          <w:rFonts w:ascii="Verdana" w:hAnsi="Verdana"/>
          <w:b/>
          <w:bCs/>
          <w:i/>
          <w:iCs/>
          <w:sz w:val="20"/>
          <w:szCs w:val="20"/>
        </w:rPr>
        <w:t xml:space="preserve"> du 14 avril 1989</w:t>
      </w:r>
    </w:p>
    <w:p w14:paraId="17D799EB" w14:textId="13F82F1F" w:rsidR="006240A7" w:rsidRDefault="00245A0D" w:rsidP="00B30539">
      <w:pPr>
        <w:ind w:left="567" w:right="399"/>
        <w:jc w:val="both"/>
        <w:rPr>
          <w:rFonts w:ascii="Verdana" w:hAnsi="Verdana"/>
          <w:sz w:val="20"/>
          <w:szCs w:val="20"/>
        </w:rPr>
      </w:pPr>
      <w:r>
        <w:rPr>
          <w:rFonts w:ascii="Verdana" w:hAnsi="Verdana"/>
          <w:sz w:val="20"/>
          <w:szCs w:val="20"/>
        </w:rPr>
        <w:t>« </w:t>
      </w:r>
      <w:r w:rsidR="006240A7" w:rsidRPr="004A26DB">
        <w:rPr>
          <w:rFonts w:ascii="Verdana" w:hAnsi="Verdana"/>
          <w:sz w:val="20"/>
          <w:szCs w:val="20"/>
        </w:rPr>
        <w:t xml:space="preserve">Lorsque le Secrétariat général de la COI effectue des achats importants de biens immobiliers ou mobiliers ou fait exécuter des prestations importantes, strictement nécessaires de ses activités </w:t>
      </w:r>
      <w:r w:rsidR="00393620" w:rsidRPr="004A26DB">
        <w:rPr>
          <w:rFonts w:ascii="Verdana" w:hAnsi="Verdana"/>
          <w:sz w:val="20"/>
          <w:szCs w:val="20"/>
        </w:rPr>
        <w:t>officielles dont le prix</w:t>
      </w:r>
      <w:r w:rsidR="006240A7" w:rsidRPr="004A26DB">
        <w:rPr>
          <w:rFonts w:ascii="Verdana" w:hAnsi="Verdana"/>
          <w:sz w:val="20"/>
          <w:szCs w:val="20"/>
        </w:rPr>
        <w:t xml:space="preserve"> </w:t>
      </w:r>
      <w:r w:rsidR="00393620" w:rsidRPr="004A26DB">
        <w:rPr>
          <w:rFonts w:ascii="Verdana" w:hAnsi="Verdana"/>
          <w:sz w:val="20"/>
          <w:szCs w:val="20"/>
        </w:rPr>
        <w:t xml:space="preserve">comprend des droits indirects ou des taxes à la vente, des dispositions </w:t>
      </w:r>
      <w:r w:rsidR="006240A7" w:rsidRPr="004A26DB">
        <w:rPr>
          <w:rFonts w:ascii="Verdana" w:hAnsi="Verdana"/>
          <w:sz w:val="20"/>
          <w:szCs w:val="20"/>
        </w:rPr>
        <w:t>appropriées sont prises chaque fois qu'il est possible</w:t>
      </w:r>
      <w:r w:rsidR="00A807D3">
        <w:rPr>
          <w:rFonts w:ascii="Verdana" w:hAnsi="Verdana"/>
          <w:sz w:val="20"/>
          <w:szCs w:val="20"/>
        </w:rPr>
        <w:t>,</w:t>
      </w:r>
      <w:r w:rsidR="006240A7" w:rsidRPr="004A26DB">
        <w:rPr>
          <w:rFonts w:ascii="Verdana" w:hAnsi="Verdana"/>
          <w:sz w:val="20"/>
          <w:szCs w:val="20"/>
        </w:rPr>
        <w:t xml:space="preserve"> en vue de la remise ou du remboursement du montant de ces droit </w:t>
      </w:r>
      <w:r w:rsidR="00393620" w:rsidRPr="004A26DB">
        <w:rPr>
          <w:rFonts w:ascii="Verdana" w:hAnsi="Verdana"/>
          <w:sz w:val="20"/>
          <w:szCs w:val="20"/>
        </w:rPr>
        <w:t>et taxes.</w:t>
      </w:r>
      <w:r>
        <w:rPr>
          <w:rFonts w:ascii="Verdana" w:hAnsi="Verdana"/>
          <w:sz w:val="20"/>
          <w:szCs w:val="20"/>
        </w:rPr>
        <w:t> »</w:t>
      </w:r>
    </w:p>
    <w:p w14:paraId="117D8331" w14:textId="77777777" w:rsidR="00A807D3" w:rsidRPr="004A26DB" w:rsidRDefault="00A807D3" w:rsidP="00B30539">
      <w:pPr>
        <w:ind w:left="567" w:right="399"/>
        <w:jc w:val="both"/>
        <w:rPr>
          <w:rFonts w:ascii="Verdana" w:hAnsi="Verdana"/>
          <w:sz w:val="20"/>
          <w:szCs w:val="20"/>
        </w:rPr>
      </w:pPr>
    </w:p>
    <w:p w14:paraId="3DB59E73" w14:textId="415A7FB2" w:rsidR="00584059" w:rsidRPr="004A26DB" w:rsidRDefault="00584059" w:rsidP="00954F6E">
      <w:pPr>
        <w:pStyle w:val="Sous-partie2"/>
      </w:pPr>
      <w:r w:rsidRPr="004A26DB">
        <w:t>Situation actuelle</w:t>
      </w:r>
    </w:p>
    <w:p w14:paraId="0CB2717F" w14:textId="3E491464" w:rsidR="00ED7E46" w:rsidRPr="004A26DB" w:rsidRDefault="0041653F" w:rsidP="00584059">
      <w:pPr>
        <w:ind w:right="399"/>
        <w:jc w:val="both"/>
        <w:rPr>
          <w:rFonts w:ascii="Verdana" w:hAnsi="Verdana"/>
          <w:sz w:val="20"/>
          <w:szCs w:val="20"/>
        </w:rPr>
      </w:pPr>
      <w:r>
        <w:rPr>
          <w:rFonts w:ascii="Verdana" w:hAnsi="Verdana"/>
          <w:sz w:val="20"/>
          <w:szCs w:val="20"/>
        </w:rPr>
        <w:t>La COI</w:t>
      </w:r>
      <w:r w:rsidR="000914A7" w:rsidRPr="004A26DB">
        <w:rPr>
          <w:rFonts w:ascii="Verdana" w:hAnsi="Verdana"/>
          <w:sz w:val="20"/>
          <w:szCs w:val="20"/>
        </w:rPr>
        <w:t xml:space="preserve"> gère aujourd’hui un portefeuille de projet important et appelé à augmenter </w:t>
      </w:r>
      <w:r w:rsidR="0072778A" w:rsidRPr="004A26DB">
        <w:rPr>
          <w:rFonts w:ascii="Verdana" w:hAnsi="Verdana"/>
          <w:sz w:val="20"/>
          <w:szCs w:val="20"/>
        </w:rPr>
        <w:t>au f</w:t>
      </w:r>
      <w:r w:rsidR="002710DF" w:rsidRPr="004A26DB">
        <w:rPr>
          <w:rFonts w:ascii="Verdana" w:hAnsi="Verdana"/>
          <w:sz w:val="20"/>
          <w:szCs w:val="20"/>
        </w:rPr>
        <w:t>il</w:t>
      </w:r>
      <w:r w:rsidR="0072778A" w:rsidRPr="004A26DB">
        <w:rPr>
          <w:rFonts w:ascii="Verdana" w:hAnsi="Verdana"/>
          <w:sz w:val="20"/>
          <w:szCs w:val="20"/>
        </w:rPr>
        <w:t xml:space="preserve"> des </w:t>
      </w:r>
      <w:r w:rsidR="002710DF" w:rsidRPr="004A26DB">
        <w:rPr>
          <w:rFonts w:ascii="Verdana" w:hAnsi="Verdana"/>
          <w:sz w:val="20"/>
          <w:szCs w:val="20"/>
        </w:rPr>
        <w:t>années</w:t>
      </w:r>
      <w:r w:rsidR="00245A0D">
        <w:rPr>
          <w:rFonts w:ascii="Verdana" w:hAnsi="Verdana"/>
          <w:sz w:val="20"/>
          <w:szCs w:val="20"/>
        </w:rPr>
        <w:t>,</w:t>
      </w:r>
      <w:r w:rsidR="002710DF" w:rsidRPr="004A26DB">
        <w:rPr>
          <w:rFonts w:ascii="Verdana" w:hAnsi="Verdana"/>
          <w:sz w:val="20"/>
          <w:szCs w:val="20"/>
        </w:rPr>
        <w:t xml:space="preserve"> </w:t>
      </w:r>
      <w:r w:rsidR="000914A7" w:rsidRPr="004A26DB">
        <w:rPr>
          <w:rFonts w:ascii="Verdana" w:hAnsi="Verdana"/>
          <w:sz w:val="20"/>
          <w:szCs w:val="20"/>
        </w:rPr>
        <w:t xml:space="preserve">avec </w:t>
      </w:r>
      <w:r w:rsidR="006B24DA" w:rsidRPr="004A26DB">
        <w:rPr>
          <w:rFonts w:ascii="Verdana" w:hAnsi="Verdana"/>
          <w:sz w:val="20"/>
          <w:szCs w:val="20"/>
        </w:rPr>
        <w:t>des budgets substantiels</w:t>
      </w:r>
      <w:r w:rsidR="000914A7" w:rsidRPr="004A26DB">
        <w:rPr>
          <w:rFonts w:ascii="Verdana" w:hAnsi="Verdana"/>
          <w:sz w:val="20"/>
          <w:szCs w:val="20"/>
        </w:rPr>
        <w:t xml:space="preserve"> </w:t>
      </w:r>
      <w:r w:rsidR="0072778A" w:rsidRPr="004A26DB">
        <w:rPr>
          <w:rFonts w:ascii="Verdana" w:hAnsi="Verdana"/>
          <w:sz w:val="20"/>
          <w:szCs w:val="20"/>
        </w:rPr>
        <w:t xml:space="preserve">destinés aux pays </w:t>
      </w:r>
      <w:r w:rsidR="000914A7" w:rsidRPr="004A26DB">
        <w:rPr>
          <w:rFonts w:ascii="Verdana" w:hAnsi="Verdana"/>
          <w:sz w:val="20"/>
          <w:szCs w:val="20"/>
        </w:rPr>
        <w:t xml:space="preserve">pour </w:t>
      </w:r>
      <w:r w:rsidR="002E4110">
        <w:rPr>
          <w:rFonts w:ascii="Verdana" w:hAnsi="Verdana"/>
          <w:sz w:val="20"/>
          <w:szCs w:val="20"/>
        </w:rPr>
        <w:t xml:space="preserve">l’acquisition </w:t>
      </w:r>
      <w:r w:rsidR="006B24DA" w:rsidRPr="004A26DB">
        <w:rPr>
          <w:rFonts w:ascii="Verdana" w:hAnsi="Verdana"/>
          <w:sz w:val="20"/>
          <w:szCs w:val="20"/>
        </w:rPr>
        <w:t>d</w:t>
      </w:r>
      <w:r w:rsidR="006B24DA">
        <w:rPr>
          <w:rFonts w:ascii="Verdana" w:hAnsi="Verdana"/>
          <w:sz w:val="20"/>
          <w:szCs w:val="20"/>
        </w:rPr>
        <w:t>’</w:t>
      </w:r>
      <w:r w:rsidR="006B24DA" w:rsidRPr="004A26DB">
        <w:rPr>
          <w:rFonts w:ascii="Verdana" w:hAnsi="Verdana"/>
          <w:sz w:val="20"/>
          <w:szCs w:val="20"/>
        </w:rPr>
        <w:t>équipements</w:t>
      </w:r>
      <w:r w:rsidR="000914A7" w:rsidRPr="004A26DB">
        <w:rPr>
          <w:rFonts w:ascii="Verdana" w:hAnsi="Verdana"/>
          <w:sz w:val="20"/>
          <w:szCs w:val="20"/>
        </w:rPr>
        <w:t xml:space="preserve"> et matériels</w:t>
      </w:r>
      <w:r w:rsidR="00A807D3">
        <w:rPr>
          <w:rFonts w:ascii="Verdana" w:hAnsi="Verdana"/>
          <w:sz w:val="20"/>
          <w:szCs w:val="20"/>
        </w:rPr>
        <w:t>,</w:t>
      </w:r>
      <w:r w:rsidR="000914A7" w:rsidRPr="004A26DB">
        <w:rPr>
          <w:rFonts w:ascii="Verdana" w:hAnsi="Verdana"/>
          <w:sz w:val="20"/>
          <w:szCs w:val="20"/>
        </w:rPr>
        <w:t xml:space="preserve"> à l’instar d</w:t>
      </w:r>
      <w:r w:rsidR="00A807D3">
        <w:rPr>
          <w:rFonts w:ascii="Verdana" w:hAnsi="Verdana"/>
          <w:sz w:val="20"/>
          <w:szCs w:val="20"/>
        </w:rPr>
        <w:t>es</w:t>
      </w:r>
      <w:r w:rsidR="000914A7" w:rsidRPr="004A26DB">
        <w:rPr>
          <w:rFonts w:ascii="Verdana" w:hAnsi="Verdana"/>
          <w:sz w:val="20"/>
          <w:szCs w:val="20"/>
        </w:rPr>
        <w:t xml:space="preserve"> projet</w:t>
      </w:r>
      <w:r w:rsidR="00A807D3">
        <w:rPr>
          <w:rFonts w:ascii="Verdana" w:hAnsi="Verdana"/>
          <w:sz w:val="20"/>
          <w:szCs w:val="20"/>
        </w:rPr>
        <w:t>s</w:t>
      </w:r>
      <w:r w:rsidR="000914A7" w:rsidRPr="004A26DB">
        <w:rPr>
          <w:rFonts w:ascii="Verdana" w:hAnsi="Verdana"/>
          <w:sz w:val="20"/>
          <w:szCs w:val="20"/>
        </w:rPr>
        <w:t xml:space="preserve"> </w:t>
      </w:r>
      <w:r w:rsidR="00245A0D" w:rsidRPr="006B24DA">
        <w:rPr>
          <w:rFonts w:ascii="Verdana" w:hAnsi="Verdana"/>
          <w:sz w:val="20"/>
          <w:szCs w:val="20"/>
        </w:rPr>
        <w:t>Hydromet</w:t>
      </w:r>
      <w:r w:rsidR="00A807D3">
        <w:rPr>
          <w:rFonts w:ascii="Verdana" w:hAnsi="Verdana"/>
          <w:sz w:val="20"/>
          <w:szCs w:val="20"/>
        </w:rPr>
        <w:t xml:space="preserve"> et</w:t>
      </w:r>
      <w:r w:rsidR="000914A7" w:rsidRPr="004A26DB">
        <w:rPr>
          <w:rFonts w:ascii="Verdana" w:hAnsi="Verdana"/>
          <w:sz w:val="20"/>
          <w:szCs w:val="20"/>
        </w:rPr>
        <w:t xml:space="preserve"> </w:t>
      </w:r>
      <w:r w:rsidR="00A807D3">
        <w:rPr>
          <w:rFonts w:ascii="Verdana" w:hAnsi="Verdana"/>
          <w:sz w:val="20"/>
          <w:szCs w:val="20"/>
        </w:rPr>
        <w:t xml:space="preserve">PSP « Sécurité </w:t>
      </w:r>
      <w:r w:rsidR="00A807D3">
        <w:rPr>
          <w:rFonts w:ascii="Verdana" w:hAnsi="Verdana"/>
          <w:sz w:val="20"/>
          <w:szCs w:val="20"/>
        </w:rPr>
        <w:lastRenderedPageBreak/>
        <w:t>portuaire »</w:t>
      </w:r>
      <w:r>
        <w:rPr>
          <w:rFonts w:ascii="Verdana" w:hAnsi="Verdana"/>
          <w:sz w:val="20"/>
          <w:szCs w:val="20"/>
        </w:rPr>
        <w:t>. Or, la non-application de l’article 4 du Protocole additionnel entraîne un risque – déjà avéré dans le passé - de</w:t>
      </w:r>
      <w:r w:rsidR="00CA4892" w:rsidRPr="004A26DB">
        <w:rPr>
          <w:rFonts w:ascii="Verdana" w:hAnsi="Verdana"/>
          <w:sz w:val="20"/>
          <w:szCs w:val="20"/>
        </w:rPr>
        <w:t xml:space="preserve"> </w:t>
      </w:r>
      <w:r>
        <w:rPr>
          <w:rFonts w:ascii="Verdana" w:hAnsi="Verdana"/>
          <w:sz w:val="20"/>
          <w:szCs w:val="20"/>
        </w:rPr>
        <w:t>dépenses</w:t>
      </w:r>
      <w:r w:rsidR="00CA4892" w:rsidRPr="004A26DB">
        <w:rPr>
          <w:rFonts w:ascii="Verdana" w:hAnsi="Verdana"/>
          <w:sz w:val="20"/>
          <w:szCs w:val="20"/>
        </w:rPr>
        <w:t xml:space="preserve"> inéligibles lié</w:t>
      </w:r>
      <w:r>
        <w:rPr>
          <w:rFonts w:ascii="Verdana" w:hAnsi="Verdana"/>
          <w:sz w:val="20"/>
          <w:szCs w:val="20"/>
        </w:rPr>
        <w:t>e</w:t>
      </w:r>
      <w:r w:rsidR="00CA4892" w:rsidRPr="004A26DB">
        <w:rPr>
          <w:rFonts w:ascii="Verdana" w:hAnsi="Verdana"/>
          <w:sz w:val="20"/>
          <w:szCs w:val="20"/>
        </w:rPr>
        <w:t>s à des taxes imposées à l’achat</w:t>
      </w:r>
      <w:r w:rsidR="000914A7" w:rsidRPr="004A26DB">
        <w:rPr>
          <w:rFonts w:ascii="Verdana" w:hAnsi="Verdana"/>
          <w:sz w:val="20"/>
          <w:szCs w:val="20"/>
        </w:rPr>
        <w:t>.</w:t>
      </w:r>
      <w:r w:rsidR="0072778A" w:rsidRPr="004A26DB">
        <w:rPr>
          <w:rFonts w:ascii="Verdana" w:hAnsi="Verdana"/>
          <w:sz w:val="20"/>
          <w:szCs w:val="20"/>
        </w:rPr>
        <w:t xml:space="preserve"> </w:t>
      </w:r>
      <w:r>
        <w:rPr>
          <w:rFonts w:ascii="Verdana" w:hAnsi="Verdana"/>
          <w:sz w:val="20"/>
          <w:szCs w:val="20"/>
        </w:rPr>
        <w:t>De plus, les Conventions de financement signées par la COI, après approbation des instances décisionnelles, intègrent des clauses stipulant que le financement du bailleur ne peut être sujet au paiement des taxes résultant de l’achat de bien ou du recours à des services dans le cadre du projet. De fait, l</w:t>
      </w:r>
      <w:r w:rsidR="0072778A" w:rsidRPr="004A26DB">
        <w:rPr>
          <w:rFonts w:ascii="Verdana" w:hAnsi="Verdana"/>
          <w:sz w:val="20"/>
          <w:szCs w:val="20"/>
        </w:rPr>
        <w:t>es équipements</w:t>
      </w:r>
      <w:r w:rsidR="00CA4892" w:rsidRPr="004A26DB">
        <w:rPr>
          <w:rFonts w:ascii="Verdana" w:hAnsi="Verdana"/>
          <w:sz w:val="20"/>
          <w:szCs w:val="20"/>
        </w:rPr>
        <w:t xml:space="preserve"> </w:t>
      </w:r>
      <w:r>
        <w:rPr>
          <w:rFonts w:ascii="Verdana" w:hAnsi="Verdana"/>
          <w:sz w:val="20"/>
          <w:szCs w:val="20"/>
        </w:rPr>
        <w:t>qui seront acquis au bénéfice des Etats membres dans le cadre des activités de la COI</w:t>
      </w:r>
      <w:r w:rsidR="00CA4892" w:rsidRPr="004A26DB">
        <w:rPr>
          <w:rFonts w:ascii="Verdana" w:hAnsi="Verdana"/>
          <w:sz w:val="20"/>
          <w:szCs w:val="20"/>
        </w:rPr>
        <w:t xml:space="preserve"> devront être acheté</w:t>
      </w:r>
      <w:r>
        <w:rPr>
          <w:rFonts w:ascii="Verdana" w:hAnsi="Verdana"/>
          <w:sz w:val="20"/>
          <w:szCs w:val="20"/>
        </w:rPr>
        <w:t>s</w:t>
      </w:r>
      <w:r w:rsidR="00CA4892" w:rsidRPr="004A26DB">
        <w:rPr>
          <w:rFonts w:ascii="Verdana" w:hAnsi="Verdana"/>
          <w:sz w:val="20"/>
          <w:szCs w:val="20"/>
        </w:rPr>
        <w:t xml:space="preserve"> </w:t>
      </w:r>
      <w:r w:rsidR="0072778A" w:rsidRPr="004A26DB">
        <w:rPr>
          <w:rFonts w:ascii="Verdana" w:hAnsi="Verdana"/>
          <w:sz w:val="20"/>
          <w:szCs w:val="20"/>
        </w:rPr>
        <w:t>et livré</w:t>
      </w:r>
      <w:r>
        <w:rPr>
          <w:rFonts w:ascii="Verdana" w:hAnsi="Verdana"/>
          <w:sz w:val="20"/>
          <w:szCs w:val="20"/>
        </w:rPr>
        <w:t>s</w:t>
      </w:r>
      <w:r w:rsidR="0072778A" w:rsidRPr="004A26DB">
        <w:rPr>
          <w:rFonts w:ascii="Verdana" w:hAnsi="Verdana"/>
          <w:sz w:val="20"/>
          <w:szCs w:val="20"/>
        </w:rPr>
        <w:t xml:space="preserve"> en hors taxe dans les pays.</w:t>
      </w:r>
    </w:p>
    <w:p w14:paraId="7FD0E558" w14:textId="14A026FC" w:rsidR="0072778A" w:rsidRPr="004A26DB" w:rsidRDefault="0072778A" w:rsidP="00556324">
      <w:pPr>
        <w:ind w:right="399"/>
        <w:jc w:val="both"/>
        <w:rPr>
          <w:rFonts w:ascii="Verdana" w:hAnsi="Verdana"/>
          <w:sz w:val="20"/>
          <w:szCs w:val="20"/>
        </w:rPr>
      </w:pPr>
      <w:r w:rsidRPr="004A26DB">
        <w:rPr>
          <w:rFonts w:ascii="Verdana" w:hAnsi="Verdana"/>
          <w:sz w:val="20"/>
          <w:szCs w:val="20"/>
        </w:rPr>
        <w:t>En outre, dans le cadre de la mise en œuvre de</w:t>
      </w:r>
      <w:r w:rsidR="002710DF" w:rsidRPr="004A26DB">
        <w:rPr>
          <w:rFonts w:ascii="Verdana" w:hAnsi="Verdana"/>
          <w:sz w:val="20"/>
          <w:szCs w:val="20"/>
        </w:rPr>
        <w:t xml:space="preserve"> ses</w:t>
      </w:r>
      <w:r w:rsidRPr="004A26DB">
        <w:rPr>
          <w:rFonts w:ascii="Verdana" w:hAnsi="Verdana"/>
          <w:sz w:val="20"/>
          <w:szCs w:val="20"/>
        </w:rPr>
        <w:t xml:space="preserve"> activités dans chacun des pays</w:t>
      </w:r>
      <w:r w:rsidRPr="004A26DB">
        <w:rPr>
          <w:rFonts w:ascii="Verdana" w:hAnsi="Verdana"/>
          <w:sz w:val="20"/>
          <w:szCs w:val="20"/>
        </w:rPr>
        <w:tab/>
        <w:t xml:space="preserve"> membres, la COI est facturé</w:t>
      </w:r>
      <w:r w:rsidR="0041653F">
        <w:rPr>
          <w:rFonts w:ascii="Verdana" w:hAnsi="Verdana"/>
          <w:sz w:val="20"/>
          <w:szCs w:val="20"/>
        </w:rPr>
        <w:t>e</w:t>
      </w:r>
      <w:r w:rsidRPr="004A26DB">
        <w:rPr>
          <w:rFonts w:ascii="Verdana" w:hAnsi="Verdana"/>
          <w:sz w:val="20"/>
          <w:szCs w:val="20"/>
        </w:rPr>
        <w:t xml:space="preserve"> de la TVA sur les achats locaux, taxe qui n’est pas éligible pour </w:t>
      </w:r>
      <w:r w:rsidR="00CA4892" w:rsidRPr="004A26DB">
        <w:rPr>
          <w:rFonts w:ascii="Verdana" w:hAnsi="Verdana"/>
          <w:sz w:val="20"/>
          <w:szCs w:val="20"/>
        </w:rPr>
        <w:t>l’ensemble d</w:t>
      </w:r>
      <w:r w:rsidRPr="004A26DB">
        <w:rPr>
          <w:rFonts w:ascii="Verdana" w:hAnsi="Verdana"/>
          <w:sz w:val="20"/>
          <w:szCs w:val="20"/>
        </w:rPr>
        <w:t>es bailleurs de fonds.</w:t>
      </w:r>
      <w:r w:rsidR="002710DF" w:rsidRPr="004A26DB">
        <w:rPr>
          <w:rFonts w:ascii="Verdana" w:hAnsi="Verdana"/>
          <w:sz w:val="20"/>
          <w:szCs w:val="20"/>
        </w:rPr>
        <w:t xml:space="preserve"> </w:t>
      </w:r>
    </w:p>
    <w:p w14:paraId="50B7B8CF" w14:textId="01AC02DF" w:rsidR="00043D3B" w:rsidRPr="004A26DB" w:rsidRDefault="00043D3B" w:rsidP="00584059">
      <w:pPr>
        <w:ind w:right="399"/>
        <w:jc w:val="both"/>
        <w:rPr>
          <w:rFonts w:ascii="Verdana" w:hAnsi="Verdana"/>
          <w:sz w:val="20"/>
          <w:szCs w:val="20"/>
        </w:rPr>
      </w:pPr>
      <w:r w:rsidRPr="004A26DB">
        <w:rPr>
          <w:rFonts w:ascii="Verdana" w:hAnsi="Verdana"/>
          <w:sz w:val="20"/>
          <w:szCs w:val="20"/>
        </w:rPr>
        <w:t xml:space="preserve">Les auditeurs </w:t>
      </w:r>
      <w:r w:rsidR="005B7B74" w:rsidRPr="005B7B74">
        <w:rPr>
          <w:rFonts w:ascii="Verdana" w:hAnsi="Verdana"/>
          <w:sz w:val="20"/>
          <w:szCs w:val="20"/>
        </w:rPr>
        <w:t>qualifient</w:t>
      </w:r>
      <w:r w:rsidRPr="004A26DB">
        <w:rPr>
          <w:rFonts w:ascii="Verdana" w:hAnsi="Verdana"/>
          <w:sz w:val="20"/>
          <w:szCs w:val="20"/>
        </w:rPr>
        <w:t xml:space="preserve"> systématiquement</w:t>
      </w:r>
      <w:r w:rsidR="002E4110">
        <w:rPr>
          <w:rFonts w:ascii="Verdana" w:hAnsi="Verdana"/>
          <w:sz w:val="20"/>
          <w:szCs w:val="20"/>
        </w:rPr>
        <w:t>,</w:t>
      </w:r>
      <w:r w:rsidRPr="004A26DB">
        <w:rPr>
          <w:rFonts w:ascii="Verdana" w:hAnsi="Verdana"/>
          <w:sz w:val="20"/>
          <w:szCs w:val="20"/>
        </w:rPr>
        <w:t xml:space="preserve"> dans les rapports d’audit</w:t>
      </w:r>
      <w:r w:rsidR="002E4110">
        <w:rPr>
          <w:rFonts w:ascii="Verdana" w:hAnsi="Verdana"/>
          <w:sz w:val="20"/>
          <w:szCs w:val="20"/>
        </w:rPr>
        <w:t>,</w:t>
      </w:r>
      <w:r w:rsidRPr="004A26DB">
        <w:rPr>
          <w:rFonts w:ascii="Verdana" w:hAnsi="Verdana"/>
          <w:sz w:val="20"/>
          <w:szCs w:val="20"/>
        </w:rPr>
        <w:t xml:space="preserve"> ces taxes </w:t>
      </w:r>
      <w:r w:rsidR="002E4110">
        <w:rPr>
          <w:rFonts w:ascii="Verdana" w:hAnsi="Verdana"/>
          <w:sz w:val="20"/>
          <w:szCs w:val="20"/>
        </w:rPr>
        <w:t>d’</w:t>
      </w:r>
      <w:r w:rsidRPr="004A26DB">
        <w:rPr>
          <w:rFonts w:ascii="Verdana" w:hAnsi="Verdana"/>
          <w:sz w:val="20"/>
          <w:szCs w:val="20"/>
        </w:rPr>
        <w:t>inéligibles et</w:t>
      </w:r>
      <w:r w:rsidR="002E4110">
        <w:rPr>
          <w:rFonts w:ascii="Verdana" w:hAnsi="Verdana"/>
          <w:sz w:val="20"/>
          <w:szCs w:val="20"/>
        </w:rPr>
        <w:t>,</w:t>
      </w:r>
      <w:r w:rsidRPr="004A26DB">
        <w:rPr>
          <w:rFonts w:ascii="Verdana" w:hAnsi="Verdana"/>
          <w:sz w:val="20"/>
          <w:szCs w:val="20"/>
        </w:rPr>
        <w:t xml:space="preserve"> de plus, il</w:t>
      </w:r>
      <w:r w:rsidR="002E4110">
        <w:rPr>
          <w:rFonts w:ascii="Verdana" w:hAnsi="Verdana"/>
          <w:sz w:val="20"/>
          <w:szCs w:val="20"/>
        </w:rPr>
        <w:t>s</w:t>
      </w:r>
      <w:r w:rsidRPr="004A26DB">
        <w:rPr>
          <w:rFonts w:ascii="Verdana" w:hAnsi="Verdana"/>
          <w:sz w:val="20"/>
          <w:szCs w:val="20"/>
        </w:rPr>
        <w:t xml:space="preserve"> </w:t>
      </w:r>
      <w:r w:rsidR="00CA4892" w:rsidRPr="004A26DB">
        <w:rPr>
          <w:rFonts w:ascii="Verdana" w:hAnsi="Verdana"/>
          <w:sz w:val="20"/>
          <w:szCs w:val="20"/>
        </w:rPr>
        <w:t>ne trouve</w:t>
      </w:r>
      <w:r w:rsidR="002E4110">
        <w:rPr>
          <w:rFonts w:ascii="Verdana" w:hAnsi="Verdana"/>
          <w:sz w:val="20"/>
          <w:szCs w:val="20"/>
        </w:rPr>
        <w:t>nt</w:t>
      </w:r>
      <w:r w:rsidRPr="004A26DB">
        <w:rPr>
          <w:rFonts w:ascii="Verdana" w:hAnsi="Verdana"/>
          <w:sz w:val="20"/>
          <w:szCs w:val="20"/>
        </w:rPr>
        <w:t xml:space="preserve"> aucune preuve ou document qui indique que la COI </w:t>
      </w:r>
      <w:r w:rsidR="002E4110">
        <w:rPr>
          <w:rFonts w:ascii="Verdana" w:hAnsi="Verdana"/>
          <w:sz w:val="20"/>
          <w:szCs w:val="20"/>
        </w:rPr>
        <w:t>a consulté</w:t>
      </w:r>
      <w:r w:rsidRPr="004A26DB">
        <w:rPr>
          <w:rFonts w:ascii="Verdana" w:hAnsi="Verdana"/>
          <w:sz w:val="20"/>
          <w:szCs w:val="20"/>
        </w:rPr>
        <w:t xml:space="preserve"> les Etats membres concernés pour obtenir le remboursement de la TVA</w:t>
      </w:r>
      <w:r w:rsidR="0041653F">
        <w:rPr>
          <w:rFonts w:ascii="Verdana" w:hAnsi="Verdana"/>
          <w:sz w:val="20"/>
          <w:szCs w:val="20"/>
        </w:rPr>
        <w:t xml:space="preserve"> du fait de l’absence de modalités convenues à cet effet. </w:t>
      </w:r>
      <w:r w:rsidR="00D17991" w:rsidRPr="004A26DB">
        <w:rPr>
          <w:rFonts w:ascii="Verdana" w:hAnsi="Verdana"/>
          <w:sz w:val="20"/>
          <w:szCs w:val="20"/>
        </w:rPr>
        <w:t>Maurice</w:t>
      </w:r>
      <w:r w:rsidR="005003F8">
        <w:rPr>
          <w:rFonts w:ascii="Verdana" w:hAnsi="Verdana"/>
          <w:sz w:val="20"/>
          <w:szCs w:val="20"/>
        </w:rPr>
        <w:t>,</w:t>
      </w:r>
      <w:r w:rsidR="00D17991" w:rsidRPr="004A26DB">
        <w:rPr>
          <w:rFonts w:ascii="Verdana" w:hAnsi="Verdana"/>
          <w:sz w:val="20"/>
          <w:szCs w:val="20"/>
        </w:rPr>
        <w:t xml:space="preserve"> qui est pays du Siège de la COI</w:t>
      </w:r>
      <w:r w:rsidR="005003F8">
        <w:rPr>
          <w:rFonts w:ascii="Verdana" w:hAnsi="Verdana"/>
          <w:sz w:val="20"/>
          <w:szCs w:val="20"/>
        </w:rPr>
        <w:t>,</w:t>
      </w:r>
      <w:r w:rsidR="00D17991" w:rsidRPr="004A26DB">
        <w:rPr>
          <w:rFonts w:ascii="Verdana" w:hAnsi="Verdana"/>
          <w:sz w:val="20"/>
          <w:szCs w:val="20"/>
        </w:rPr>
        <w:t xml:space="preserve"> a pu </w:t>
      </w:r>
      <w:r w:rsidR="00CA4892" w:rsidRPr="004A26DB">
        <w:rPr>
          <w:rFonts w:ascii="Verdana" w:hAnsi="Verdana"/>
          <w:sz w:val="20"/>
          <w:szCs w:val="20"/>
        </w:rPr>
        <w:t xml:space="preserve">cependant </w:t>
      </w:r>
      <w:r w:rsidR="00D17991" w:rsidRPr="004A26DB">
        <w:rPr>
          <w:rFonts w:ascii="Verdana" w:hAnsi="Verdana"/>
          <w:sz w:val="20"/>
          <w:szCs w:val="20"/>
        </w:rPr>
        <w:t>mettre en place pour la COI, des modalités de remboursement de la TVA et également des modalités pour faciliter et exempt</w:t>
      </w:r>
      <w:r w:rsidR="0041653F">
        <w:rPr>
          <w:rFonts w:ascii="Verdana" w:hAnsi="Verdana"/>
          <w:sz w:val="20"/>
          <w:szCs w:val="20"/>
        </w:rPr>
        <w:t>er</w:t>
      </w:r>
      <w:r w:rsidR="00D17991" w:rsidRPr="004A26DB">
        <w:rPr>
          <w:rFonts w:ascii="Verdana" w:hAnsi="Verdana"/>
          <w:sz w:val="20"/>
          <w:szCs w:val="20"/>
        </w:rPr>
        <w:t xml:space="preserve"> les droits et taxes à l’importation.</w:t>
      </w:r>
    </w:p>
    <w:p w14:paraId="5CDD0589" w14:textId="4E875E39" w:rsidR="001F5AC6" w:rsidRPr="004A26DB" w:rsidRDefault="00161D0A" w:rsidP="00584059">
      <w:pPr>
        <w:ind w:right="399"/>
        <w:jc w:val="both"/>
        <w:rPr>
          <w:rFonts w:ascii="Verdana" w:hAnsi="Verdana"/>
          <w:sz w:val="20"/>
          <w:szCs w:val="20"/>
        </w:rPr>
      </w:pPr>
      <w:r>
        <w:rPr>
          <w:rFonts w:ascii="Verdana" w:hAnsi="Verdana"/>
          <w:sz w:val="20"/>
          <w:szCs w:val="20"/>
        </w:rPr>
        <w:t>L</w:t>
      </w:r>
      <w:r w:rsidR="00AC03EF">
        <w:rPr>
          <w:rFonts w:ascii="Verdana" w:hAnsi="Verdana"/>
          <w:sz w:val="20"/>
          <w:szCs w:val="20"/>
        </w:rPr>
        <w:t xml:space="preserve">a nécessité se fait sentir, pour les Etats, de mettre en place </w:t>
      </w:r>
      <w:r w:rsidR="007D47C7">
        <w:rPr>
          <w:rFonts w:ascii="Verdana" w:hAnsi="Verdana"/>
          <w:sz w:val="20"/>
          <w:szCs w:val="20"/>
        </w:rPr>
        <w:t xml:space="preserve">ou appliquer </w:t>
      </w:r>
      <w:r w:rsidR="00AC03EF">
        <w:rPr>
          <w:rFonts w:ascii="Verdana" w:hAnsi="Verdana"/>
          <w:sz w:val="20"/>
          <w:szCs w:val="20"/>
        </w:rPr>
        <w:t xml:space="preserve">des dispositifs ou des procédures </w:t>
      </w:r>
      <w:r w:rsidR="007D47C7">
        <w:rPr>
          <w:rFonts w:ascii="Verdana" w:hAnsi="Verdana"/>
          <w:sz w:val="20"/>
          <w:szCs w:val="20"/>
        </w:rPr>
        <w:t>d’exemption de ces taxes au niveau national/local</w:t>
      </w:r>
      <w:r w:rsidR="00A701EF">
        <w:rPr>
          <w:rFonts w:ascii="Verdana" w:hAnsi="Verdana"/>
          <w:sz w:val="20"/>
          <w:szCs w:val="20"/>
        </w:rPr>
        <w:t xml:space="preserve">, </w:t>
      </w:r>
      <w:r w:rsidR="0041653F">
        <w:rPr>
          <w:rFonts w:ascii="Verdana" w:hAnsi="Verdana"/>
          <w:sz w:val="20"/>
          <w:szCs w:val="20"/>
        </w:rPr>
        <w:t>en complément d</w:t>
      </w:r>
      <w:r w:rsidR="00A701EF">
        <w:rPr>
          <w:rFonts w:ascii="Verdana" w:hAnsi="Verdana"/>
          <w:sz w:val="20"/>
          <w:szCs w:val="20"/>
        </w:rPr>
        <w:t xml:space="preserve">es </w:t>
      </w:r>
      <w:r w:rsidR="00BB689A">
        <w:rPr>
          <w:rFonts w:ascii="Verdana" w:hAnsi="Verdana"/>
          <w:sz w:val="20"/>
          <w:szCs w:val="20"/>
        </w:rPr>
        <w:t>dispositions</w:t>
      </w:r>
      <w:r w:rsidR="00A701EF">
        <w:rPr>
          <w:rFonts w:ascii="Verdana" w:hAnsi="Verdana"/>
          <w:sz w:val="20"/>
          <w:szCs w:val="20"/>
        </w:rPr>
        <w:t xml:space="preserve"> </w:t>
      </w:r>
      <w:r w:rsidR="00B873EB">
        <w:rPr>
          <w:rFonts w:ascii="Verdana" w:hAnsi="Verdana"/>
          <w:sz w:val="20"/>
          <w:szCs w:val="20"/>
        </w:rPr>
        <w:t xml:space="preserve">portant sur les exonérations et exemptions </w:t>
      </w:r>
      <w:r w:rsidR="00253163">
        <w:rPr>
          <w:rFonts w:ascii="Verdana" w:hAnsi="Verdana"/>
          <w:sz w:val="20"/>
          <w:szCs w:val="20"/>
        </w:rPr>
        <w:t>dans les</w:t>
      </w:r>
      <w:r w:rsidR="00A701EF">
        <w:rPr>
          <w:rFonts w:ascii="Verdana" w:hAnsi="Verdana"/>
          <w:sz w:val="20"/>
          <w:szCs w:val="20"/>
        </w:rPr>
        <w:t xml:space="preserve"> </w:t>
      </w:r>
      <w:r w:rsidR="00B873EB">
        <w:rPr>
          <w:rFonts w:ascii="Verdana" w:hAnsi="Verdana"/>
          <w:sz w:val="20"/>
          <w:szCs w:val="20"/>
        </w:rPr>
        <w:t xml:space="preserve">différents </w:t>
      </w:r>
      <w:r w:rsidR="00BB689A">
        <w:rPr>
          <w:rFonts w:ascii="Verdana" w:hAnsi="Verdana"/>
          <w:sz w:val="20"/>
          <w:szCs w:val="20"/>
        </w:rPr>
        <w:t>accords de siège</w:t>
      </w:r>
      <w:r w:rsidR="00B873EB">
        <w:rPr>
          <w:rFonts w:ascii="Verdana" w:hAnsi="Verdana"/>
          <w:sz w:val="20"/>
          <w:szCs w:val="20"/>
        </w:rPr>
        <w:t xml:space="preserve"> signés entre la COI et les Etats hébergeant ces unités et/ou centres existants</w:t>
      </w:r>
      <w:r w:rsidR="00253163">
        <w:rPr>
          <w:rFonts w:ascii="Verdana" w:hAnsi="Verdana"/>
          <w:sz w:val="20"/>
          <w:szCs w:val="20"/>
        </w:rPr>
        <w:t>.</w:t>
      </w:r>
    </w:p>
    <w:p w14:paraId="5C7857BB" w14:textId="77777777" w:rsidR="00CA4892" w:rsidRPr="001E26ED" w:rsidRDefault="00CA4892" w:rsidP="00CA4892">
      <w:pPr>
        <w:pStyle w:val="Paragraphe"/>
        <w:ind w:left="284"/>
        <w:rPr>
          <w:b/>
          <w:bCs/>
          <w:color w:val="000000" w:themeColor="text1"/>
          <w:sz w:val="8"/>
          <w:szCs w:val="8"/>
        </w:rPr>
      </w:pPr>
    </w:p>
    <w:p w14:paraId="3AB7754B" w14:textId="3DE63121" w:rsidR="00CA4892" w:rsidRPr="005B7B74" w:rsidRDefault="00503451" w:rsidP="00954F6E">
      <w:pPr>
        <w:pStyle w:val="Titrepartie"/>
      </w:pPr>
      <w:r w:rsidRPr="005B7B74">
        <w:t>Espaces bureau pour le Secrétariat général</w:t>
      </w:r>
    </w:p>
    <w:p w14:paraId="16A54DE8" w14:textId="57A56020" w:rsidR="0041653F" w:rsidRPr="005B7B74" w:rsidRDefault="0041653F" w:rsidP="00954F6E">
      <w:pPr>
        <w:pStyle w:val="Sous-partie2"/>
      </w:pPr>
      <w:r w:rsidRPr="005B7B74">
        <w:t>Contexte</w:t>
      </w:r>
    </w:p>
    <w:p w14:paraId="4BBA1794" w14:textId="589671EB" w:rsidR="0078104E" w:rsidRDefault="0078104E" w:rsidP="00503451">
      <w:pPr>
        <w:ind w:right="399"/>
        <w:jc w:val="both"/>
        <w:rPr>
          <w:rFonts w:ascii="Verdana" w:hAnsi="Verdana"/>
          <w:sz w:val="20"/>
          <w:szCs w:val="20"/>
        </w:rPr>
      </w:pPr>
      <w:r w:rsidRPr="004A26DB">
        <w:rPr>
          <w:rFonts w:ascii="Verdana" w:hAnsi="Verdana"/>
          <w:sz w:val="20"/>
          <w:szCs w:val="20"/>
        </w:rPr>
        <w:t>Durant l’année 2024, il est prévu d’</w:t>
      </w:r>
      <w:r w:rsidR="005B7B74" w:rsidRPr="004A26DB">
        <w:rPr>
          <w:rFonts w:ascii="Verdana" w:hAnsi="Verdana"/>
          <w:sz w:val="20"/>
          <w:szCs w:val="20"/>
        </w:rPr>
        <w:t>accueillir</w:t>
      </w:r>
      <w:r w:rsidRPr="004A26DB">
        <w:rPr>
          <w:rFonts w:ascii="Verdana" w:hAnsi="Verdana"/>
          <w:sz w:val="20"/>
          <w:szCs w:val="20"/>
        </w:rPr>
        <w:t xml:space="preserve"> environ une trentaine de personnes </w:t>
      </w:r>
      <w:r w:rsidR="00143E20" w:rsidRPr="004A26DB">
        <w:rPr>
          <w:rFonts w:ascii="Verdana" w:hAnsi="Verdana"/>
          <w:sz w:val="20"/>
          <w:szCs w:val="20"/>
        </w:rPr>
        <w:t xml:space="preserve">qui seront recrutés pour le </w:t>
      </w:r>
      <w:r w:rsidRPr="004A26DB">
        <w:rPr>
          <w:rFonts w:ascii="Verdana" w:hAnsi="Verdana"/>
          <w:sz w:val="20"/>
          <w:szCs w:val="20"/>
        </w:rPr>
        <w:t xml:space="preserve">Secrétariat général et ses projets. </w:t>
      </w:r>
      <w:r w:rsidR="0041653F">
        <w:rPr>
          <w:rFonts w:ascii="Verdana" w:hAnsi="Verdana"/>
          <w:sz w:val="20"/>
          <w:szCs w:val="20"/>
        </w:rPr>
        <w:t xml:space="preserve">Des espaces additionnels sont nécessaires pour l’accueil d’une équipe étoffée. </w:t>
      </w:r>
    </w:p>
    <w:p w14:paraId="0D4667AA" w14:textId="54097FB2" w:rsidR="0041653F" w:rsidRPr="0041653F" w:rsidRDefault="0041653F" w:rsidP="00954F6E">
      <w:pPr>
        <w:pStyle w:val="Sous-partie2"/>
      </w:pPr>
      <w:r>
        <w:t>Situation actuelle</w:t>
      </w:r>
    </w:p>
    <w:p w14:paraId="2E380C6F" w14:textId="3D1E9DD8" w:rsidR="0078104E" w:rsidRPr="004A26DB" w:rsidRDefault="0041653F" w:rsidP="0078104E">
      <w:pPr>
        <w:ind w:right="399"/>
        <w:jc w:val="both"/>
        <w:rPr>
          <w:rFonts w:ascii="Verdana" w:hAnsi="Verdana"/>
          <w:sz w:val="20"/>
          <w:szCs w:val="20"/>
        </w:rPr>
      </w:pPr>
      <w:r>
        <w:rPr>
          <w:rFonts w:ascii="Verdana" w:hAnsi="Verdana"/>
          <w:sz w:val="20"/>
          <w:szCs w:val="20"/>
        </w:rPr>
        <w:t>P</w:t>
      </w:r>
      <w:r w:rsidR="0078104E" w:rsidRPr="004A26DB">
        <w:rPr>
          <w:rFonts w:ascii="Verdana" w:hAnsi="Verdana"/>
          <w:sz w:val="20"/>
          <w:szCs w:val="20"/>
        </w:rPr>
        <w:t>lusieurs recrutements seront lancés, que ce soit dans le cadre du renforcement du Secrétariat général à travers les 12 postes additionnels prévus sous la Subvention COI-Horizon 2030</w:t>
      </w:r>
      <w:r w:rsidR="00C617AD">
        <w:rPr>
          <w:rFonts w:ascii="Verdana" w:hAnsi="Verdana"/>
          <w:sz w:val="20"/>
          <w:szCs w:val="20"/>
        </w:rPr>
        <w:t xml:space="preserve"> ou</w:t>
      </w:r>
      <w:r w:rsidR="0078104E" w:rsidRPr="004A26DB">
        <w:rPr>
          <w:rFonts w:ascii="Verdana" w:hAnsi="Verdana"/>
          <w:sz w:val="20"/>
          <w:szCs w:val="20"/>
        </w:rPr>
        <w:t xml:space="preserve"> pour de nouveaux projets, à l’instar d</w:t>
      </w:r>
      <w:r w:rsidR="005B7B41">
        <w:rPr>
          <w:rFonts w:ascii="Verdana" w:hAnsi="Verdana"/>
          <w:sz w:val="20"/>
          <w:szCs w:val="20"/>
        </w:rPr>
        <w:t>es</w:t>
      </w:r>
      <w:r w:rsidR="0078104E" w:rsidRPr="004A26DB">
        <w:rPr>
          <w:rFonts w:ascii="Verdana" w:hAnsi="Verdana"/>
          <w:sz w:val="20"/>
          <w:szCs w:val="20"/>
        </w:rPr>
        <w:t xml:space="preserve"> programme</w:t>
      </w:r>
      <w:r w:rsidR="005B7B41">
        <w:rPr>
          <w:rFonts w:ascii="Verdana" w:hAnsi="Verdana"/>
          <w:sz w:val="20"/>
          <w:szCs w:val="20"/>
        </w:rPr>
        <w:t xml:space="preserve">s Hydromet, </w:t>
      </w:r>
      <w:proofErr w:type="spellStart"/>
      <w:r w:rsidR="005B7B41">
        <w:rPr>
          <w:rFonts w:ascii="Verdana" w:hAnsi="Verdana"/>
          <w:sz w:val="20"/>
          <w:szCs w:val="20"/>
        </w:rPr>
        <w:t>ExPLOI</w:t>
      </w:r>
      <w:proofErr w:type="spellEnd"/>
      <w:r w:rsidR="005B7B41">
        <w:rPr>
          <w:rFonts w:ascii="Verdana" w:hAnsi="Verdana"/>
          <w:sz w:val="20"/>
          <w:szCs w:val="20"/>
        </w:rPr>
        <w:t>,</w:t>
      </w:r>
      <w:r w:rsidR="0078104E" w:rsidRPr="004A26DB">
        <w:rPr>
          <w:rFonts w:ascii="Verdana" w:hAnsi="Verdana"/>
          <w:sz w:val="20"/>
          <w:szCs w:val="20"/>
        </w:rPr>
        <w:t xml:space="preserve"> « Safe </w:t>
      </w:r>
      <w:proofErr w:type="spellStart"/>
      <w:r w:rsidR="0078104E" w:rsidRPr="004A26DB">
        <w:rPr>
          <w:rFonts w:ascii="Verdana" w:hAnsi="Verdana"/>
          <w:sz w:val="20"/>
          <w:szCs w:val="20"/>
        </w:rPr>
        <w:t>Seas</w:t>
      </w:r>
      <w:proofErr w:type="spellEnd"/>
      <w:r w:rsidR="0078104E" w:rsidRPr="004A26DB">
        <w:rPr>
          <w:rFonts w:ascii="Verdana" w:hAnsi="Verdana"/>
          <w:sz w:val="20"/>
          <w:szCs w:val="20"/>
        </w:rPr>
        <w:t xml:space="preserve"> </w:t>
      </w:r>
      <w:proofErr w:type="spellStart"/>
      <w:r w:rsidR="0078104E" w:rsidRPr="004A26DB">
        <w:rPr>
          <w:rFonts w:ascii="Verdana" w:hAnsi="Verdana"/>
          <w:sz w:val="20"/>
          <w:szCs w:val="20"/>
        </w:rPr>
        <w:t>Africa</w:t>
      </w:r>
      <w:proofErr w:type="spellEnd"/>
      <w:r>
        <w:rPr>
          <w:rFonts w:ascii="Verdana" w:hAnsi="Verdana"/>
          <w:sz w:val="20"/>
          <w:szCs w:val="20"/>
        </w:rPr>
        <w:t> »</w:t>
      </w:r>
      <w:r w:rsidR="006168B6">
        <w:rPr>
          <w:rFonts w:ascii="Verdana" w:hAnsi="Verdana"/>
          <w:sz w:val="20"/>
          <w:szCs w:val="20"/>
        </w:rPr>
        <w:t xml:space="preserve">, </w:t>
      </w:r>
      <w:r w:rsidR="0078104E" w:rsidRPr="004A26DB">
        <w:rPr>
          <w:rFonts w:ascii="Verdana" w:hAnsi="Verdana"/>
          <w:sz w:val="20"/>
          <w:szCs w:val="20"/>
        </w:rPr>
        <w:t>« Renforcement de la Sécurité sanitaire dans la région Indopacifique</w:t>
      </w:r>
      <w:r>
        <w:rPr>
          <w:rFonts w:ascii="Verdana" w:hAnsi="Verdana"/>
          <w:sz w:val="20"/>
          <w:szCs w:val="20"/>
        </w:rPr>
        <w:t> »</w:t>
      </w:r>
      <w:r w:rsidR="00143E20" w:rsidRPr="004A26DB">
        <w:rPr>
          <w:rFonts w:ascii="Verdana" w:hAnsi="Verdana"/>
          <w:sz w:val="20"/>
          <w:szCs w:val="20"/>
        </w:rPr>
        <w:t xml:space="preserve">. </w:t>
      </w:r>
      <w:r>
        <w:rPr>
          <w:rFonts w:ascii="Verdana" w:hAnsi="Verdana"/>
          <w:sz w:val="20"/>
          <w:szCs w:val="20"/>
        </w:rPr>
        <w:t>Les espaces actuellement mis à disposition de la COI par l’Etat mauricien à la Blue Tower ne sont pas suffisants pour accueillir</w:t>
      </w:r>
      <w:r w:rsidR="00143E20" w:rsidRPr="004A26DB">
        <w:rPr>
          <w:rFonts w:ascii="Verdana" w:hAnsi="Verdana"/>
          <w:sz w:val="20"/>
          <w:szCs w:val="20"/>
        </w:rPr>
        <w:t>.</w:t>
      </w:r>
    </w:p>
    <w:p w14:paraId="3EA6C238" w14:textId="2A343397" w:rsidR="00CA4892" w:rsidRPr="004A26DB" w:rsidRDefault="00143E20" w:rsidP="00584059">
      <w:pPr>
        <w:ind w:right="399"/>
        <w:jc w:val="both"/>
        <w:rPr>
          <w:rFonts w:ascii="Verdana" w:hAnsi="Verdana"/>
          <w:sz w:val="20"/>
          <w:szCs w:val="20"/>
        </w:rPr>
      </w:pPr>
      <w:r w:rsidRPr="004A26DB">
        <w:rPr>
          <w:rFonts w:ascii="Verdana" w:hAnsi="Verdana"/>
          <w:sz w:val="20"/>
          <w:szCs w:val="20"/>
        </w:rPr>
        <w:t>L’Etat mauricien a déjà confirm</w:t>
      </w:r>
      <w:r w:rsidR="00BC35F8" w:rsidRPr="004A26DB">
        <w:rPr>
          <w:rFonts w:ascii="Verdana" w:hAnsi="Verdana"/>
          <w:sz w:val="20"/>
          <w:szCs w:val="20"/>
        </w:rPr>
        <w:t>é</w:t>
      </w:r>
      <w:r w:rsidR="00A71C32">
        <w:rPr>
          <w:rFonts w:ascii="Verdana" w:hAnsi="Verdana"/>
          <w:sz w:val="20"/>
          <w:szCs w:val="20"/>
        </w:rPr>
        <w:t xml:space="preserve">, </w:t>
      </w:r>
      <w:r w:rsidR="006B24DA">
        <w:rPr>
          <w:rFonts w:ascii="Verdana" w:hAnsi="Verdana"/>
          <w:sz w:val="20"/>
          <w:szCs w:val="20"/>
        </w:rPr>
        <w:t>par le</w:t>
      </w:r>
      <w:r w:rsidR="00C617AD">
        <w:rPr>
          <w:rFonts w:ascii="Verdana" w:hAnsi="Verdana"/>
          <w:sz w:val="20"/>
          <w:szCs w:val="20"/>
        </w:rPr>
        <w:t xml:space="preserve"> biais </w:t>
      </w:r>
      <w:r w:rsidR="006B24DA">
        <w:rPr>
          <w:rFonts w:ascii="Verdana" w:hAnsi="Verdana"/>
          <w:sz w:val="20"/>
          <w:szCs w:val="20"/>
        </w:rPr>
        <w:t>du</w:t>
      </w:r>
      <w:r w:rsidR="006B24DA" w:rsidRPr="004A26DB">
        <w:rPr>
          <w:rFonts w:ascii="Verdana" w:hAnsi="Verdana"/>
          <w:sz w:val="20"/>
          <w:szCs w:val="20"/>
        </w:rPr>
        <w:t xml:space="preserve"> Président</w:t>
      </w:r>
      <w:r w:rsidRPr="004A26DB">
        <w:rPr>
          <w:rFonts w:ascii="Verdana" w:hAnsi="Verdana"/>
          <w:sz w:val="20"/>
          <w:szCs w:val="20"/>
        </w:rPr>
        <w:t xml:space="preserve"> en exercice de la COI, la mise à disposition de nouveaux espaces, en l’occurrence une grande partie du 2ème étage </w:t>
      </w:r>
      <w:r w:rsidR="005D17A2">
        <w:rPr>
          <w:rFonts w:ascii="Verdana" w:hAnsi="Verdana"/>
          <w:sz w:val="20"/>
          <w:szCs w:val="20"/>
        </w:rPr>
        <w:t>de la</w:t>
      </w:r>
      <w:r w:rsidRPr="004A26DB">
        <w:rPr>
          <w:rFonts w:ascii="Verdana" w:hAnsi="Verdana"/>
          <w:sz w:val="20"/>
          <w:szCs w:val="20"/>
        </w:rPr>
        <w:t xml:space="preserve"> Blue Tower qui abrite actuellement le Siège de la COI du 3ème au 5ème étage.</w:t>
      </w:r>
      <w:r w:rsidR="001E26ED">
        <w:rPr>
          <w:rFonts w:ascii="Verdana" w:hAnsi="Verdana"/>
          <w:sz w:val="20"/>
          <w:szCs w:val="20"/>
        </w:rPr>
        <w:t xml:space="preserve"> </w:t>
      </w:r>
      <w:r w:rsidR="005B7B74" w:rsidRPr="004A26DB">
        <w:rPr>
          <w:rFonts w:ascii="Verdana" w:hAnsi="Verdana"/>
          <w:sz w:val="20"/>
          <w:szCs w:val="20"/>
        </w:rPr>
        <w:t>Les arrangements administratifs</w:t>
      </w:r>
      <w:r w:rsidRPr="004A26DB">
        <w:rPr>
          <w:rFonts w:ascii="Verdana" w:hAnsi="Verdana"/>
          <w:sz w:val="20"/>
          <w:szCs w:val="20"/>
        </w:rPr>
        <w:t xml:space="preserve"> sont en cours de finalisation, notamment le contrat de bail avec le gestionnaire du bâtiment pour une prise de possession par la COI vers le mois d’avril/mai 2024. </w:t>
      </w:r>
    </w:p>
    <w:p w14:paraId="51EA827D" w14:textId="6DB7D368" w:rsidR="00143E20" w:rsidRPr="004A26DB" w:rsidRDefault="00143E20" w:rsidP="00143E20">
      <w:pPr>
        <w:ind w:right="399"/>
        <w:jc w:val="both"/>
        <w:rPr>
          <w:rFonts w:ascii="Verdana" w:hAnsi="Verdana"/>
          <w:sz w:val="20"/>
          <w:szCs w:val="20"/>
        </w:rPr>
      </w:pPr>
      <w:r w:rsidRPr="004A26DB">
        <w:rPr>
          <w:rFonts w:ascii="Verdana" w:hAnsi="Verdana"/>
          <w:sz w:val="20"/>
          <w:szCs w:val="20"/>
        </w:rPr>
        <w:t xml:space="preserve">La COI doit </w:t>
      </w:r>
      <w:r w:rsidR="00C617AD" w:rsidRPr="004A26DB">
        <w:rPr>
          <w:rFonts w:ascii="Verdana" w:hAnsi="Verdana"/>
          <w:sz w:val="20"/>
          <w:szCs w:val="20"/>
        </w:rPr>
        <w:t>en</w:t>
      </w:r>
      <w:r w:rsidR="00C617AD">
        <w:rPr>
          <w:rFonts w:ascii="Verdana" w:hAnsi="Verdana"/>
          <w:sz w:val="20"/>
          <w:szCs w:val="20"/>
        </w:rPr>
        <w:t>suite</w:t>
      </w:r>
      <w:r w:rsidR="00C617AD" w:rsidRPr="004A26DB">
        <w:rPr>
          <w:rFonts w:ascii="Verdana" w:hAnsi="Verdana"/>
          <w:sz w:val="20"/>
          <w:szCs w:val="20"/>
        </w:rPr>
        <w:t xml:space="preserve"> </w:t>
      </w:r>
      <w:r w:rsidRPr="004A26DB">
        <w:rPr>
          <w:rFonts w:ascii="Verdana" w:hAnsi="Verdana"/>
          <w:sz w:val="20"/>
          <w:szCs w:val="20"/>
        </w:rPr>
        <w:t>lanc</w:t>
      </w:r>
      <w:r w:rsidR="00A71C32">
        <w:rPr>
          <w:rFonts w:ascii="Verdana" w:hAnsi="Verdana"/>
          <w:sz w:val="20"/>
          <w:szCs w:val="20"/>
        </w:rPr>
        <w:t>er</w:t>
      </w:r>
      <w:r w:rsidRPr="004A26DB">
        <w:rPr>
          <w:rFonts w:ascii="Verdana" w:hAnsi="Verdana"/>
          <w:sz w:val="20"/>
          <w:szCs w:val="20"/>
        </w:rPr>
        <w:t xml:space="preserve"> </w:t>
      </w:r>
      <w:r w:rsidR="00C617AD">
        <w:rPr>
          <w:rFonts w:ascii="Verdana" w:hAnsi="Verdana"/>
          <w:sz w:val="20"/>
          <w:szCs w:val="20"/>
        </w:rPr>
        <w:t>l</w:t>
      </w:r>
      <w:r w:rsidRPr="004A26DB">
        <w:rPr>
          <w:rFonts w:ascii="Verdana" w:hAnsi="Verdana"/>
          <w:sz w:val="20"/>
          <w:szCs w:val="20"/>
        </w:rPr>
        <w:t xml:space="preserve">es </w:t>
      </w:r>
      <w:r w:rsidR="005B7B74" w:rsidRPr="004A26DB">
        <w:rPr>
          <w:rFonts w:ascii="Verdana" w:hAnsi="Verdana"/>
          <w:sz w:val="20"/>
          <w:szCs w:val="20"/>
        </w:rPr>
        <w:t>procédures</w:t>
      </w:r>
      <w:r w:rsidRPr="004A26DB">
        <w:rPr>
          <w:rFonts w:ascii="Verdana" w:hAnsi="Verdana"/>
          <w:sz w:val="20"/>
          <w:szCs w:val="20"/>
        </w:rPr>
        <w:t xml:space="preserve"> de marché pour les travaux d’</w:t>
      </w:r>
      <w:r w:rsidR="006B24DA" w:rsidRPr="004A26DB">
        <w:rPr>
          <w:rFonts w:ascii="Verdana" w:hAnsi="Verdana"/>
          <w:sz w:val="20"/>
          <w:szCs w:val="20"/>
        </w:rPr>
        <w:t>aménagement</w:t>
      </w:r>
      <w:r w:rsidRPr="004A26DB">
        <w:rPr>
          <w:rFonts w:ascii="Verdana" w:hAnsi="Verdana"/>
          <w:sz w:val="20"/>
          <w:szCs w:val="20"/>
        </w:rPr>
        <w:t xml:space="preserve"> pour le </w:t>
      </w:r>
      <w:r w:rsidR="006B24DA" w:rsidRPr="004A26DB">
        <w:rPr>
          <w:rFonts w:ascii="Verdana" w:hAnsi="Verdana"/>
          <w:sz w:val="20"/>
          <w:szCs w:val="20"/>
        </w:rPr>
        <w:t>réseau</w:t>
      </w:r>
      <w:r w:rsidRPr="004A26DB">
        <w:rPr>
          <w:rFonts w:ascii="Verdana" w:hAnsi="Verdana"/>
          <w:sz w:val="20"/>
          <w:szCs w:val="20"/>
        </w:rPr>
        <w:t xml:space="preserve"> informatique et de communication</w:t>
      </w:r>
      <w:r w:rsidR="00A71C32">
        <w:rPr>
          <w:rFonts w:ascii="Verdana" w:hAnsi="Verdana"/>
          <w:sz w:val="20"/>
          <w:szCs w:val="20"/>
        </w:rPr>
        <w:t>,</w:t>
      </w:r>
      <w:r w:rsidRPr="004A26DB">
        <w:rPr>
          <w:rFonts w:ascii="Verdana" w:hAnsi="Verdana"/>
          <w:sz w:val="20"/>
          <w:szCs w:val="20"/>
        </w:rPr>
        <w:t xml:space="preserve"> ainsi que </w:t>
      </w:r>
      <w:r w:rsidR="00A71C32">
        <w:rPr>
          <w:rFonts w:ascii="Verdana" w:hAnsi="Verdana"/>
          <w:sz w:val="20"/>
          <w:szCs w:val="20"/>
        </w:rPr>
        <w:t xml:space="preserve">pour l’acquisition </w:t>
      </w:r>
      <w:r w:rsidR="006B24DA">
        <w:rPr>
          <w:rFonts w:ascii="Verdana" w:hAnsi="Verdana"/>
          <w:sz w:val="20"/>
          <w:szCs w:val="20"/>
        </w:rPr>
        <w:t>de</w:t>
      </w:r>
      <w:r w:rsidR="006B24DA" w:rsidRPr="004A26DB">
        <w:rPr>
          <w:rFonts w:ascii="Verdana" w:hAnsi="Verdana"/>
          <w:sz w:val="20"/>
          <w:szCs w:val="20"/>
        </w:rPr>
        <w:t xml:space="preserve"> mobilier</w:t>
      </w:r>
      <w:r w:rsidRPr="004A26DB">
        <w:rPr>
          <w:rFonts w:ascii="Verdana" w:hAnsi="Verdana"/>
          <w:sz w:val="20"/>
          <w:szCs w:val="20"/>
        </w:rPr>
        <w:t xml:space="preserve"> et </w:t>
      </w:r>
      <w:r w:rsidR="00A71C32">
        <w:rPr>
          <w:rFonts w:ascii="Verdana" w:hAnsi="Verdana"/>
          <w:sz w:val="20"/>
          <w:szCs w:val="20"/>
        </w:rPr>
        <w:t>d’</w:t>
      </w:r>
      <w:r w:rsidR="005B7B74" w:rsidRPr="005B7B74">
        <w:rPr>
          <w:rFonts w:ascii="Verdana" w:hAnsi="Verdana"/>
          <w:sz w:val="20"/>
          <w:szCs w:val="20"/>
        </w:rPr>
        <w:t>équipement</w:t>
      </w:r>
      <w:r w:rsidR="00C617AD">
        <w:rPr>
          <w:rFonts w:ascii="Verdana" w:hAnsi="Verdana"/>
          <w:sz w:val="20"/>
          <w:szCs w:val="20"/>
        </w:rPr>
        <w:t>s</w:t>
      </w:r>
      <w:r w:rsidR="00A71C32">
        <w:rPr>
          <w:rFonts w:ascii="Verdana" w:hAnsi="Verdana"/>
          <w:sz w:val="20"/>
          <w:szCs w:val="20"/>
        </w:rPr>
        <w:t>,</w:t>
      </w:r>
      <w:r w:rsidRPr="004A26DB">
        <w:rPr>
          <w:rFonts w:ascii="Verdana" w:hAnsi="Verdana"/>
          <w:sz w:val="20"/>
          <w:szCs w:val="20"/>
        </w:rPr>
        <w:t xml:space="preserve"> afin d’</w:t>
      </w:r>
      <w:r w:rsidR="005B7B74" w:rsidRPr="005B7B74">
        <w:rPr>
          <w:rFonts w:ascii="Verdana" w:hAnsi="Verdana"/>
          <w:sz w:val="20"/>
          <w:szCs w:val="20"/>
        </w:rPr>
        <w:t>aménager</w:t>
      </w:r>
      <w:r w:rsidRPr="004A26DB">
        <w:rPr>
          <w:rFonts w:ascii="Verdana" w:hAnsi="Verdana"/>
          <w:sz w:val="20"/>
          <w:szCs w:val="20"/>
        </w:rPr>
        <w:t xml:space="preserve"> ces nouveaux espaces en lieu de travail </w:t>
      </w:r>
      <w:r w:rsidR="00A71C32">
        <w:rPr>
          <w:rFonts w:ascii="Verdana" w:hAnsi="Verdana"/>
          <w:sz w:val="20"/>
          <w:szCs w:val="20"/>
        </w:rPr>
        <w:t>et</w:t>
      </w:r>
      <w:r w:rsidR="00A71C32" w:rsidRPr="004A26DB">
        <w:rPr>
          <w:rFonts w:ascii="Verdana" w:hAnsi="Verdana"/>
          <w:sz w:val="20"/>
          <w:szCs w:val="20"/>
        </w:rPr>
        <w:t xml:space="preserve"> </w:t>
      </w:r>
      <w:r w:rsidRPr="004A26DB">
        <w:rPr>
          <w:rFonts w:ascii="Verdana" w:hAnsi="Verdana"/>
          <w:sz w:val="20"/>
          <w:szCs w:val="20"/>
        </w:rPr>
        <w:t>d’</w:t>
      </w:r>
      <w:r w:rsidR="00A71C32" w:rsidRPr="00A71C32">
        <w:rPr>
          <w:rFonts w:ascii="Verdana" w:hAnsi="Verdana"/>
          <w:sz w:val="20"/>
          <w:szCs w:val="20"/>
        </w:rPr>
        <w:t>accueillir</w:t>
      </w:r>
      <w:r w:rsidRPr="004A26DB">
        <w:rPr>
          <w:rFonts w:ascii="Verdana" w:hAnsi="Verdana"/>
          <w:sz w:val="20"/>
          <w:szCs w:val="20"/>
        </w:rPr>
        <w:t xml:space="preserve"> le personnel.</w:t>
      </w:r>
    </w:p>
    <w:p w14:paraId="2F7F5914" w14:textId="608AD6BB" w:rsidR="00955BB3" w:rsidRPr="005B7B74" w:rsidRDefault="00955BB3" w:rsidP="00A70123">
      <w:pPr>
        <w:pStyle w:val="Titrepartie"/>
      </w:pPr>
      <w:r w:rsidRPr="005B7B74">
        <w:lastRenderedPageBreak/>
        <w:t>Proposition de décision</w:t>
      </w:r>
    </w:p>
    <w:p w14:paraId="102DFEF6" w14:textId="1E628158" w:rsidR="00143E20" w:rsidRPr="005B7B74" w:rsidRDefault="0008468B" w:rsidP="00900335">
      <w:pPr>
        <w:pStyle w:val="Paragraphe"/>
      </w:pPr>
      <w:r w:rsidRPr="005B7B74">
        <w:t>Le Comité des OPL</w:t>
      </w:r>
      <w:r w:rsidR="001B5D63" w:rsidRPr="005B7B74">
        <w:t xml:space="preserve"> recommande au Conseil</w:t>
      </w:r>
      <w:r w:rsidR="00143E20" w:rsidRPr="005B7B74">
        <w:t> :</w:t>
      </w:r>
    </w:p>
    <w:p w14:paraId="255FA1A7" w14:textId="7DAD5496" w:rsidR="00863605" w:rsidRPr="006B24DA" w:rsidRDefault="00143E20" w:rsidP="00A807D3">
      <w:pPr>
        <w:pStyle w:val="Paragraphe"/>
        <w:numPr>
          <w:ilvl w:val="0"/>
          <w:numId w:val="26"/>
        </w:numPr>
        <w:rPr>
          <w:strike/>
        </w:rPr>
      </w:pPr>
      <w:r w:rsidRPr="005B7B74">
        <w:t xml:space="preserve">De </w:t>
      </w:r>
      <w:r w:rsidR="006B24DA">
        <w:t>demander</w:t>
      </w:r>
      <w:r w:rsidR="00863605" w:rsidRPr="005B7B74">
        <w:t xml:space="preserve"> </w:t>
      </w:r>
      <w:r w:rsidR="006B24DA">
        <w:t>au</w:t>
      </w:r>
      <w:r w:rsidRPr="005B7B74">
        <w:t xml:space="preserve"> Secrétariat général de se rapprocher </w:t>
      </w:r>
      <w:r w:rsidR="00863605" w:rsidRPr="005B7B74">
        <w:t xml:space="preserve">des Etats membres </w:t>
      </w:r>
      <w:r w:rsidR="00A71C32">
        <w:t>afin de</w:t>
      </w:r>
      <w:r w:rsidR="00A71C32" w:rsidRPr="005B7B74">
        <w:t xml:space="preserve"> </w:t>
      </w:r>
      <w:r w:rsidR="00863605" w:rsidRPr="005B7B74">
        <w:t xml:space="preserve">mettre en place une modalité pour l’exemption de la TVA et </w:t>
      </w:r>
      <w:r w:rsidR="00A71C32">
        <w:t>d</w:t>
      </w:r>
      <w:r w:rsidR="00863605" w:rsidRPr="005B7B74">
        <w:t>es taxes à l’importation dans leurs pays respectifs en faveur de la COI à l’instar de Maurice</w:t>
      </w:r>
      <w:r w:rsidR="00BC35F8" w:rsidRPr="005B7B74">
        <w:t xml:space="preserve"> </w:t>
      </w:r>
    </w:p>
    <w:p w14:paraId="7DDBFDBC" w14:textId="709635F7" w:rsidR="0060119B" w:rsidRDefault="00863605" w:rsidP="007009BF">
      <w:pPr>
        <w:pStyle w:val="Paragraphe"/>
        <w:numPr>
          <w:ilvl w:val="0"/>
          <w:numId w:val="26"/>
        </w:numPr>
      </w:pPr>
      <w:r w:rsidRPr="005B7B74">
        <w:t xml:space="preserve">De </w:t>
      </w:r>
      <w:r w:rsidR="001E26ED" w:rsidRPr="005B7B74">
        <w:t>remercier la République de Maurice</w:t>
      </w:r>
      <w:r w:rsidR="001E26ED">
        <w:t xml:space="preserve"> pour </w:t>
      </w:r>
      <w:r w:rsidR="00BC35F8" w:rsidRPr="005B7B74">
        <w:t xml:space="preserve">la mise à disposition </w:t>
      </w:r>
      <w:r w:rsidR="001E26ED">
        <w:t>d’espaces supplémentaires pour le Secrétariat général de la COI</w:t>
      </w:r>
      <w:r w:rsidR="00FD585D">
        <w:t>.</w:t>
      </w:r>
      <w:r w:rsidRPr="005B7B74">
        <w:t xml:space="preserve"> </w:t>
      </w:r>
      <w:bookmarkEnd w:id="0"/>
    </w:p>
    <w:p w14:paraId="57BC541A" w14:textId="77777777" w:rsidR="00954F6E" w:rsidRDefault="00954F6E" w:rsidP="00954F6E">
      <w:pPr>
        <w:pStyle w:val="Titrepartie"/>
        <w:numPr>
          <w:ilvl w:val="0"/>
          <w:numId w:val="0"/>
        </w:numPr>
      </w:pPr>
    </w:p>
    <w:p w14:paraId="03377255" w14:textId="73B6DB52" w:rsidR="00954F6E" w:rsidRPr="005B7B74" w:rsidRDefault="00954F6E" w:rsidP="00954F6E">
      <w:pPr>
        <w:pStyle w:val="Titrepartie"/>
      </w:pPr>
      <w:r>
        <w:t xml:space="preserve">Annexe </w:t>
      </w:r>
    </w:p>
    <w:p w14:paraId="6A1DE9D2" w14:textId="77777777" w:rsidR="00954F6E" w:rsidRDefault="00954F6E" w:rsidP="00954F6E">
      <w:pPr>
        <w:pStyle w:val="Paragraphe"/>
      </w:pPr>
    </w:p>
    <w:p w14:paraId="51BD9AC3" w14:textId="39A90912" w:rsidR="00954F6E" w:rsidRPr="005B7B74" w:rsidRDefault="00954F6E" w:rsidP="00954F6E">
      <w:pPr>
        <w:pStyle w:val="Paragraphe"/>
      </w:pPr>
      <w:r>
        <w:t>Annexe 1 – Protocole additionnel à l’Accord de Victoria (1989)</w:t>
      </w:r>
    </w:p>
    <w:sectPr w:rsidR="00954F6E" w:rsidRPr="005B7B74" w:rsidSect="00AF3862">
      <w:headerReference w:type="default" r:id="rId7"/>
      <w:footerReference w:type="default" r:id="rId8"/>
      <w:pgSz w:w="11906" w:h="16838"/>
      <w:pgMar w:top="1276"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50EC6" w14:textId="77777777" w:rsidR="00AF3862" w:rsidRDefault="00AF3862">
      <w:pPr>
        <w:spacing w:after="0" w:line="240" w:lineRule="auto"/>
      </w:pPr>
      <w:r>
        <w:separator/>
      </w:r>
    </w:p>
  </w:endnote>
  <w:endnote w:type="continuationSeparator" w:id="0">
    <w:p w14:paraId="0580680D" w14:textId="77777777" w:rsidR="00AF3862" w:rsidRDefault="00AF3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392675"/>
      <w:docPartObj>
        <w:docPartGallery w:val="Page Numbers (Bottom of Page)"/>
        <w:docPartUnique/>
      </w:docPartObj>
    </w:sdt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A6241" w14:textId="77777777" w:rsidR="00AF3862" w:rsidRDefault="00AF3862">
      <w:pPr>
        <w:spacing w:after="0" w:line="240" w:lineRule="auto"/>
      </w:pPr>
      <w:r>
        <w:separator/>
      </w:r>
    </w:p>
  </w:footnote>
  <w:footnote w:type="continuationSeparator" w:id="0">
    <w:p w14:paraId="2DDE57D5" w14:textId="77777777" w:rsidR="00AF3862" w:rsidRDefault="00AF38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B6C79" w14:textId="509D6FEA" w:rsidR="00063A26" w:rsidRDefault="00854EEA" w:rsidP="00063A26">
    <w:pPr>
      <w:pStyle w:val="En-tte"/>
      <w:tabs>
        <w:tab w:val="clear" w:pos="4536"/>
        <w:tab w:val="clear" w:pos="9072"/>
        <w:tab w:val="center" w:pos="0"/>
      </w:tabs>
      <w:rPr>
        <w:b/>
        <w:bCs/>
      </w:rPr>
    </w:pPr>
    <w:r>
      <w:rPr>
        <w:i/>
        <w:iCs/>
        <w:noProof/>
      </w:rPr>
      <w:drawing>
        <wp:inline distT="0" distB="0" distL="0" distR="0" wp14:anchorId="09635A91" wp14:editId="3A6A5A2C">
          <wp:extent cx="1090909" cy="36000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 xml:space="preserve">Point. </w:t>
    </w:r>
    <w:r w:rsidR="00A807D3">
      <w:rPr>
        <w:rFonts w:ascii="Verdana" w:hAnsi="Verdana"/>
        <w:b/>
        <w:bCs/>
        <w:sz w:val="20"/>
        <w:szCs w:val="20"/>
      </w:rPr>
      <w:t>3.5</w:t>
    </w:r>
    <w:r w:rsidR="003B69CC">
      <w:rPr>
        <w:rFonts w:ascii="Verdana" w:hAnsi="Verdana"/>
        <w:b/>
        <w:bCs/>
        <w:sz w:val="20"/>
        <w:szCs w:val="20"/>
      </w:rPr>
      <w:t>.</w:t>
    </w:r>
  </w:p>
  <w:p w14:paraId="7FE17793" w14:textId="77777777" w:rsidR="00AA63A3" w:rsidRDefault="00AA63A3"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A56FC"/>
    <w:multiLevelType w:val="hybridMultilevel"/>
    <w:tmpl w:val="87C8A1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8B759D"/>
    <w:multiLevelType w:val="hybridMultilevel"/>
    <w:tmpl w:val="10E2F1D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0082479"/>
    <w:multiLevelType w:val="hybridMultilevel"/>
    <w:tmpl w:val="E9AAD73A"/>
    <w:lvl w:ilvl="0" w:tplc="25324A96">
      <w:start w:val="18"/>
      <w:numFmt w:val="bullet"/>
      <w:lvlText w:val="-"/>
      <w:lvlJc w:val="left"/>
      <w:pPr>
        <w:ind w:left="364" w:hanging="360"/>
      </w:pPr>
      <w:rPr>
        <w:rFonts w:ascii="Times New Roman" w:eastAsia="Times New Roman" w:hAnsi="Times New Roman" w:cs="Times New Roman" w:hint="default"/>
      </w:rPr>
    </w:lvl>
    <w:lvl w:ilvl="1" w:tplc="20000003">
      <w:start w:val="1"/>
      <w:numFmt w:val="bullet"/>
      <w:lvlText w:val="o"/>
      <w:lvlJc w:val="left"/>
      <w:pPr>
        <w:ind w:left="1084" w:hanging="360"/>
      </w:pPr>
      <w:rPr>
        <w:rFonts w:ascii="Courier New" w:hAnsi="Courier New" w:cs="Courier New" w:hint="default"/>
      </w:rPr>
    </w:lvl>
    <w:lvl w:ilvl="2" w:tplc="20000005" w:tentative="1">
      <w:start w:val="1"/>
      <w:numFmt w:val="bullet"/>
      <w:lvlText w:val=""/>
      <w:lvlJc w:val="left"/>
      <w:pPr>
        <w:ind w:left="1804" w:hanging="360"/>
      </w:pPr>
      <w:rPr>
        <w:rFonts w:ascii="Wingdings" w:hAnsi="Wingdings" w:hint="default"/>
      </w:rPr>
    </w:lvl>
    <w:lvl w:ilvl="3" w:tplc="20000001" w:tentative="1">
      <w:start w:val="1"/>
      <w:numFmt w:val="bullet"/>
      <w:lvlText w:val=""/>
      <w:lvlJc w:val="left"/>
      <w:pPr>
        <w:ind w:left="2524" w:hanging="360"/>
      </w:pPr>
      <w:rPr>
        <w:rFonts w:ascii="Symbol" w:hAnsi="Symbol" w:hint="default"/>
      </w:rPr>
    </w:lvl>
    <w:lvl w:ilvl="4" w:tplc="20000003" w:tentative="1">
      <w:start w:val="1"/>
      <w:numFmt w:val="bullet"/>
      <w:lvlText w:val="o"/>
      <w:lvlJc w:val="left"/>
      <w:pPr>
        <w:ind w:left="3244" w:hanging="360"/>
      </w:pPr>
      <w:rPr>
        <w:rFonts w:ascii="Courier New" w:hAnsi="Courier New" w:cs="Courier New" w:hint="default"/>
      </w:rPr>
    </w:lvl>
    <w:lvl w:ilvl="5" w:tplc="20000005" w:tentative="1">
      <w:start w:val="1"/>
      <w:numFmt w:val="bullet"/>
      <w:lvlText w:val=""/>
      <w:lvlJc w:val="left"/>
      <w:pPr>
        <w:ind w:left="3964" w:hanging="360"/>
      </w:pPr>
      <w:rPr>
        <w:rFonts w:ascii="Wingdings" w:hAnsi="Wingdings" w:hint="default"/>
      </w:rPr>
    </w:lvl>
    <w:lvl w:ilvl="6" w:tplc="20000001" w:tentative="1">
      <w:start w:val="1"/>
      <w:numFmt w:val="bullet"/>
      <w:lvlText w:val=""/>
      <w:lvlJc w:val="left"/>
      <w:pPr>
        <w:ind w:left="4684" w:hanging="360"/>
      </w:pPr>
      <w:rPr>
        <w:rFonts w:ascii="Symbol" w:hAnsi="Symbol" w:hint="default"/>
      </w:rPr>
    </w:lvl>
    <w:lvl w:ilvl="7" w:tplc="20000003" w:tentative="1">
      <w:start w:val="1"/>
      <w:numFmt w:val="bullet"/>
      <w:lvlText w:val="o"/>
      <w:lvlJc w:val="left"/>
      <w:pPr>
        <w:ind w:left="5404" w:hanging="360"/>
      </w:pPr>
      <w:rPr>
        <w:rFonts w:ascii="Courier New" w:hAnsi="Courier New" w:cs="Courier New" w:hint="default"/>
      </w:rPr>
    </w:lvl>
    <w:lvl w:ilvl="8" w:tplc="20000005" w:tentative="1">
      <w:start w:val="1"/>
      <w:numFmt w:val="bullet"/>
      <w:lvlText w:val=""/>
      <w:lvlJc w:val="left"/>
      <w:pPr>
        <w:ind w:left="6124" w:hanging="360"/>
      </w:pPr>
      <w:rPr>
        <w:rFonts w:ascii="Wingdings" w:hAnsi="Wingdings" w:hint="default"/>
      </w:rPr>
    </w:lvl>
  </w:abstractNum>
  <w:abstractNum w:abstractNumId="4" w15:restartNumberingAfterBreak="0">
    <w:nsid w:val="100C5B5F"/>
    <w:multiLevelType w:val="hybridMultilevel"/>
    <w:tmpl w:val="CFCA3292"/>
    <w:lvl w:ilvl="0" w:tplc="9C6AF7A4">
      <w:start w:val="3"/>
      <w:numFmt w:val="lowerLetter"/>
      <w:lvlText w:val="%1)"/>
      <w:lvlJc w:val="left"/>
      <w:pPr>
        <w:ind w:left="724" w:hanging="360"/>
      </w:pPr>
      <w:rPr>
        <w:rFonts w:hint="default"/>
      </w:rPr>
    </w:lvl>
    <w:lvl w:ilvl="1" w:tplc="040C0019" w:tentative="1">
      <w:start w:val="1"/>
      <w:numFmt w:val="lowerLetter"/>
      <w:lvlText w:val="%2."/>
      <w:lvlJc w:val="left"/>
      <w:pPr>
        <w:ind w:left="1444" w:hanging="360"/>
      </w:pPr>
    </w:lvl>
    <w:lvl w:ilvl="2" w:tplc="040C001B" w:tentative="1">
      <w:start w:val="1"/>
      <w:numFmt w:val="lowerRoman"/>
      <w:lvlText w:val="%3."/>
      <w:lvlJc w:val="right"/>
      <w:pPr>
        <w:ind w:left="2164" w:hanging="180"/>
      </w:pPr>
    </w:lvl>
    <w:lvl w:ilvl="3" w:tplc="040C000F" w:tentative="1">
      <w:start w:val="1"/>
      <w:numFmt w:val="decimal"/>
      <w:lvlText w:val="%4."/>
      <w:lvlJc w:val="left"/>
      <w:pPr>
        <w:ind w:left="2884" w:hanging="360"/>
      </w:pPr>
    </w:lvl>
    <w:lvl w:ilvl="4" w:tplc="040C0019" w:tentative="1">
      <w:start w:val="1"/>
      <w:numFmt w:val="lowerLetter"/>
      <w:lvlText w:val="%5."/>
      <w:lvlJc w:val="left"/>
      <w:pPr>
        <w:ind w:left="3604" w:hanging="360"/>
      </w:pPr>
    </w:lvl>
    <w:lvl w:ilvl="5" w:tplc="040C001B" w:tentative="1">
      <w:start w:val="1"/>
      <w:numFmt w:val="lowerRoman"/>
      <w:lvlText w:val="%6."/>
      <w:lvlJc w:val="right"/>
      <w:pPr>
        <w:ind w:left="4324" w:hanging="180"/>
      </w:pPr>
    </w:lvl>
    <w:lvl w:ilvl="6" w:tplc="040C000F" w:tentative="1">
      <w:start w:val="1"/>
      <w:numFmt w:val="decimal"/>
      <w:lvlText w:val="%7."/>
      <w:lvlJc w:val="left"/>
      <w:pPr>
        <w:ind w:left="5044" w:hanging="360"/>
      </w:pPr>
    </w:lvl>
    <w:lvl w:ilvl="7" w:tplc="040C0019" w:tentative="1">
      <w:start w:val="1"/>
      <w:numFmt w:val="lowerLetter"/>
      <w:lvlText w:val="%8."/>
      <w:lvlJc w:val="left"/>
      <w:pPr>
        <w:ind w:left="5764" w:hanging="360"/>
      </w:pPr>
    </w:lvl>
    <w:lvl w:ilvl="8" w:tplc="040C001B" w:tentative="1">
      <w:start w:val="1"/>
      <w:numFmt w:val="lowerRoman"/>
      <w:lvlText w:val="%9."/>
      <w:lvlJc w:val="right"/>
      <w:pPr>
        <w:ind w:left="6484" w:hanging="180"/>
      </w:pPr>
    </w:lvl>
  </w:abstractNum>
  <w:abstractNum w:abstractNumId="5"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76F4071"/>
    <w:multiLevelType w:val="hybridMultilevel"/>
    <w:tmpl w:val="3F1A2DB0"/>
    <w:lvl w:ilvl="0" w:tplc="EFFE6BAC">
      <w:start w:val="2"/>
      <w:numFmt w:val="bullet"/>
      <w:lvlText w:val="-"/>
      <w:lvlJc w:val="left"/>
      <w:pPr>
        <w:ind w:left="364" w:hanging="360"/>
      </w:pPr>
      <w:rPr>
        <w:rFonts w:ascii="Times New Roman" w:eastAsia="Times New Roman" w:hAnsi="Times New Roman" w:cs="Times New Roman" w:hint="default"/>
      </w:rPr>
    </w:lvl>
    <w:lvl w:ilvl="1" w:tplc="040C0003" w:tentative="1">
      <w:start w:val="1"/>
      <w:numFmt w:val="bullet"/>
      <w:lvlText w:val="o"/>
      <w:lvlJc w:val="left"/>
      <w:pPr>
        <w:ind w:left="1084" w:hanging="360"/>
      </w:pPr>
      <w:rPr>
        <w:rFonts w:ascii="Courier New" w:hAnsi="Courier New" w:cs="Courier New" w:hint="default"/>
      </w:rPr>
    </w:lvl>
    <w:lvl w:ilvl="2" w:tplc="040C0005" w:tentative="1">
      <w:start w:val="1"/>
      <w:numFmt w:val="bullet"/>
      <w:lvlText w:val=""/>
      <w:lvlJc w:val="left"/>
      <w:pPr>
        <w:ind w:left="1804" w:hanging="360"/>
      </w:pPr>
      <w:rPr>
        <w:rFonts w:ascii="Wingdings" w:hAnsi="Wingdings" w:hint="default"/>
      </w:rPr>
    </w:lvl>
    <w:lvl w:ilvl="3" w:tplc="040C0001" w:tentative="1">
      <w:start w:val="1"/>
      <w:numFmt w:val="bullet"/>
      <w:lvlText w:val=""/>
      <w:lvlJc w:val="left"/>
      <w:pPr>
        <w:ind w:left="2524" w:hanging="360"/>
      </w:pPr>
      <w:rPr>
        <w:rFonts w:ascii="Symbol" w:hAnsi="Symbol" w:hint="default"/>
      </w:rPr>
    </w:lvl>
    <w:lvl w:ilvl="4" w:tplc="040C0003" w:tentative="1">
      <w:start w:val="1"/>
      <w:numFmt w:val="bullet"/>
      <w:lvlText w:val="o"/>
      <w:lvlJc w:val="left"/>
      <w:pPr>
        <w:ind w:left="3244" w:hanging="360"/>
      </w:pPr>
      <w:rPr>
        <w:rFonts w:ascii="Courier New" w:hAnsi="Courier New" w:cs="Courier New" w:hint="default"/>
      </w:rPr>
    </w:lvl>
    <w:lvl w:ilvl="5" w:tplc="040C0005" w:tentative="1">
      <w:start w:val="1"/>
      <w:numFmt w:val="bullet"/>
      <w:lvlText w:val=""/>
      <w:lvlJc w:val="left"/>
      <w:pPr>
        <w:ind w:left="3964" w:hanging="360"/>
      </w:pPr>
      <w:rPr>
        <w:rFonts w:ascii="Wingdings" w:hAnsi="Wingdings" w:hint="default"/>
      </w:rPr>
    </w:lvl>
    <w:lvl w:ilvl="6" w:tplc="040C0001" w:tentative="1">
      <w:start w:val="1"/>
      <w:numFmt w:val="bullet"/>
      <w:lvlText w:val=""/>
      <w:lvlJc w:val="left"/>
      <w:pPr>
        <w:ind w:left="4684" w:hanging="360"/>
      </w:pPr>
      <w:rPr>
        <w:rFonts w:ascii="Symbol" w:hAnsi="Symbol" w:hint="default"/>
      </w:rPr>
    </w:lvl>
    <w:lvl w:ilvl="7" w:tplc="040C0003" w:tentative="1">
      <w:start w:val="1"/>
      <w:numFmt w:val="bullet"/>
      <w:lvlText w:val="o"/>
      <w:lvlJc w:val="left"/>
      <w:pPr>
        <w:ind w:left="5404" w:hanging="360"/>
      </w:pPr>
      <w:rPr>
        <w:rFonts w:ascii="Courier New" w:hAnsi="Courier New" w:cs="Courier New" w:hint="default"/>
      </w:rPr>
    </w:lvl>
    <w:lvl w:ilvl="8" w:tplc="040C0005" w:tentative="1">
      <w:start w:val="1"/>
      <w:numFmt w:val="bullet"/>
      <w:lvlText w:val=""/>
      <w:lvlJc w:val="left"/>
      <w:pPr>
        <w:ind w:left="6124" w:hanging="360"/>
      </w:pPr>
      <w:rPr>
        <w:rFonts w:ascii="Wingdings" w:hAnsi="Wingdings" w:hint="default"/>
      </w:rPr>
    </w:lvl>
  </w:abstractNum>
  <w:abstractNum w:abstractNumId="8"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E6F2D7C"/>
    <w:multiLevelType w:val="hybridMultilevel"/>
    <w:tmpl w:val="87C8A1C4"/>
    <w:lvl w:ilvl="0" w:tplc="E4C4E54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A732DEF"/>
    <w:multiLevelType w:val="multilevel"/>
    <w:tmpl w:val="6B06381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lowerLetter"/>
      <w:lvlText w:val="%3)"/>
      <w:lvlJc w:val="left"/>
      <w:pPr>
        <w:ind w:left="2160" w:hanging="360"/>
      </w:pPr>
      <w:rPr>
        <w:rFonts w:ascii="Verdana" w:eastAsiaTheme="minorHAnsi" w:hAnsi="Verdana" w:cstheme="minorBidi"/>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D086541"/>
    <w:multiLevelType w:val="hybridMultilevel"/>
    <w:tmpl w:val="900A49E8"/>
    <w:lvl w:ilvl="0" w:tplc="9F446BD0">
      <w:start w:val="1"/>
      <w:numFmt w:val="lowerLetter"/>
      <w:lvlText w:val="%1)"/>
      <w:lvlJc w:val="left"/>
      <w:pPr>
        <w:ind w:left="720" w:hanging="360"/>
      </w:pPr>
      <w:rPr>
        <w:rFonts w:hint="default"/>
        <w:strike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A673290"/>
    <w:multiLevelType w:val="hybridMultilevel"/>
    <w:tmpl w:val="3A8EDC5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3666F18"/>
    <w:multiLevelType w:val="hybridMultilevel"/>
    <w:tmpl w:val="14BA9198"/>
    <w:lvl w:ilvl="0" w:tplc="1F9ACEC6">
      <w:start w:val="1"/>
      <w:numFmt w:val="bullet"/>
      <w:lvlText w:val="-"/>
      <w:lvlJc w:val="left"/>
      <w:pPr>
        <w:ind w:left="720" w:hanging="360"/>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9CA05C7"/>
    <w:multiLevelType w:val="hybridMultilevel"/>
    <w:tmpl w:val="B86EF1B6"/>
    <w:lvl w:ilvl="0" w:tplc="18CCB87A">
      <w:start w:val="1"/>
      <w:numFmt w:val="lowerRoman"/>
      <w:lvlText w:val="(%1)"/>
      <w:lvlJc w:val="right"/>
      <w:pPr>
        <w:ind w:left="724" w:hanging="360"/>
      </w:pPr>
      <w:rPr>
        <w:rFonts w:hint="default"/>
      </w:rPr>
    </w:lvl>
    <w:lvl w:ilvl="1" w:tplc="20000019" w:tentative="1">
      <w:start w:val="1"/>
      <w:numFmt w:val="lowerLetter"/>
      <w:lvlText w:val="%2."/>
      <w:lvlJc w:val="left"/>
      <w:pPr>
        <w:ind w:left="1444" w:hanging="360"/>
      </w:pPr>
    </w:lvl>
    <w:lvl w:ilvl="2" w:tplc="2000001B" w:tentative="1">
      <w:start w:val="1"/>
      <w:numFmt w:val="lowerRoman"/>
      <w:lvlText w:val="%3."/>
      <w:lvlJc w:val="right"/>
      <w:pPr>
        <w:ind w:left="2164" w:hanging="180"/>
      </w:pPr>
    </w:lvl>
    <w:lvl w:ilvl="3" w:tplc="2000000F" w:tentative="1">
      <w:start w:val="1"/>
      <w:numFmt w:val="decimal"/>
      <w:lvlText w:val="%4."/>
      <w:lvlJc w:val="left"/>
      <w:pPr>
        <w:ind w:left="2884" w:hanging="360"/>
      </w:pPr>
    </w:lvl>
    <w:lvl w:ilvl="4" w:tplc="20000019" w:tentative="1">
      <w:start w:val="1"/>
      <w:numFmt w:val="lowerLetter"/>
      <w:lvlText w:val="%5."/>
      <w:lvlJc w:val="left"/>
      <w:pPr>
        <w:ind w:left="3604" w:hanging="360"/>
      </w:pPr>
    </w:lvl>
    <w:lvl w:ilvl="5" w:tplc="2000001B" w:tentative="1">
      <w:start w:val="1"/>
      <w:numFmt w:val="lowerRoman"/>
      <w:lvlText w:val="%6."/>
      <w:lvlJc w:val="right"/>
      <w:pPr>
        <w:ind w:left="4324" w:hanging="180"/>
      </w:pPr>
    </w:lvl>
    <w:lvl w:ilvl="6" w:tplc="2000000F" w:tentative="1">
      <w:start w:val="1"/>
      <w:numFmt w:val="decimal"/>
      <w:lvlText w:val="%7."/>
      <w:lvlJc w:val="left"/>
      <w:pPr>
        <w:ind w:left="5044" w:hanging="360"/>
      </w:pPr>
    </w:lvl>
    <w:lvl w:ilvl="7" w:tplc="20000019" w:tentative="1">
      <w:start w:val="1"/>
      <w:numFmt w:val="lowerLetter"/>
      <w:lvlText w:val="%8."/>
      <w:lvlJc w:val="left"/>
      <w:pPr>
        <w:ind w:left="5764" w:hanging="360"/>
      </w:pPr>
    </w:lvl>
    <w:lvl w:ilvl="8" w:tplc="2000001B" w:tentative="1">
      <w:start w:val="1"/>
      <w:numFmt w:val="lowerRoman"/>
      <w:lvlText w:val="%9."/>
      <w:lvlJc w:val="right"/>
      <w:pPr>
        <w:ind w:left="6484" w:hanging="180"/>
      </w:pPr>
    </w:lvl>
  </w:abstractNum>
  <w:num w:numId="1" w16cid:durableId="509108038">
    <w:abstractNumId w:val="9"/>
  </w:num>
  <w:num w:numId="2" w16cid:durableId="1406032769">
    <w:abstractNumId w:val="15"/>
  </w:num>
  <w:num w:numId="3" w16cid:durableId="1312053893">
    <w:abstractNumId w:val="6"/>
  </w:num>
  <w:num w:numId="4" w16cid:durableId="1609120088">
    <w:abstractNumId w:val="2"/>
  </w:num>
  <w:num w:numId="5" w16cid:durableId="702173762">
    <w:abstractNumId w:val="14"/>
  </w:num>
  <w:num w:numId="6" w16cid:durableId="855727411">
    <w:abstractNumId w:val="8"/>
  </w:num>
  <w:num w:numId="7" w16cid:durableId="549193256">
    <w:abstractNumId w:val="11"/>
  </w:num>
  <w:num w:numId="8" w16cid:durableId="5788179">
    <w:abstractNumId w:val="6"/>
    <w:lvlOverride w:ilvl="0">
      <w:startOverride w:val="1"/>
    </w:lvlOverride>
  </w:num>
  <w:num w:numId="9" w16cid:durableId="824856041">
    <w:abstractNumId w:val="5"/>
  </w:num>
  <w:num w:numId="10" w16cid:durableId="494151636">
    <w:abstractNumId w:val="12"/>
  </w:num>
  <w:num w:numId="11" w16cid:durableId="112603849">
    <w:abstractNumId w:val="18"/>
  </w:num>
  <w:num w:numId="12" w16cid:durableId="1402484736">
    <w:abstractNumId w:val="3"/>
  </w:num>
  <w:num w:numId="13" w16cid:durableId="2005476647">
    <w:abstractNumId w:val="7"/>
  </w:num>
  <w:num w:numId="14" w16cid:durableId="85200993">
    <w:abstractNumId w:val="6"/>
  </w:num>
  <w:num w:numId="15" w16cid:durableId="22631082">
    <w:abstractNumId w:val="6"/>
  </w:num>
  <w:num w:numId="16" w16cid:durableId="1780181711">
    <w:abstractNumId w:val="6"/>
  </w:num>
  <w:num w:numId="17" w16cid:durableId="1378774018">
    <w:abstractNumId w:val="6"/>
  </w:num>
  <w:num w:numId="18" w16cid:durableId="1897469190">
    <w:abstractNumId w:val="6"/>
  </w:num>
  <w:num w:numId="19" w16cid:durableId="1671445324">
    <w:abstractNumId w:val="6"/>
  </w:num>
  <w:num w:numId="20" w16cid:durableId="1268392566">
    <w:abstractNumId w:val="6"/>
  </w:num>
  <w:num w:numId="21" w16cid:durableId="1173446291">
    <w:abstractNumId w:val="6"/>
  </w:num>
  <w:num w:numId="22" w16cid:durableId="157353528">
    <w:abstractNumId w:val="4"/>
  </w:num>
  <w:num w:numId="23" w16cid:durableId="989601507">
    <w:abstractNumId w:val="16"/>
  </w:num>
  <w:num w:numId="24" w16cid:durableId="1763451849">
    <w:abstractNumId w:val="1"/>
  </w:num>
  <w:num w:numId="25" w16cid:durableId="2141678722">
    <w:abstractNumId w:val="17"/>
  </w:num>
  <w:num w:numId="26" w16cid:durableId="705132165">
    <w:abstractNumId w:val="13"/>
  </w:num>
  <w:num w:numId="27" w16cid:durableId="985936541">
    <w:abstractNumId w:val="10"/>
  </w:num>
  <w:num w:numId="28" w16cid:durableId="1503660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373B2"/>
    <w:rsid w:val="00042CF5"/>
    <w:rsid w:val="00043D3B"/>
    <w:rsid w:val="00060CA0"/>
    <w:rsid w:val="00063A26"/>
    <w:rsid w:val="000651CE"/>
    <w:rsid w:val="0007086B"/>
    <w:rsid w:val="0008468B"/>
    <w:rsid w:val="000914A7"/>
    <w:rsid w:val="000A468A"/>
    <w:rsid w:val="000B0FBD"/>
    <w:rsid w:val="000D6ED8"/>
    <w:rsid w:val="000F4728"/>
    <w:rsid w:val="00107D9D"/>
    <w:rsid w:val="00134639"/>
    <w:rsid w:val="00143E20"/>
    <w:rsid w:val="00161D0A"/>
    <w:rsid w:val="0018252D"/>
    <w:rsid w:val="001A56F1"/>
    <w:rsid w:val="001B4738"/>
    <w:rsid w:val="001B5D63"/>
    <w:rsid w:val="001D14CB"/>
    <w:rsid w:val="001E26ED"/>
    <w:rsid w:val="001F5AC6"/>
    <w:rsid w:val="00243158"/>
    <w:rsid w:val="00245A0D"/>
    <w:rsid w:val="00253163"/>
    <w:rsid w:val="002710DF"/>
    <w:rsid w:val="002A0933"/>
    <w:rsid w:val="002A096E"/>
    <w:rsid w:val="002C56ED"/>
    <w:rsid w:val="002E4110"/>
    <w:rsid w:val="002E71FD"/>
    <w:rsid w:val="003604B9"/>
    <w:rsid w:val="003772FB"/>
    <w:rsid w:val="00391152"/>
    <w:rsid w:val="00393620"/>
    <w:rsid w:val="003B69CC"/>
    <w:rsid w:val="003C2538"/>
    <w:rsid w:val="003D485F"/>
    <w:rsid w:val="003D5328"/>
    <w:rsid w:val="0041278C"/>
    <w:rsid w:val="0041653F"/>
    <w:rsid w:val="00417683"/>
    <w:rsid w:val="00426673"/>
    <w:rsid w:val="004607F7"/>
    <w:rsid w:val="004A26DB"/>
    <w:rsid w:val="004C3445"/>
    <w:rsid w:val="004F5C4B"/>
    <w:rsid w:val="005003F8"/>
    <w:rsid w:val="00503451"/>
    <w:rsid w:val="00523988"/>
    <w:rsid w:val="0053773D"/>
    <w:rsid w:val="00556324"/>
    <w:rsid w:val="00584059"/>
    <w:rsid w:val="005B7B41"/>
    <w:rsid w:val="005B7B74"/>
    <w:rsid w:val="005C438F"/>
    <w:rsid w:val="005D17A2"/>
    <w:rsid w:val="005E20B1"/>
    <w:rsid w:val="005F4E2A"/>
    <w:rsid w:val="0060119B"/>
    <w:rsid w:val="006168B6"/>
    <w:rsid w:val="00620B90"/>
    <w:rsid w:val="006240A7"/>
    <w:rsid w:val="006356AF"/>
    <w:rsid w:val="006548BF"/>
    <w:rsid w:val="00660504"/>
    <w:rsid w:val="00672D42"/>
    <w:rsid w:val="006B24DA"/>
    <w:rsid w:val="006C6513"/>
    <w:rsid w:val="006E2D9E"/>
    <w:rsid w:val="0071792B"/>
    <w:rsid w:val="0072778A"/>
    <w:rsid w:val="0078104E"/>
    <w:rsid w:val="007B245C"/>
    <w:rsid w:val="007C78FC"/>
    <w:rsid w:val="007D47C7"/>
    <w:rsid w:val="007F38C5"/>
    <w:rsid w:val="00816DAC"/>
    <w:rsid w:val="00830A69"/>
    <w:rsid w:val="0083290E"/>
    <w:rsid w:val="00843FF2"/>
    <w:rsid w:val="008453AB"/>
    <w:rsid w:val="00854EEA"/>
    <w:rsid w:val="008551DA"/>
    <w:rsid w:val="00863605"/>
    <w:rsid w:val="008C3DE0"/>
    <w:rsid w:val="008D193F"/>
    <w:rsid w:val="008F173C"/>
    <w:rsid w:val="00900335"/>
    <w:rsid w:val="0094702F"/>
    <w:rsid w:val="00953641"/>
    <w:rsid w:val="00954F6E"/>
    <w:rsid w:val="00955BB3"/>
    <w:rsid w:val="00970EAE"/>
    <w:rsid w:val="009A38AD"/>
    <w:rsid w:val="009C1E3A"/>
    <w:rsid w:val="00A148A1"/>
    <w:rsid w:val="00A36C09"/>
    <w:rsid w:val="00A37C9F"/>
    <w:rsid w:val="00A55CDB"/>
    <w:rsid w:val="00A70123"/>
    <w:rsid w:val="00A701EF"/>
    <w:rsid w:val="00A71C32"/>
    <w:rsid w:val="00A76B07"/>
    <w:rsid w:val="00A807D3"/>
    <w:rsid w:val="00A81B98"/>
    <w:rsid w:val="00A90305"/>
    <w:rsid w:val="00AA63A3"/>
    <w:rsid w:val="00AB0C6B"/>
    <w:rsid w:val="00AB5EB7"/>
    <w:rsid w:val="00AC03EF"/>
    <w:rsid w:val="00AD4D97"/>
    <w:rsid w:val="00AE2453"/>
    <w:rsid w:val="00AF3862"/>
    <w:rsid w:val="00AF61C8"/>
    <w:rsid w:val="00B04FA8"/>
    <w:rsid w:val="00B05DFC"/>
    <w:rsid w:val="00B0749D"/>
    <w:rsid w:val="00B30539"/>
    <w:rsid w:val="00B36EEA"/>
    <w:rsid w:val="00B873EB"/>
    <w:rsid w:val="00BA4B55"/>
    <w:rsid w:val="00BB689A"/>
    <w:rsid w:val="00BC35F8"/>
    <w:rsid w:val="00C12C93"/>
    <w:rsid w:val="00C325F5"/>
    <w:rsid w:val="00C339B5"/>
    <w:rsid w:val="00C36ADC"/>
    <w:rsid w:val="00C457E8"/>
    <w:rsid w:val="00C609B9"/>
    <w:rsid w:val="00C617AD"/>
    <w:rsid w:val="00CA4892"/>
    <w:rsid w:val="00CD0E8D"/>
    <w:rsid w:val="00CE2386"/>
    <w:rsid w:val="00D03521"/>
    <w:rsid w:val="00D17991"/>
    <w:rsid w:val="00D35B23"/>
    <w:rsid w:val="00DF407C"/>
    <w:rsid w:val="00E32408"/>
    <w:rsid w:val="00E845D4"/>
    <w:rsid w:val="00EC22CC"/>
    <w:rsid w:val="00ED6B69"/>
    <w:rsid w:val="00ED7E46"/>
    <w:rsid w:val="00EE34F4"/>
    <w:rsid w:val="00EF22A4"/>
    <w:rsid w:val="00F27324"/>
    <w:rsid w:val="00F54EA0"/>
    <w:rsid w:val="00F7128C"/>
    <w:rsid w:val="00F87B7E"/>
    <w:rsid w:val="00F96EE9"/>
    <w:rsid w:val="00FD585D"/>
    <w:rsid w:val="00FE285D"/>
    <w:rsid w:val="00FE39A3"/>
    <w:rsid w:val="00FF3557"/>
    <w:rsid w:val="00FF55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unhideWhenUsed/>
    <w:rsid w:val="001B4738"/>
    <w:pPr>
      <w:spacing w:line="240" w:lineRule="auto"/>
    </w:pPr>
    <w:rPr>
      <w:sz w:val="20"/>
      <w:szCs w:val="20"/>
    </w:rPr>
  </w:style>
  <w:style w:type="character" w:customStyle="1" w:styleId="CommentaireCar">
    <w:name w:val="Commentaire Car"/>
    <w:basedOn w:val="Policepardfaut"/>
    <w:link w:val="Commentaire"/>
    <w:uiPriority w:val="99"/>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basedOn w:val="Policepardfaut"/>
    <w:link w:val="Paragraphedeliste"/>
    <w:uiPriority w:val="34"/>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Rvision">
    <w:name w:val="Revision"/>
    <w:hidden/>
    <w:uiPriority w:val="99"/>
    <w:semiHidden/>
    <w:rsid w:val="005B7B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950169132">
      <w:bodyDiv w:val="1"/>
      <w:marLeft w:val="0"/>
      <w:marRight w:val="0"/>
      <w:marTop w:val="0"/>
      <w:marBottom w:val="0"/>
      <w:divBdr>
        <w:top w:val="none" w:sz="0" w:space="0" w:color="auto"/>
        <w:left w:val="none" w:sz="0" w:space="0" w:color="auto"/>
        <w:bottom w:val="none" w:sz="0" w:space="0" w:color="auto"/>
        <w:right w:val="none" w:sz="0" w:space="0" w:color="auto"/>
      </w:divBdr>
      <w:divsChild>
        <w:div w:id="2783455">
          <w:marLeft w:val="0"/>
          <w:marRight w:val="0"/>
          <w:marTop w:val="0"/>
          <w:marBottom w:val="0"/>
          <w:divBdr>
            <w:top w:val="none" w:sz="0" w:space="0" w:color="auto"/>
            <w:left w:val="none" w:sz="0" w:space="0" w:color="auto"/>
            <w:bottom w:val="none" w:sz="0" w:space="0" w:color="auto"/>
            <w:right w:val="none" w:sz="0" w:space="0" w:color="auto"/>
          </w:divBdr>
          <w:divsChild>
            <w:div w:id="1838495094">
              <w:marLeft w:val="0"/>
              <w:marRight w:val="0"/>
              <w:marTop w:val="0"/>
              <w:marBottom w:val="0"/>
              <w:divBdr>
                <w:top w:val="none" w:sz="0" w:space="0" w:color="auto"/>
                <w:left w:val="none" w:sz="0" w:space="0" w:color="auto"/>
                <w:bottom w:val="none" w:sz="0" w:space="0" w:color="auto"/>
                <w:right w:val="none" w:sz="0" w:space="0" w:color="auto"/>
              </w:divBdr>
              <w:divsChild>
                <w:div w:id="199656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080165">
      <w:bodyDiv w:val="1"/>
      <w:marLeft w:val="0"/>
      <w:marRight w:val="0"/>
      <w:marTop w:val="0"/>
      <w:marBottom w:val="0"/>
      <w:divBdr>
        <w:top w:val="none" w:sz="0" w:space="0" w:color="auto"/>
        <w:left w:val="none" w:sz="0" w:space="0" w:color="auto"/>
        <w:bottom w:val="none" w:sz="0" w:space="0" w:color="auto"/>
        <w:right w:val="none" w:sz="0" w:space="0" w:color="auto"/>
      </w:divBdr>
      <w:divsChild>
        <w:div w:id="855847327">
          <w:marLeft w:val="0"/>
          <w:marRight w:val="0"/>
          <w:marTop w:val="0"/>
          <w:marBottom w:val="0"/>
          <w:divBdr>
            <w:top w:val="none" w:sz="0" w:space="0" w:color="auto"/>
            <w:left w:val="none" w:sz="0" w:space="0" w:color="auto"/>
            <w:bottom w:val="none" w:sz="0" w:space="0" w:color="auto"/>
            <w:right w:val="none" w:sz="0" w:space="0" w:color="auto"/>
          </w:divBdr>
          <w:divsChild>
            <w:div w:id="690301813">
              <w:marLeft w:val="0"/>
              <w:marRight w:val="0"/>
              <w:marTop w:val="0"/>
              <w:marBottom w:val="0"/>
              <w:divBdr>
                <w:top w:val="none" w:sz="0" w:space="0" w:color="auto"/>
                <w:left w:val="none" w:sz="0" w:space="0" w:color="auto"/>
                <w:bottom w:val="none" w:sz="0" w:space="0" w:color="auto"/>
                <w:right w:val="none" w:sz="0" w:space="0" w:color="auto"/>
              </w:divBdr>
              <w:divsChild>
                <w:div w:id="32775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815594">
      <w:bodyDiv w:val="1"/>
      <w:marLeft w:val="0"/>
      <w:marRight w:val="0"/>
      <w:marTop w:val="0"/>
      <w:marBottom w:val="0"/>
      <w:divBdr>
        <w:top w:val="none" w:sz="0" w:space="0" w:color="auto"/>
        <w:left w:val="none" w:sz="0" w:space="0" w:color="auto"/>
        <w:bottom w:val="none" w:sz="0" w:space="0" w:color="auto"/>
        <w:right w:val="none" w:sz="0" w:space="0" w:color="auto"/>
      </w:divBdr>
      <w:divsChild>
        <w:div w:id="140271075">
          <w:marLeft w:val="0"/>
          <w:marRight w:val="0"/>
          <w:marTop w:val="0"/>
          <w:marBottom w:val="0"/>
          <w:divBdr>
            <w:top w:val="none" w:sz="0" w:space="0" w:color="auto"/>
            <w:left w:val="none" w:sz="0" w:space="0" w:color="auto"/>
            <w:bottom w:val="none" w:sz="0" w:space="0" w:color="auto"/>
            <w:right w:val="none" w:sz="0" w:space="0" w:color="auto"/>
          </w:divBdr>
          <w:divsChild>
            <w:div w:id="154732448">
              <w:marLeft w:val="0"/>
              <w:marRight w:val="0"/>
              <w:marTop w:val="0"/>
              <w:marBottom w:val="0"/>
              <w:divBdr>
                <w:top w:val="none" w:sz="0" w:space="0" w:color="auto"/>
                <w:left w:val="none" w:sz="0" w:space="0" w:color="auto"/>
                <w:bottom w:val="none" w:sz="0" w:space="0" w:color="auto"/>
                <w:right w:val="none" w:sz="0" w:space="0" w:color="auto"/>
              </w:divBdr>
              <w:divsChild>
                <w:div w:id="74268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1019</Words>
  <Characters>5607</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5</cp:revision>
  <dcterms:created xsi:type="dcterms:W3CDTF">2024-03-29T05:33:00Z</dcterms:created>
  <dcterms:modified xsi:type="dcterms:W3CDTF">2024-03-29T06:15:00Z</dcterms:modified>
</cp:coreProperties>
</file>