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88B2" w14:textId="1358CC59" w:rsidR="00C12C93" w:rsidRPr="005B7B74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:rsidRPr="005B7B74" w14:paraId="51109D41" w14:textId="77777777" w:rsidTr="000E2E1E">
        <w:tc>
          <w:tcPr>
            <w:tcW w:w="9062" w:type="dxa"/>
            <w:gridSpan w:val="2"/>
          </w:tcPr>
          <w:p w14:paraId="08DE7BBE" w14:textId="28BD6B14" w:rsidR="00EC22CC" w:rsidRPr="005B7B74" w:rsidRDefault="001D4819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Etats des lieux - </w:t>
            </w:r>
            <w:r w:rsidR="00BF4EC9">
              <w:rPr>
                <w:rFonts w:ascii="Verdana" w:hAnsi="Verdana"/>
                <w:b/>
                <w:bCs/>
                <w:sz w:val="20"/>
                <w:szCs w:val="20"/>
              </w:rPr>
              <w:t>Cadre de mise à disposition</w:t>
            </w:r>
            <w:r w:rsidR="00903B90">
              <w:rPr>
                <w:rFonts w:ascii="Verdana" w:hAnsi="Verdana"/>
                <w:b/>
                <w:bCs/>
                <w:sz w:val="20"/>
                <w:szCs w:val="20"/>
              </w:rPr>
              <w:t xml:space="preserve"> de personnels et experts</w:t>
            </w:r>
          </w:p>
          <w:p w14:paraId="6FC76F95" w14:textId="771D8296" w:rsidR="00B04FA8" w:rsidRPr="005B7B74" w:rsidRDefault="00B04FA8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C22CC" w:rsidRPr="005B7B74" w14:paraId="7F1B63D2" w14:textId="77777777" w:rsidTr="002A0933">
        <w:tc>
          <w:tcPr>
            <w:tcW w:w="7225" w:type="dxa"/>
          </w:tcPr>
          <w:p w14:paraId="056D9B10" w14:textId="6C129803" w:rsidR="00EC22CC" w:rsidRPr="005B7B74" w:rsidRDefault="003B69CC" w:rsidP="002A096E">
            <w:pPr>
              <w:rPr>
                <w:rFonts w:ascii="Verdana" w:hAnsi="Verdana"/>
                <w:sz w:val="20"/>
                <w:szCs w:val="20"/>
              </w:rPr>
            </w:pPr>
            <w:r w:rsidRPr="005B7B74">
              <w:rPr>
                <w:rFonts w:ascii="Verdana" w:hAnsi="Verdana"/>
                <w:sz w:val="20"/>
                <w:szCs w:val="20"/>
              </w:rPr>
              <w:t>Comité des OPL n°01/24 | 22 et 23 avril 2024</w:t>
            </w:r>
          </w:p>
        </w:tc>
        <w:tc>
          <w:tcPr>
            <w:tcW w:w="1837" w:type="dxa"/>
          </w:tcPr>
          <w:p w14:paraId="58E25D1F" w14:textId="05C1AD2B" w:rsidR="00EC22CC" w:rsidRPr="005B7B74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7B74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1E6A99">
              <w:rPr>
                <w:rFonts w:ascii="Verdana" w:hAnsi="Verdana"/>
                <w:sz w:val="20"/>
                <w:szCs w:val="20"/>
              </w:rPr>
              <w:t>3.2.</w:t>
            </w:r>
          </w:p>
        </w:tc>
      </w:tr>
      <w:tr w:rsidR="00EC22CC" w:rsidRPr="005B7B74" w14:paraId="537D1DE5" w14:textId="77777777" w:rsidTr="003B69CC">
        <w:tc>
          <w:tcPr>
            <w:tcW w:w="7225" w:type="dxa"/>
          </w:tcPr>
          <w:p w14:paraId="43DEF09E" w14:textId="4F6348E7" w:rsidR="00EC22CC" w:rsidRPr="005B7B74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5B7B74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5B7B7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E473A">
              <w:rPr>
                <w:rFonts w:ascii="Verdana" w:hAnsi="Verdana"/>
                <w:sz w:val="20"/>
                <w:szCs w:val="20"/>
              </w:rPr>
              <w:t>Klervi Congard</w:t>
            </w:r>
          </w:p>
        </w:tc>
        <w:tc>
          <w:tcPr>
            <w:tcW w:w="1837" w:type="dxa"/>
            <w:shd w:val="clear" w:color="auto" w:fill="auto"/>
          </w:tcPr>
          <w:p w14:paraId="5AC1AFAB" w14:textId="5ED6A509" w:rsidR="00EC22CC" w:rsidRPr="005B7B74" w:rsidRDefault="00903B90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A90305" w:rsidRPr="005B7B74" w14:paraId="6896DB30" w14:textId="77777777" w:rsidTr="009F5233">
        <w:tc>
          <w:tcPr>
            <w:tcW w:w="9062" w:type="dxa"/>
            <w:gridSpan w:val="2"/>
          </w:tcPr>
          <w:p w14:paraId="0495241B" w14:textId="6839A628" w:rsidR="00A90305" w:rsidRPr="005B7B74" w:rsidRDefault="00A90305" w:rsidP="00A90305">
            <w:pPr>
              <w:rPr>
                <w:rFonts w:ascii="Verdana" w:hAnsi="Verdana"/>
                <w:sz w:val="20"/>
                <w:szCs w:val="20"/>
              </w:rPr>
            </w:pPr>
            <w:r w:rsidRPr="005B7B74">
              <w:rPr>
                <w:rFonts w:ascii="Verdana" w:hAnsi="Verdana"/>
                <w:i/>
                <w:iCs/>
                <w:sz w:val="20"/>
                <w:szCs w:val="20"/>
              </w:rPr>
              <w:t>Version du</w:t>
            </w:r>
            <w:r w:rsidR="006C6513" w:rsidRPr="005B7B74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BF4EC9">
              <w:rPr>
                <w:rFonts w:ascii="Verdana" w:hAnsi="Verdana"/>
                <w:i/>
                <w:iCs/>
                <w:sz w:val="20"/>
                <w:szCs w:val="20"/>
              </w:rPr>
              <w:t>04 avril 2024</w:t>
            </w:r>
            <w:r w:rsidRPr="005B7B74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1611BCC4" w14:textId="77777777" w:rsidR="00854EEA" w:rsidRPr="005B7B74" w:rsidRDefault="00854EEA" w:rsidP="00816DAC">
      <w:pPr>
        <w:pStyle w:val="Paragraphe"/>
      </w:pPr>
      <w:bookmarkStart w:id="0" w:name="_Hlk24535240"/>
    </w:p>
    <w:p w14:paraId="570D6955" w14:textId="2EB24720" w:rsidR="001B5D63" w:rsidRDefault="00584059" w:rsidP="001B5D63">
      <w:pPr>
        <w:pStyle w:val="Titrepartie"/>
      </w:pPr>
      <w:r w:rsidRPr="005B7B74">
        <w:t>Contexte</w:t>
      </w:r>
      <w:r w:rsidR="009D01FF">
        <w:t xml:space="preserve"> : </w:t>
      </w:r>
    </w:p>
    <w:p w14:paraId="7BBE5F9E" w14:textId="77777777" w:rsidR="00896999" w:rsidRPr="003E243C" w:rsidRDefault="00896999" w:rsidP="00A15337">
      <w:pPr>
        <w:pStyle w:val="Paragraphe"/>
      </w:pPr>
      <w:r w:rsidRPr="003E243C">
        <w:t xml:space="preserve">Fort des recommandations du 28e Conseil de la COI aux Seychelles en 2013 relatives à la restructuration et au renforcement de la COI, le Secrétariat général (SG-COI) avait connu un début de modernisation de ses services avec la création progressive de postes essentiels afin que le SG-COI puisse disposer d’une structure opérationnelle et assurer pleinement et efficacement son rôle.  </w:t>
      </w:r>
    </w:p>
    <w:p w14:paraId="516730FA" w14:textId="023B87AF" w:rsidR="00896999" w:rsidRPr="00042BA6" w:rsidRDefault="00896999" w:rsidP="00896999">
      <w:pPr>
        <w:spacing w:after="120"/>
        <w:jc w:val="both"/>
        <w:rPr>
          <w:rFonts w:ascii="Verdana" w:hAnsi="Verdana"/>
          <w:sz w:val="20"/>
          <w:szCs w:val="20"/>
        </w:rPr>
      </w:pPr>
      <w:r w:rsidRPr="00042BA6">
        <w:rPr>
          <w:rFonts w:ascii="Verdana" w:hAnsi="Verdana"/>
          <w:sz w:val="20"/>
          <w:szCs w:val="20"/>
        </w:rPr>
        <w:t xml:space="preserve">Le renforcement progressif </w:t>
      </w:r>
      <w:r w:rsidR="00903B90" w:rsidRPr="00042BA6">
        <w:rPr>
          <w:rFonts w:ascii="Verdana" w:hAnsi="Verdana"/>
          <w:sz w:val="20"/>
          <w:szCs w:val="20"/>
        </w:rPr>
        <w:t>en ressources humaines</w:t>
      </w:r>
      <w:r w:rsidRPr="00042BA6">
        <w:rPr>
          <w:rFonts w:ascii="Verdana" w:hAnsi="Verdana"/>
          <w:sz w:val="20"/>
          <w:szCs w:val="20"/>
        </w:rPr>
        <w:t xml:space="preserve"> s’inscrit dans </w:t>
      </w:r>
      <w:r w:rsidR="00903B90" w:rsidRPr="00042BA6">
        <w:rPr>
          <w:rFonts w:ascii="Verdana" w:hAnsi="Verdana"/>
          <w:sz w:val="20"/>
          <w:szCs w:val="20"/>
        </w:rPr>
        <w:t xml:space="preserve">la </w:t>
      </w:r>
      <w:r w:rsidR="00042BA6" w:rsidRPr="00042BA6">
        <w:rPr>
          <w:rFonts w:ascii="Verdana" w:hAnsi="Verdana"/>
          <w:sz w:val="20"/>
          <w:szCs w:val="20"/>
        </w:rPr>
        <w:t>démarche globale</w:t>
      </w:r>
      <w:r w:rsidR="00903B90" w:rsidRPr="00042BA6">
        <w:rPr>
          <w:rFonts w:ascii="Verdana" w:hAnsi="Verdana"/>
          <w:sz w:val="20"/>
          <w:szCs w:val="20"/>
        </w:rPr>
        <w:t xml:space="preserve"> </w:t>
      </w:r>
      <w:r w:rsidRPr="00042BA6">
        <w:rPr>
          <w:rFonts w:ascii="Verdana" w:hAnsi="Verdana"/>
          <w:sz w:val="20"/>
          <w:szCs w:val="20"/>
        </w:rPr>
        <w:t xml:space="preserve">de modernisation en visant cette fois à créer les conditions propices pour que la COI puisse notamment répondre aux exigences </w:t>
      </w:r>
      <w:r w:rsidR="00903B90" w:rsidRPr="00042BA6">
        <w:rPr>
          <w:rFonts w:ascii="Verdana" w:hAnsi="Verdana"/>
          <w:sz w:val="20"/>
          <w:szCs w:val="20"/>
        </w:rPr>
        <w:t xml:space="preserve">des Etats membres, </w:t>
      </w:r>
      <w:r w:rsidRPr="00042BA6">
        <w:rPr>
          <w:rFonts w:ascii="Verdana" w:hAnsi="Verdana"/>
          <w:sz w:val="20"/>
          <w:szCs w:val="20"/>
        </w:rPr>
        <w:t>des accréditations aux 9 piliers de l’UE et du Fonds vert pour le climat, de la mise en place d’une gestion axée sur les résultats (GAR), ainsi qu</w:t>
      </w:r>
      <w:r w:rsidR="00903B90" w:rsidRPr="00042BA6">
        <w:rPr>
          <w:rFonts w:ascii="Verdana" w:hAnsi="Verdana"/>
          <w:sz w:val="20"/>
          <w:szCs w:val="20"/>
        </w:rPr>
        <w:t>e des</w:t>
      </w:r>
      <w:r w:rsidRPr="00042BA6">
        <w:rPr>
          <w:rFonts w:ascii="Verdana" w:hAnsi="Verdana"/>
          <w:sz w:val="20"/>
          <w:szCs w:val="20"/>
        </w:rPr>
        <w:t xml:space="preserve"> bailleurs. </w:t>
      </w:r>
    </w:p>
    <w:p w14:paraId="7ECEB4F8" w14:textId="63E8D74F" w:rsidR="00896999" w:rsidRPr="00042BA6" w:rsidRDefault="00896999" w:rsidP="004C4988">
      <w:pPr>
        <w:pStyle w:val="pf0"/>
        <w:jc w:val="both"/>
        <w:rPr>
          <w:rFonts w:ascii="Arial" w:hAnsi="Arial" w:cs="Arial"/>
          <w:i/>
          <w:iCs/>
          <w:sz w:val="20"/>
          <w:szCs w:val="20"/>
        </w:rPr>
      </w:pPr>
      <w:r w:rsidRPr="00042BA6">
        <w:rPr>
          <w:rFonts w:ascii="Verdana" w:hAnsi="Verdana"/>
          <w:sz w:val="20"/>
          <w:szCs w:val="20"/>
        </w:rPr>
        <w:t>Reconnaissant déjà cette nécessité pour l’avenir de la COI, les Etats membres</w:t>
      </w:r>
      <w:r w:rsidR="00903B90" w:rsidRPr="00042BA6">
        <w:rPr>
          <w:rFonts w:ascii="Verdana" w:hAnsi="Verdana"/>
          <w:sz w:val="20"/>
          <w:szCs w:val="20"/>
        </w:rPr>
        <w:t>,</w:t>
      </w:r>
      <w:r w:rsidRPr="00042BA6">
        <w:rPr>
          <w:rFonts w:ascii="Verdana" w:hAnsi="Verdana"/>
          <w:sz w:val="20"/>
          <w:szCs w:val="20"/>
        </w:rPr>
        <w:t xml:space="preserve"> par la Déclaration de Moroni en aout 2019</w:t>
      </w:r>
      <w:r w:rsidR="00903B90" w:rsidRPr="00042BA6">
        <w:rPr>
          <w:rFonts w:ascii="Verdana" w:hAnsi="Verdana"/>
          <w:sz w:val="20"/>
          <w:szCs w:val="20"/>
        </w:rPr>
        <w:t xml:space="preserve">, </w:t>
      </w:r>
      <w:r w:rsidR="001D4819" w:rsidRPr="00042BA6">
        <w:rPr>
          <w:rFonts w:ascii="Verdana" w:hAnsi="Verdana"/>
          <w:i/>
          <w:iCs/>
          <w:sz w:val="20"/>
          <w:szCs w:val="20"/>
        </w:rPr>
        <w:t>"conviennent de mettre à sa disposition les ressources nécessaires pour répondre aux multiples défis posés à la région et aux aspirations de ses Etats membres."</w:t>
      </w:r>
    </w:p>
    <w:p w14:paraId="5B01793D" w14:textId="628DF338" w:rsidR="00896999" w:rsidRPr="00042BA6" w:rsidRDefault="00896999" w:rsidP="00896999">
      <w:pPr>
        <w:spacing w:after="120"/>
        <w:jc w:val="both"/>
        <w:rPr>
          <w:rFonts w:ascii="Verdana" w:hAnsi="Verdana"/>
          <w:sz w:val="20"/>
          <w:szCs w:val="20"/>
        </w:rPr>
      </w:pPr>
      <w:r w:rsidRPr="00042BA6">
        <w:rPr>
          <w:rFonts w:ascii="Verdana" w:hAnsi="Verdana"/>
          <w:sz w:val="20"/>
          <w:szCs w:val="20"/>
        </w:rPr>
        <w:t>Dans ce contexte de réforme institutionnelle de la COI, le 37</w:t>
      </w:r>
      <w:r w:rsidRPr="00042BA6">
        <w:rPr>
          <w:rFonts w:ascii="Verdana" w:hAnsi="Verdana"/>
          <w:sz w:val="20"/>
          <w:szCs w:val="20"/>
          <w:vertAlign w:val="superscript"/>
        </w:rPr>
        <w:t>ème</w:t>
      </w:r>
      <w:r w:rsidRPr="00042BA6">
        <w:rPr>
          <w:rFonts w:ascii="Verdana" w:hAnsi="Verdana"/>
          <w:sz w:val="20"/>
          <w:szCs w:val="20"/>
        </w:rPr>
        <w:t xml:space="preserve"> Conseil des ministres du 17 mai 2023 à Antananarivo a demandé au Secrétariat général </w:t>
      </w:r>
      <w:r w:rsidR="006F3649" w:rsidRPr="00042BA6">
        <w:rPr>
          <w:rFonts w:ascii="Verdana" w:hAnsi="Verdana"/>
          <w:sz w:val="20"/>
          <w:szCs w:val="20"/>
        </w:rPr>
        <w:t xml:space="preserve">de </w:t>
      </w:r>
      <w:r w:rsidRPr="00042BA6">
        <w:rPr>
          <w:rFonts w:ascii="Verdana" w:hAnsi="Verdana"/>
          <w:i/>
          <w:iCs/>
          <w:sz w:val="20"/>
          <w:szCs w:val="20"/>
        </w:rPr>
        <w:t>« valoriser les contributions non</w:t>
      </w:r>
      <w:r w:rsidR="006F3649" w:rsidRPr="00042BA6">
        <w:rPr>
          <w:rFonts w:ascii="Verdana" w:hAnsi="Verdana"/>
          <w:i/>
          <w:iCs/>
          <w:sz w:val="20"/>
          <w:szCs w:val="20"/>
        </w:rPr>
        <w:t xml:space="preserve"> </w:t>
      </w:r>
      <w:r w:rsidRPr="00042BA6">
        <w:rPr>
          <w:rFonts w:ascii="Verdana" w:hAnsi="Verdana"/>
          <w:i/>
          <w:iCs/>
          <w:sz w:val="20"/>
          <w:szCs w:val="20"/>
        </w:rPr>
        <w:t>statutaires des Etats membres dans la mise en œuvre de l’accord de méthode convenu avec les bailleurs, UE et AFD, au 36e Conseil des ministres.</w:t>
      </w:r>
      <w:r w:rsidRPr="00042BA6">
        <w:rPr>
          <w:rFonts w:ascii="Verdana" w:hAnsi="Verdana"/>
          <w:sz w:val="20"/>
          <w:szCs w:val="20"/>
        </w:rPr>
        <w:t xml:space="preserve"> » Ces contributions non-statutaires nous réfèrent, notamment, à la mise à disposition auprès du Secrétariat général, par les Etats membres, d’experts</w:t>
      </w:r>
      <w:r w:rsidR="00BC74A1" w:rsidRPr="00042BA6">
        <w:rPr>
          <w:rFonts w:ascii="Verdana" w:hAnsi="Verdana"/>
          <w:sz w:val="20"/>
          <w:szCs w:val="20"/>
        </w:rPr>
        <w:t xml:space="preserve"> qui </w:t>
      </w:r>
      <w:r w:rsidRPr="00042BA6">
        <w:rPr>
          <w:rFonts w:ascii="Verdana" w:hAnsi="Verdana"/>
          <w:sz w:val="20"/>
          <w:szCs w:val="20"/>
        </w:rPr>
        <w:t>contribuent au renforcement des ressources humaines du Secrétariat général</w:t>
      </w:r>
      <w:r w:rsidR="00BC74A1" w:rsidRPr="00042BA6">
        <w:rPr>
          <w:rFonts w:ascii="Verdana" w:hAnsi="Verdana"/>
          <w:sz w:val="20"/>
          <w:szCs w:val="20"/>
        </w:rPr>
        <w:t xml:space="preserve"> et à l’application du principe de « dégressivité – progressivité » convenu avec l’UE et l’AFD dans l’accord de méthode ayant permis la formalisation du projet COI Horizon 2030</w:t>
      </w:r>
      <w:r w:rsidRPr="00042BA6">
        <w:rPr>
          <w:rFonts w:ascii="Verdana" w:hAnsi="Verdana"/>
          <w:sz w:val="20"/>
          <w:szCs w:val="20"/>
        </w:rPr>
        <w:t>. Ces mises à disposition soulèvent néanmoins la question d’un nécessaire cadrage afin de préciser les modalités de leur déploiement par les Etats membres. A cet égard, il est, par ailleurs, rappelé que les Etats membres ont approuvé, dans le contexte de renforcement du Secrétariat général, le principe d’une mise à disposition de 10 agents (Assistants chargés de mission</w:t>
      </w:r>
      <w:r w:rsidR="006F3649" w:rsidRPr="00042BA6">
        <w:rPr>
          <w:rFonts w:ascii="Verdana" w:hAnsi="Verdana"/>
          <w:sz w:val="20"/>
          <w:szCs w:val="20"/>
        </w:rPr>
        <w:t>)</w:t>
      </w:r>
      <w:r w:rsidRPr="00042BA6">
        <w:rPr>
          <w:rFonts w:ascii="Verdana" w:hAnsi="Verdana"/>
          <w:sz w:val="20"/>
          <w:szCs w:val="20"/>
        </w:rPr>
        <w:t>.</w:t>
      </w:r>
    </w:p>
    <w:p w14:paraId="52FA1535" w14:textId="1205DF2E" w:rsidR="00AE4956" w:rsidRPr="003E243C" w:rsidRDefault="00697FB4" w:rsidP="00E3530B">
      <w:pPr>
        <w:pStyle w:val="Paragraphe"/>
      </w:pPr>
      <w:r w:rsidRPr="003E243C">
        <w:t xml:space="preserve">Les mises à disposition </w:t>
      </w:r>
      <w:r w:rsidR="004B6E3B" w:rsidRPr="003E243C">
        <w:t xml:space="preserve">de personnel </w:t>
      </w:r>
      <w:r w:rsidR="00A17FC0" w:rsidRPr="003E243C">
        <w:t>existent</w:t>
      </w:r>
      <w:r w:rsidRPr="003E243C">
        <w:t xml:space="preserve"> depuis </w:t>
      </w:r>
      <w:r w:rsidR="00BC74A1" w:rsidRPr="003E243C">
        <w:t>l</w:t>
      </w:r>
      <w:r w:rsidR="003876C5" w:rsidRPr="003E243C">
        <w:t>a</w:t>
      </w:r>
      <w:r w:rsidRPr="003E243C">
        <w:t xml:space="preserve"> création</w:t>
      </w:r>
      <w:r w:rsidR="00431B56" w:rsidRPr="003E243C">
        <w:t xml:space="preserve"> </w:t>
      </w:r>
      <w:r w:rsidR="00E3530B" w:rsidRPr="003E243C">
        <w:t xml:space="preserve">de la COI </w:t>
      </w:r>
      <w:r w:rsidR="00D032A1" w:rsidRPr="003E243C">
        <w:t>en 1984</w:t>
      </w:r>
      <w:r w:rsidR="00E3530B" w:rsidRPr="003E243C">
        <w:t xml:space="preserve">. </w:t>
      </w:r>
      <w:r w:rsidR="00BB3C22" w:rsidRPr="003E243C">
        <w:t>Celles-ci</w:t>
      </w:r>
      <w:r w:rsidR="00AE4956" w:rsidRPr="003E243C">
        <w:t xml:space="preserve"> </w:t>
      </w:r>
      <w:r w:rsidR="00065519" w:rsidRPr="003E243C">
        <w:t>ont permis</w:t>
      </w:r>
      <w:r w:rsidR="00E3530B" w:rsidRPr="003E243C">
        <w:t xml:space="preserve"> de</w:t>
      </w:r>
      <w:r w:rsidR="00BC74A1" w:rsidRPr="003E243C">
        <w:t> </w:t>
      </w:r>
      <w:r w:rsidR="00AE4956" w:rsidRPr="003E243C">
        <w:t xml:space="preserve">: </w:t>
      </w:r>
    </w:p>
    <w:p w14:paraId="4B5D1F28" w14:textId="1EB2FCDD" w:rsidR="001E13E8" w:rsidRPr="003E243C" w:rsidRDefault="001E13E8" w:rsidP="002E6545">
      <w:pPr>
        <w:pStyle w:val="Paragraphe"/>
        <w:numPr>
          <w:ilvl w:val="1"/>
          <w:numId w:val="24"/>
        </w:numPr>
      </w:pPr>
      <w:r w:rsidRPr="003E243C">
        <w:t>Renforcer la coopération régionale et la compréhension mutuelle entre les pays et la COI</w:t>
      </w:r>
      <w:r w:rsidR="00BC74A1" w:rsidRPr="003E243C">
        <w:t> ;</w:t>
      </w:r>
      <w:r w:rsidRPr="003E243C">
        <w:t xml:space="preserve"> </w:t>
      </w:r>
    </w:p>
    <w:p w14:paraId="7B28800D" w14:textId="064FA7EE" w:rsidR="00AE4956" w:rsidRPr="003E243C" w:rsidRDefault="00BB3C22" w:rsidP="002E6545">
      <w:pPr>
        <w:pStyle w:val="Paragraphe"/>
        <w:numPr>
          <w:ilvl w:val="1"/>
          <w:numId w:val="24"/>
        </w:numPr>
      </w:pPr>
      <w:r w:rsidRPr="003E243C">
        <w:t>D’offrir</w:t>
      </w:r>
      <w:r w:rsidR="00AE4956" w:rsidRPr="003E243C">
        <w:t xml:space="preserve"> des opportunités de développement professionnel aux personnes mises à </w:t>
      </w:r>
      <w:r w:rsidR="00065519" w:rsidRPr="003E243C">
        <w:t>disposition</w:t>
      </w:r>
      <w:r w:rsidR="00BC74A1" w:rsidRPr="003E243C">
        <w:t xml:space="preserve"> ; </w:t>
      </w:r>
    </w:p>
    <w:p w14:paraId="4CC52F1D" w14:textId="09ED390C" w:rsidR="00AE4956" w:rsidRPr="003E243C" w:rsidRDefault="00BB3C22" w:rsidP="002E6545">
      <w:pPr>
        <w:pStyle w:val="Paragraphe"/>
        <w:numPr>
          <w:ilvl w:val="1"/>
          <w:numId w:val="24"/>
        </w:numPr>
      </w:pPr>
      <w:r w:rsidRPr="003E243C">
        <w:t>De</w:t>
      </w:r>
      <w:r w:rsidR="00065519" w:rsidRPr="003E243C">
        <w:t xml:space="preserve"> permettre </w:t>
      </w:r>
      <w:r w:rsidR="00190AD0" w:rsidRPr="003E243C">
        <w:t>l’échange de compétences et de connaissances, ce qui enrichit les pratiques et favorisent l’innovation.</w:t>
      </w:r>
    </w:p>
    <w:p w14:paraId="0DAC4E98" w14:textId="77777777" w:rsidR="001D4819" w:rsidRDefault="001D4819" w:rsidP="00210CDB">
      <w:pPr>
        <w:pStyle w:val="Paragraphe"/>
        <w:rPr>
          <w:b/>
          <w:bCs/>
          <w:color w:val="0070C0"/>
          <w:sz w:val="22"/>
        </w:rPr>
      </w:pPr>
    </w:p>
    <w:p w14:paraId="1D26CDA4" w14:textId="77777777" w:rsidR="001D4819" w:rsidRDefault="001D4819" w:rsidP="00210CDB">
      <w:pPr>
        <w:pStyle w:val="Paragraphe"/>
      </w:pPr>
    </w:p>
    <w:p w14:paraId="2202D341" w14:textId="77777777" w:rsidR="009D01FF" w:rsidRPr="005B7B74" w:rsidRDefault="009D01FF" w:rsidP="009D01FF">
      <w:pPr>
        <w:pStyle w:val="Titrepartie"/>
        <w:numPr>
          <w:ilvl w:val="0"/>
          <w:numId w:val="0"/>
        </w:numPr>
      </w:pPr>
    </w:p>
    <w:p w14:paraId="3DB59E73" w14:textId="415A7FB2" w:rsidR="00584059" w:rsidRPr="00F060F8" w:rsidRDefault="00584059" w:rsidP="00584059">
      <w:pPr>
        <w:pStyle w:val="Titrepartie"/>
      </w:pPr>
      <w:r w:rsidRPr="00F060F8">
        <w:lastRenderedPageBreak/>
        <w:t>Situation actuelle</w:t>
      </w:r>
    </w:p>
    <w:p w14:paraId="278FF496" w14:textId="698E4E89" w:rsidR="00210CDB" w:rsidRPr="003E243C" w:rsidRDefault="00210CDB" w:rsidP="00210CDB">
      <w:pPr>
        <w:pStyle w:val="Paragraphe"/>
      </w:pPr>
      <w:r w:rsidRPr="003E243C">
        <w:t xml:space="preserve">En résumé, </w:t>
      </w:r>
      <w:r w:rsidR="00387A0E" w:rsidRPr="003E243C">
        <w:t>la mise à disposition</w:t>
      </w:r>
      <w:r w:rsidRPr="003E243C">
        <w:t xml:space="preserve"> de personnel offre une flexibilité opérationnelle, </w:t>
      </w:r>
      <w:r w:rsidR="00387A0E" w:rsidRPr="003E243C">
        <w:t xml:space="preserve">et représente </w:t>
      </w:r>
      <w:r w:rsidRPr="003E243C">
        <w:t xml:space="preserve">une opportunité d'enrichissement mutuel, </w:t>
      </w:r>
      <w:r w:rsidR="00387A0E" w:rsidRPr="003E243C">
        <w:t xml:space="preserve">bénéfique à la fois </w:t>
      </w:r>
      <w:r w:rsidRPr="003E243C">
        <w:t xml:space="preserve">pour la COI </w:t>
      </w:r>
      <w:r w:rsidR="00BC74A1" w:rsidRPr="003E243C">
        <w:t xml:space="preserve">et </w:t>
      </w:r>
      <w:r w:rsidRPr="003E243C">
        <w:t>pour la personne mise à disposition</w:t>
      </w:r>
    </w:p>
    <w:p w14:paraId="58A6D8C9" w14:textId="18579B91" w:rsidR="00210CDB" w:rsidRPr="003E243C" w:rsidRDefault="00210CDB" w:rsidP="00210CDB">
      <w:pPr>
        <w:pStyle w:val="Paragraphe"/>
      </w:pPr>
      <w:r w:rsidRPr="003E243C">
        <w:t>Toutefois</w:t>
      </w:r>
      <w:r w:rsidR="00387A0E" w:rsidRPr="003E243C">
        <w:t>,</w:t>
      </w:r>
      <w:r w:rsidRPr="003E243C">
        <w:t xml:space="preserve"> dans le cadre de la modernisation de la COI, </w:t>
      </w:r>
      <w:r w:rsidR="00387A0E" w:rsidRPr="003E243C">
        <w:t>face aux</w:t>
      </w:r>
      <w:r w:rsidRPr="003E243C">
        <w:t xml:space="preserve"> défis rencontrés dans la mise en œuvre, </w:t>
      </w:r>
      <w:r w:rsidR="00387A0E" w:rsidRPr="003E243C">
        <w:t>il est devenu impératif d’établir un cadre</w:t>
      </w:r>
      <w:r w:rsidRPr="003E243C">
        <w:t xml:space="preserve"> plus précis définissant l</w:t>
      </w:r>
      <w:r w:rsidR="00387A0E" w:rsidRPr="003E243C">
        <w:t>es</w:t>
      </w:r>
      <w:r w:rsidRPr="003E243C">
        <w:t xml:space="preserve"> procédure</w:t>
      </w:r>
      <w:r w:rsidR="00387A0E" w:rsidRPr="003E243C">
        <w:t>s</w:t>
      </w:r>
      <w:r w:rsidRPr="003E243C">
        <w:t xml:space="preserve"> et les modalités de mise à disposition.</w:t>
      </w:r>
      <w:r w:rsidR="00BC74A1" w:rsidRPr="003E243C">
        <w:t xml:space="preserve"> Ce cadre permettra, en outre, de répondre à la demande du 37</w:t>
      </w:r>
      <w:r w:rsidR="00BC74A1" w:rsidRPr="00042BA6">
        <w:rPr>
          <w:vertAlign w:val="superscript"/>
        </w:rPr>
        <w:t>e</w:t>
      </w:r>
      <w:r w:rsidR="00BC74A1" w:rsidRPr="003E243C">
        <w:t xml:space="preserve"> Conseil des ministres de valorisation des contributions non-statutaires des Etats membres, celle-ci devant soutenir l’argumentaire d’engagement progressif des Etats et de dégressivité de l’appui en subvention des partenaires. </w:t>
      </w:r>
    </w:p>
    <w:p w14:paraId="4BAAA90B" w14:textId="1EF59281" w:rsidR="00BF4EC9" w:rsidRPr="003E243C" w:rsidRDefault="00BF4EC9" w:rsidP="00BF4EC9">
      <w:pPr>
        <w:pStyle w:val="Paragraphe"/>
      </w:pPr>
      <w:r w:rsidRPr="003E243C">
        <w:t xml:space="preserve">Les mises à disposition au sein </w:t>
      </w:r>
      <w:r w:rsidR="00387A0E" w:rsidRPr="003E243C">
        <w:t xml:space="preserve">du secrétariat et </w:t>
      </w:r>
      <w:r w:rsidRPr="003E243C">
        <w:t xml:space="preserve">des projets </w:t>
      </w:r>
      <w:r w:rsidR="00387A0E" w:rsidRPr="003E243C">
        <w:t xml:space="preserve">prennent différentes </w:t>
      </w:r>
      <w:r w:rsidR="00C86C3C" w:rsidRPr="003E243C">
        <w:t>formes :</w:t>
      </w:r>
      <w:r w:rsidRPr="003E243C">
        <w:t xml:space="preserve"> </w:t>
      </w:r>
      <w:r w:rsidR="00387A0E" w:rsidRPr="003E243C">
        <w:t>a</w:t>
      </w:r>
      <w:r w:rsidRPr="003E243C">
        <w:t>gents affectés à la COI par un Etat, un organisme mandaté</w:t>
      </w:r>
      <w:r w:rsidR="00387A0E" w:rsidRPr="003E243C">
        <w:t xml:space="preserve"> ou</w:t>
      </w:r>
      <w:r w:rsidRPr="003E243C">
        <w:t xml:space="preserve"> par une organisation partenaire.</w:t>
      </w:r>
      <w:r w:rsidR="00BC74A1" w:rsidRPr="003E243C">
        <w:t xml:space="preserve"> Les statuts sont, de fait, également variés : experts, volontaires de solidarité internationale, officiers détachés… </w:t>
      </w:r>
    </w:p>
    <w:p w14:paraId="69C61B48" w14:textId="74ADE878" w:rsidR="00F37304" w:rsidRPr="003E243C" w:rsidRDefault="00387A0E" w:rsidP="00FE7E46">
      <w:pPr>
        <w:pStyle w:val="Paragraphe"/>
      </w:pPr>
      <w:r w:rsidRPr="003E243C">
        <w:t>Lors de nouveaux projets, des</w:t>
      </w:r>
      <w:r w:rsidR="00BF4EC9" w:rsidRPr="003E243C">
        <w:t xml:space="preserve"> discussions </w:t>
      </w:r>
      <w:r w:rsidR="007B049C" w:rsidRPr="003E243C">
        <w:t xml:space="preserve">sont </w:t>
      </w:r>
      <w:r w:rsidRPr="003E243C">
        <w:t xml:space="preserve">également </w:t>
      </w:r>
      <w:r w:rsidR="007B049C" w:rsidRPr="003E243C">
        <w:t xml:space="preserve">régulièrement </w:t>
      </w:r>
      <w:r w:rsidRPr="003E243C">
        <w:t xml:space="preserve">engagées </w:t>
      </w:r>
      <w:r w:rsidR="007B049C" w:rsidRPr="003E243C">
        <w:t xml:space="preserve">pour </w:t>
      </w:r>
      <w:r w:rsidRPr="003E243C">
        <w:t xml:space="preserve">étudier </w:t>
      </w:r>
      <w:r w:rsidR="007B049C" w:rsidRPr="003E243C">
        <w:t xml:space="preserve">la possibilité de mise à disposition de personnel à la COI </w:t>
      </w:r>
      <w:r w:rsidR="001D4819">
        <w:t xml:space="preserve">ou encadrés par la COI </w:t>
      </w:r>
      <w:r w:rsidR="007B049C" w:rsidRPr="003E243C">
        <w:t>pour des projets dans nos Etats membres.</w:t>
      </w:r>
    </w:p>
    <w:p w14:paraId="1AE5DC1D" w14:textId="3E4982E3" w:rsidR="00BF4EC9" w:rsidRPr="003E243C" w:rsidRDefault="00387A0E" w:rsidP="00210CDB">
      <w:pPr>
        <w:pStyle w:val="Paragraphe"/>
      </w:pPr>
      <w:r w:rsidRPr="003E243C">
        <w:t xml:space="preserve">Etant donnée </w:t>
      </w:r>
      <w:r w:rsidR="007B049C" w:rsidRPr="003E243C">
        <w:t xml:space="preserve">la diversité des </w:t>
      </w:r>
      <w:r w:rsidRPr="003E243C">
        <w:t xml:space="preserve">situations </w:t>
      </w:r>
      <w:r w:rsidR="007B049C" w:rsidRPr="003E243C">
        <w:t>rencontré</w:t>
      </w:r>
      <w:r w:rsidRPr="003E243C">
        <w:t>e</w:t>
      </w:r>
      <w:r w:rsidR="007B049C" w:rsidRPr="003E243C">
        <w:t xml:space="preserve">s, </w:t>
      </w:r>
      <w:r w:rsidRPr="003E243C">
        <w:t xml:space="preserve">une </w:t>
      </w:r>
      <w:r w:rsidR="007B049C" w:rsidRPr="003E243C">
        <w:t xml:space="preserve">démarche de consultations préalables des Etats membres </w:t>
      </w:r>
      <w:r w:rsidRPr="003E243C">
        <w:t xml:space="preserve">s’avère </w:t>
      </w:r>
      <w:r w:rsidR="007B049C" w:rsidRPr="003E243C">
        <w:t>nécessaire afin de finaliser le projet de directive spécifique de ce type de personnel.</w:t>
      </w:r>
    </w:p>
    <w:p w14:paraId="4A99B958" w14:textId="1367D894" w:rsidR="00F37304" w:rsidRPr="003E243C" w:rsidRDefault="00F37304" w:rsidP="00210CDB">
      <w:pPr>
        <w:pStyle w:val="Paragraphe"/>
      </w:pPr>
      <w:r w:rsidRPr="003E243C">
        <w:t xml:space="preserve">Cette directive </w:t>
      </w:r>
      <w:r w:rsidR="00387A0E" w:rsidRPr="003E243C">
        <w:t xml:space="preserve">abordera </w:t>
      </w:r>
      <w:r w:rsidRPr="003E243C">
        <w:t>la procédure de déploiement, les modalités des mises à disposition, la gestion des performances</w:t>
      </w:r>
      <w:r w:rsidR="00387A0E" w:rsidRPr="003E243C">
        <w:t xml:space="preserve"> ainsi que </w:t>
      </w:r>
      <w:r w:rsidRPr="003E243C">
        <w:t>les normes d’éthiques</w:t>
      </w:r>
      <w:r w:rsidR="00387A0E" w:rsidRPr="003E243C">
        <w:t>.</w:t>
      </w:r>
    </w:p>
    <w:p w14:paraId="75EF4BDD" w14:textId="373BE240" w:rsidR="00F37304" w:rsidRPr="003E243C" w:rsidRDefault="00F37304" w:rsidP="00143E20">
      <w:pPr>
        <w:ind w:right="399"/>
        <w:jc w:val="both"/>
        <w:rPr>
          <w:rFonts w:ascii="Verdana" w:hAnsi="Verdana"/>
          <w:sz w:val="20"/>
          <w:szCs w:val="20"/>
        </w:rPr>
      </w:pPr>
      <w:r w:rsidRPr="00042BA6">
        <w:rPr>
          <w:rFonts w:ascii="Verdana" w:hAnsi="Verdana"/>
          <w:sz w:val="20"/>
          <w:szCs w:val="20"/>
        </w:rPr>
        <w:t xml:space="preserve">Afin </w:t>
      </w:r>
      <w:r w:rsidR="00387A0E" w:rsidRPr="00042BA6">
        <w:rPr>
          <w:rFonts w:ascii="Verdana" w:hAnsi="Verdana"/>
          <w:sz w:val="20"/>
          <w:szCs w:val="20"/>
        </w:rPr>
        <w:t xml:space="preserve">d’examiner en détail </w:t>
      </w:r>
      <w:r w:rsidRPr="00042BA6">
        <w:rPr>
          <w:rFonts w:ascii="Verdana" w:hAnsi="Verdana"/>
          <w:sz w:val="20"/>
          <w:szCs w:val="20"/>
        </w:rPr>
        <w:t xml:space="preserve">tous ces aspects, </w:t>
      </w:r>
      <w:r w:rsidR="00BC74A1" w:rsidRPr="003E243C">
        <w:rPr>
          <w:rFonts w:ascii="Verdana" w:hAnsi="Verdana"/>
          <w:sz w:val="20"/>
          <w:szCs w:val="20"/>
        </w:rPr>
        <w:t>le Secrétariat général propose</w:t>
      </w:r>
      <w:r w:rsidR="007B049C" w:rsidRPr="003E243C">
        <w:rPr>
          <w:rFonts w:ascii="Verdana" w:hAnsi="Verdana"/>
          <w:sz w:val="20"/>
          <w:szCs w:val="20"/>
        </w:rPr>
        <w:t xml:space="preserve"> donc d’organiser un atelier techniqu</w:t>
      </w:r>
      <w:r w:rsidRPr="003E243C">
        <w:rPr>
          <w:rFonts w:ascii="Verdana" w:hAnsi="Verdana"/>
          <w:sz w:val="20"/>
          <w:szCs w:val="20"/>
        </w:rPr>
        <w:t xml:space="preserve">e en vue de finaliser la nouvelle directive </w:t>
      </w:r>
      <w:r w:rsidR="00387A0E" w:rsidRPr="003E243C">
        <w:rPr>
          <w:rFonts w:ascii="Verdana" w:hAnsi="Verdana"/>
          <w:sz w:val="20"/>
          <w:szCs w:val="20"/>
        </w:rPr>
        <w:t>en</w:t>
      </w:r>
      <w:r w:rsidRPr="003E243C">
        <w:rPr>
          <w:rFonts w:ascii="Verdana" w:hAnsi="Verdana"/>
          <w:sz w:val="20"/>
          <w:szCs w:val="20"/>
        </w:rPr>
        <w:t>cadrant les mises à disposition.</w:t>
      </w:r>
    </w:p>
    <w:p w14:paraId="468FCCD2" w14:textId="583149F6" w:rsidR="00C5175D" w:rsidRPr="00F060F8" w:rsidRDefault="007B049C" w:rsidP="00143E20">
      <w:pPr>
        <w:ind w:right="39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F7F5914" w14:textId="608AD6BB" w:rsidR="00955BB3" w:rsidRPr="005B7B74" w:rsidRDefault="00955BB3" w:rsidP="00A70123">
      <w:pPr>
        <w:pStyle w:val="Titrepartie"/>
      </w:pPr>
      <w:r w:rsidRPr="005B7B74">
        <w:t>Proposition de décision</w:t>
      </w:r>
    </w:p>
    <w:p w14:paraId="102DFEF6" w14:textId="783476ED" w:rsidR="00143E20" w:rsidRPr="005B7B74" w:rsidRDefault="0008468B" w:rsidP="00042BA6">
      <w:pPr>
        <w:pStyle w:val="Paragraphe"/>
      </w:pPr>
      <w:r w:rsidRPr="005B7B74">
        <w:t>Le Comité des OPL</w:t>
      </w:r>
      <w:r w:rsidR="001B5D63" w:rsidRPr="005B7B74">
        <w:t xml:space="preserve"> </w:t>
      </w:r>
      <w:r w:rsidR="001D4819">
        <w:t>e</w:t>
      </w:r>
      <w:r w:rsidR="00B05EC9">
        <w:t>ncourage</w:t>
      </w:r>
      <w:r w:rsidR="007B049C">
        <w:t xml:space="preserve"> le </w:t>
      </w:r>
      <w:r w:rsidR="004C4988">
        <w:t>S</w:t>
      </w:r>
      <w:r w:rsidR="007B049C">
        <w:t xml:space="preserve">ecrétariat général à mener les consultations nécessaires auprès des Etats membres en vue de </w:t>
      </w:r>
      <w:r w:rsidR="004C4988">
        <w:t xml:space="preserve">la finalisation de </w:t>
      </w:r>
      <w:r w:rsidR="007B049C">
        <w:t xml:space="preserve">la </w:t>
      </w:r>
      <w:r w:rsidR="005729E5">
        <w:t xml:space="preserve">nouvelle directive </w:t>
      </w:r>
      <w:r w:rsidR="00181467">
        <w:t xml:space="preserve">cadrant les mises à disposition au sein de la COI </w:t>
      </w:r>
      <w:r w:rsidR="004C4988">
        <w:t>puis</w:t>
      </w:r>
      <w:r w:rsidR="00BC74A1">
        <w:t xml:space="preserve"> de sa présentation aux prochaines instances pour approbation et mise en application. </w:t>
      </w:r>
    </w:p>
    <w:bookmarkEnd w:id="0"/>
    <w:p w14:paraId="2AD6BA05" w14:textId="77777777" w:rsidR="00C50FC8" w:rsidRDefault="00C50FC8" w:rsidP="00C50FC8">
      <w:pPr>
        <w:rPr>
          <w:rFonts w:ascii="Verdana" w:hAnsi="Verdana"/>
          <w:b/>
          <w:bCs/>
          <w:i/>
          <w:iCs/>
          <w:sz w:val="20"/>
          <w:szCs w:val="20"/>
        </w:rPr>
      </w:pPr>
    </w:p>
    <w:p w14:paraId="0AAB0D3D" w14:textId="77777777" w:rsidR="00C50FC8" w:rsidRPr="0008468B" w:rsidRDefault="00C50FC8" w:rsidP="00C50FC8">
      <w:pPr>
        <w:pStyle w:val="Titrepartie"/>
      </w:pPr>
      <w:r w:rsidRPr="0008468B">
        <w:t>Annexes :</w:t>
      </w:r>
    </w:p>
    <w:p w14:paraId="5F279235" w14:textId="77777777" w:rsidR="00C50FC8" w:rsidRDefault="00C50FC8" w:rsidP="00C50FC8">
      <w:pPr>
        <w:pStyle w:val="Paragraphe"/>
        <w:numPr>
          <w:ilvl w:val="0"/>
          <w:numId w:val="9"/>
        </w:numPr>
      </w:pPr>
      <w:r>
        <w:t>Annexe 1 : Liste du personnel mis à disposition actualisée au 05/04/2024</w:t>
      </w:r>
    </w:p>
    <w:p w14:paraId="0C20EC2D" w14:textId="77777777" w:rsidR="00C50FC8" w:rsidRPr="005B7B74" w:rsidRDefault="00C50FC8" w:rsidP="00C50FC8">
      <w:pPr>
        <w:pStyle w:val="Paragraphe"/>
      </w:pPr>
    </w:p>
    <w:p w14:paraId="0980BCC6" w14:textId="77777777" w:rsidR="00C50FC8" w:rsidRPr="005B7B74" w:rsidRDefault="00C50FC8" w:rsidP="0060119B">
      <w:pPr>
        <w:pStyle w:val="Paragraphe"/>
      </w:pPr>
    </w:p>
    <w:sectPr w:rsidR="00C50FC8" w:rsidRPr="005B7B74" w:rsidSect="00C10E5D">
      <w:headerReference w:type="default" r:id="rId7"/>
      <w:footerReference w:type="default" r:id="rId8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5BF1" w14:textId="77777777" w:rsidR="00C10E5D" w:rsidRDefault="00C10E5D">
      <w:pPr>
        <w:spacing w:after="0" w:line="240" w:lineRule="auto"/>
      </w:pPr>
      <w:r>
        <w:separator/>
      </w:r>
    </w:p>
  </w:endnote>
  <w:endnote w:type="continuationSeparator" w:id="0">
    <w:p w14:paraId="6187AD41" w14:textId="77777777" w:rsidR="00C10E5D" w:rsidRDefault="00C1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E54">
          <w:rPr>
            <w:noProof/>
          </w:rP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96C8" w14:textId="77777777" w:rsidR="00C10E5D" w:rsidRDefault="00C10E5D">
      <w:pPr>
        <w:spacing w:after="0" w:line="240" w:lineRule="auto"/>
      </w:pPr>
      <w:r>
        <w:separator/>
      </w:r>
    </w:p>
  </w:footnote>
  <w:footnote w:type="continuationSeparator" w:id="0">
    <w:p w14:paraId="5D083046" w14:textId="77777777" w:rsidR="00C10E5D" w:rsidRDefault="00C1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6C79" w14:textId="5D9E4A51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  <w:lang w:eastAsia="fr-FR"/>
      </w:rPr>
      <w:drawing>
        <wp:inline distT="0" distB="0" distL="0" distR="0" wp14:anchorId="09635A91" wp14:editId="3A6A5A2C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1E6A99">
      <w:rPr>
        <w:rFonts w:ascii="Verdana" w:hAnsi="Verdana"/>
        <w:b/>
        <w:bCs/>
        <w:sz w:val="20"/>
        <w:szCs w:val="20"/>
      </w:rPr>
      <w:t>3.</w:t>
    </w:r>
    <w:proofErr w:type="gramStart"/>
    <w:r w:rsidR="001E6A99">
      <w:rPr>
        <w:rFonts w:ascii="Verdana" w:hAnsi="Verdana"/>
        <w:b/>
        <w:bCs/>
        <w:sz w:val="20"/>
        <w:szCs w:val="20"/>
      </w:rPr>
      <w:t>2.</w:t>
    </w:r>
    <w:r w:rsidR="003B69CC">
      <w:rPr>
        <w:rFonts w:ascii="Verdana" w:hAnsi="Verdana"/>
        <w:b/>
        <w:bCs/>
        <w:sz w:val="20"/>
        <w:szCs w:val="20"/>
      </w:rPr>
      <w:t>.</w:t>
    </w:r>
    <w:proofErr w:type="gramEnd"/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759D"/>
    <w:multiLevelType w:val="hybridMultilevel"/>
    <w:tmpl w:val="D2C8F6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270BF86">
      <w:numFmt w:val="bullet"/>
      <w:lvlText w:val="-"/>
      <w:lvlJc w:val="left"/>
      <w:pPr>
        <w:ind w:left="1440" w:hanging="360"/>
      </w:pPr>
      <w:rPr>
        <w:rFonts w:ascii="Verdana" w:eastAsiaTheme="minorHAnsi" w:hAnsi="Verdana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479"/>
    <w:multiLevelType w:val="hybridMultilevel"/>
    <w:tmpl w:val="E9AAD73A"/>
    <w:lvl w:ilvl="0" w:tplc="25324A96">
      <w:start w:val="18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00C5B5F"/>
    <w:multiLevelType w:val="hybridMultilevel"/>
    <w:tmpl w:val="CFCA3292"/>
    <w:lvl w:ilvl="0" w:tplc="9C6AF7A4">
      <w:start w:val="3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6F4071"/>
    <w:multiLevelType w:val="hybridMultilevel"/>
    <w:tmpl w:val="3F1A2DB0"/>
    <w:lvl w:ilvl="0" w:tplc="EFFE6BAC">
      <w:start w:val="2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32DEF"/>
    <w:multiLevelType w:val="multilevel"/>
    <w:tmpl w:val="6B06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Verdana" w:eastAsiaTheme="minorHAnsi" w:hAnsi="Verdana" w:cstheme="minorBid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73290"/>
    <w:multiLevelType w:val="hybridMultilevel"/>
    <w:tmpl w:val="3A8EDC5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6F18"/>
    <w:multiLevelType w:val="hybridMultilevel"/>
    <w:tmpl w:val="14BA9198"/>
    <w:lvl w:ilvl="0" w:tplc="1F9ACEC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30CC5"/>
    <w:multiLevelType w:val="hybridMultilevel"/>
    <w:tmpl w:val="4200562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CA05C7"/>
    <w:multiLevelType w:val="hybridMultilevel"/>
    <w:tmpl w:val="B86EF1B6"/>
    <w:lvl w:ilvl="0" w:tplc="18CCB87A">
      <w:start w:val="1"/>
      <w:numFmt w:val="lowerRoman"/>
      <w:lvlText w:val="(%1)"/>
      <w:lvlJc w:val="right"/>
      <w:pPr>
        <w:ind w:left="7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4" w:hanging="360"/>
      </w:pPr>
    </w:lvl>
    <w:lvl w:ilvl="2" w:tplc="2000001B" w:tentative="1">
      <w:start w:val="1"/>
      <w:numFmt w:val="lowerRoman"/>
      <w:lvlText w:val="%3."/>
      <w:lvlJc w:val="right"/>
      <w:pPr>
        <w:ind w:left="2164" w:hanging="180"/>
      </w:pPr>
    </w:lvl>
    <w:lvl w:ilvl="3" w:tplc="2000000F" w:tentative="1">
      <w:start w:val="1"/>
      <w:numFmt w:val="decimal"/>
      <w:lvlText w:val="%4."/>
      <w:lvlJc w:val="left"/>
      <w:pPr>
        <w:ind w:left="2884" w:hanging="360"/>
      </w:pPr>
    </w:lvl>
    <w:lvl w:ilvl="4" w:tplc="20000019" w:tentative="1">
      <w:start w:val="1"/>
      <w:numFmt w:val="lowerLetter"/>
      <w:lvlText w:val="%5."/>
      <w:lvlJc w:val="left"/>
      <w:pPr>
        <w:ind w:left="3604" w:hanging="360"/>
      </w:pPr>
    </w:lvl>
    <w:lvl w:ilvl="5" w:tplc="2000001B" w:tentative="1">
      <w:start w:val="1"/>
      <w:numFmt w:val="lowerRoman"/>
      <w:lvlText w:val="%6."/>
      <w:lvlJc w:val="right"/>
      <w:pPr>
        <w:ind w:left="4324" w:hanging="180"/>
      </w:pPr>
    </w:lvl>
    <w:lvl w:ilvl="6" w:tplc="2000000F" w:tentative="1">
      <w:start w:val="1"/>
      <w:numFmt w:val="decimal"/>
      <w:lvlText w:val="%7."/>
      <w:lvlJc w:val="left"/>
      <w:pPr>
        <w:ind w:left="5044" w:hanging="360"/>
      </w:pPr>
    </w:lvl>
    <w:lvl w:ilvl="7" w:tplc="20000019" w:tentative="1">
      <w:start w:val="1"/>
      <w:numFmt w:val="lowerLetter"/>
      <w:lvlText w:val="%8."/>
      <w:lvlJc w:val="left"/>
      <w:pPr>
        <w:ind w:left="5764" w:hanging="360"/>
      </w:pPr>
    </w:lvl>
    <w:lvl w:ilvl="8" w:tplc="2000001B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822281874">
    <w:abstractNumId w:val="8"/>
  </w:num>
  <w:num w:numId="2" w16cid:durableId="1510484193">
    <w:abstractNumId w:val="12"/>
  </w:num>
  <w:num w:numId="3" w16cid:durableId="444233686">
    <w:abstractNumId w:val="5"/>
  </w:num>
  <w:num w:numId="4" w16cid:durableId="1016420019">
    <w:abstractNumId w:val="1"/>
  </w:num>
  <w:num w:numId="5" w16cid:durableId="1823227432">
    <w:abstractNumId w:val="11"/>
  </w:num>
  <w:num w:numId="6" w16cid:durableId="1104495998">
    <w:abstractNumId w:val="7"/>
  </w:num>
  <w:num w:numId="7" w16cid:durableId="884759964">
    <w:abstractNumId w:val="9"/>
  </w:num>
  <w:num w:numId="8" w16cid:durableId="1778482098">
    <w:abstractNumId w:val="5"/>
    <w:lvlOverride w:ilvl="0">
      <w:startOverride w:val="1"/>
    </w:lvlOverride>
  </w:num>
  <w:num w:numId="9" w16cid:durableId="1510751224">
    <w:abstractNumId w:val="4"/>
  </w:num>
  <w:num w:numId="10" w16cid:durableId="955604512">
    <w:abstractNumId w:val="10"/>
  </w:num>
  <w:num w:numId="11" w16cid:durableId="79760926">
    <w:abstractNumId w:val="16"/>
  </w:num>
  <w:num w:numId="12" w16cid:durableId="727532713">
    <w:abstractNumId w:val="2"/>
  </w:num>
  <w:num w:numId="13" w16cid:durableId="360521447">
    <w:abstractNumId w:val="6"/>
  </w:num>
  <w:num w:numId="14" w16cid:durableId="1127820075">
    <w:abstractNumId w:val="5"/>
  </w:num>
  <w:num w:numId="15" w16cid:durableId="860750725">
    <w:abstractNumId w:val="5"/>
  </w:num>
  <w:num w:numId="16" w16cid:durableId="1880127368">
    <w:abstractNumId w:val="5"/>
  </w:num>
  <w:num w:numId="17" w16cid:durableId="1208762026">
    <w:abstractNumId w:val="5"/>
  </w:num>
  <w:num w:numId="18" w16cid:durableId="1857769039">
    <w:abstractNumId w:val="5"/>
  </w:num>
  <w:num w:numId="19" w16cid:durableId="1636183969">
    <w:abstractNumId w:val="5"/>
  </w:num>
  <w:num w:numId="20" w16cid:durableId="925848688">
    <w:abstractNumId w:val="5"/>
  </w:num>
  <w:num w:numId="21" w16cid:durableId="360516182">
    <w:abstractNumId w:val="5"/>
  </w:num>
  <w:num w:numId="22" w16cid:durableId="1996182920">
    <w:abstractNumId w:val="3"/>
  </w:num>
  <w:num w:numId="23" w16cid:durableId="1983076436">
    <w:abstractNumId w:val="13"/>
  </w:num>
  <w:num w:numId="24" w16cid:durableId="1702702424">
    <w:abstractNumId w:val="0"/>
  </w:num>
  <w:num w:numId="25" w16cid:durableId="39281340">
    <w:abstractNumId w:val="14"/>
  </w:num>
  <w:num w:numId="26" w16cid:durableId="820970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373B2"/>
    <w:rsid w:val="00042BA6"/>
    <w:rsid w:val="00042CF5"/>
    <w:rsid w:val="00043D3B"/>
    <w:rsid w:val="00060CA0"/>
    <w:rsid w:val="00063A26"/>
    <w:rsid w:val="000651CE"/>
    <w:rsid w:val="00065519"/>
    <w:rsid w:val="0007086B"/>
    <w:rsid w:val="00082AAF"/>
    <w:rsid w:val="0008468B"/>
    <w:rsid w:val="000914A7"/>
    <w:rsid w:val="000A468A"/>
    <w:rsid w:val="000B0FBD"/>
    <w:rsid w:val="000B1016"/>
    <w:rsid w:val="000D1BC7"/>
    <w:rsid w:val="000D6ED8"/>
    <w:rsid w:val="000F4728"/>
    <w:rsid w:val="00107D9D"/>
    <w:rsid w:val="00134639"/>
    <w:rsid w:val="00143E20"/>
    <w:rsid w:val="00147760"/>
    <w:rsid w:val="0016141B"/>
    <w:rsid w:val="00162304"/>
    <w:rsid w:val="00181467"/>
    <w:rsid w:val="0018252D"/>
    <w:rsid w:val="00190AD0"/>
    <w:rsid w:val="00197F40"/>
    <w:rsid w:val="001A56F1"/>
    <w:rsid w:val="001B4738"/>
    <w:rsid w:val="001B5D63"/>
    <w:rsid w:val="001D14CB"/>
    <w:rsid w:val="001D4819"/>
    <w:rsid w:val="001E13E8"/>
    <w:rsid w:val="001E6A99"/>
    <w:rsid w:val="001F5AC6"/>
    <w:rsid w:val="00210CDB"/>
    <w:rsid w:val="00240174"/>
    <w:rsid w:val="00243158"/>
    <w:rsid w:val="002710DF"/>
    <w:rsid w:val="0027277A"/>
    <w:rsid w:val="002843E1"/>
    <w:rsid w:val="002A0933"/>
    <w:rsid w:val="002A096E"/>
    <w:rsid w:val="002C56ED"/>
    <w:rsid w:val="002E4110"/>
    <w:rsid w:val="002E6545"/>
    <w:rsid w:val="002E71FD"/>
    <w:rsid w:val="003604B9"/>
    <w:rsid w:val="003772FB"/>
    <w:rsid w:val="003876C5"/>
    <w:rsid w:val="00387A0E"/>
    <w:rsid w:val="00391152"/>
    <w:rsid w:val="00393620"/>
    <w:rsid w:val="003A4813"/>
    <w:rsid w:val="003B69CC"/>
    <w:rsid w:val="003C2538"/>
    <w:rsid w:val="003D485F"/>
    <w:rsid w:val="003D5328"/>
    <w:rsid w:val="003E243C"/>
    <w:rsid w:val="0041278C"/>
    <w:rsid w:val="00414E61"/>
    <w:rsid w:val="00417683"/>
    <w:rsid w:val="00426673"/>
    <w:rsid w:val="00431B56"/>
    <w:rsid w:val="00445205"/>
    <w:rsid w:val="004607F7"/>
    <w:rsid w:val="004A0619"/>
    <w:rsid w:val="004B6E3B"/>
    <w:rsid w:val="004C3445"/>
    <w:rsid w:val="004C4988"/>
    <w:rsid w:val="004F47DB"/>
    <w:rsid w:val="004F5C4B"/>
    <w:rsid w:val="00503451"/>
    <w:rsid w:val="00523988"/>
    <w:rsid w:val="0053773D"/>
    <w:rsid w:val="005729E5"/>
    <w:rsid w:val="00584059"/>
    <w:rsid w:val="005B7B74"/>
    <w:rsid w:val="005C438F"/>
    <w:rsid w:val="005E20B1"/>
    <w:rsid w:val="0060119B"/>
    <w:rsid w:val="00620B90"/>
    <w:rsid w:val="006235C8"/>
    <w:rsid w:val="006240A7"/>
    <w:rsid w:val="006356AF"/>
    <w:rsid w:val="006548BF"/>
    <w:rsid w:val="006556F2"/>
    <w:rsid w:val="00660504"/>
    <w:rsid w:val="00697FB4"/>
    <w:rsid w:val="006B1E54"/>
    <w:rsid w:val="006C6513"/>
    <w:rsid w:val="006E2D9E"/>
    <w:rsid w:val="006E473A"/>
    <w:rsid w:val="006E5791"/>
    <w:rsid w:val="006F3649"/>
    <w:rsid w:val="0071792B"/>
    <w:rsid w:val="0072778A"/>
    <w:rsid w:val="0078104E"/>
    <w:rsid w:val="007819FC"/>
    <w:rsid w:val="007B049C"/>
    <w:rsid w:val="007B245C"/>
    <w:rsid w:val="007C78FC"/>
    <w:rsid w:val="007F38C5"/>
    <w:rsid w:val="0080321C"/>
    <w:rsid w:val="00816DAC"/>
    <w:rsid w:val="00830A69"/>
    <w:rsid w:val="0083290E"/>
    <w:rsid w:val="00843FF2"/>
    <w:rsid w:val="008453AB"/>
    <w:rsid w:val="00854EEA"/>
    <w:rsid w:val="008551DA"/>
    <w:rsid w:val="00863605"/>
    <w:rsid w:val="0087090F"/>
    <w:rsid w:val="00871DA7"/>
    <w:rsid w:val="00896999"/>
    <w:rsid w:val="008C3DE0"/>
    <w:rsid w:val="008D193F"/>
    <w:rsid w:val="008F173C"/>
    <w:rsid w:val="00900335"/>
    <w:rsid w:val="00903B90"/>
    <w:rsid w:val="0094702F"/>
    <w:rsid w:val="009470F8"/>
    <w:rsid w:val="00951A1B"/>
    <w:rsid w:val="00953641"/>
    <w:rsid w:val="00955BB3"/>
    <w:rsid w:val="00970EAE"/>
    <w:rsid w:val="009A38AD"/>
    <w:rsid w:val="009A7CC1"/>
    <w:rsid w:val="009C3E0F"/>
    <w:rsid w:val="009D01FF"/>
    <w:rsid w:val="009D4F28"/>
    <w:rsid w:val="00A106DD"/>
    <w:rsid w:val="00A148A1"/>
    <w:rsid w:val="00A15337"/>
    <w:rsid w:val="00A17FC0"/>
    <w:rsid w:val="00A36C09"/>
    <w:rsid w:val="00A37C9F"/>
    <w:rsid w:val="00A55CDB"/>
    <w:rsid w:val="00A70123"/>
    <w:rsid w:val="00A71C32"/>
    <w:rsid w:val="00A71F5C"/>
    <w:rsid w:val="00A76B07"/>
    <w:rsid w:val="00A81B98"/>
    <w:rsid w:val="00A90305"/>
    <w:rsid w:val="00AA63A3"/>
    <w:rsid w:val="00AB0928"/>
    <w:rsid w:val="00AB5EB7"/>
    <w:rsid w:val="00AC4EAE"/>
    <w:rsid w:val="00AD4D97"/>
    <w:rsid w:val="00AE2453"/>
    <w:rsid w:val="00AE4956"/>
    <w:rsid w:val="00B04FA8"/>
    <w:rsid w:val="00B05DFC"/>
    <w:rsid w:val="00B05EC9"/>
    <w:rsid w:val="00B0749D"/>
    <w:rsid w:val="00B30539"/>
    <w:rsid w:val="00B36EEA"/>
    <w:rsid w:val="00B42332"/>
    <w:rsid w:val="00B57DD0"/>
    <w:rsid w:val="00B63F64"/>
    <w:rsid w:val="00BA1E49"/>
    <w:rsid w:val="00BA4B55"/>
    <w:rsid w:val="00BB3C22"/>
    <w:rsid w:val="00BC35F8"/>
    <w:rsid w:val="00BC74A1"/>
    <w:rsid w:val="00BF1253"/>
    <w:rsid w:val="00BF4EC9"/>
    <w:rsid w:val="00C10E5D"/>
    <w:rsid w:val="00C12C93"/>
    <w:rsid w:val="00C325F5"/>
    <w:rsid w:val="00C457E8"/>
    <w:rsid w:val="00C50FC8"/>
    <w:rsid w:val="00C5175D"/>
    <w:rsid w:val="00C609B9"/>
    <w:rsid w:val="00C86C3C"/>
    <w:rsid w:val="00CA2F58"/>
    <w:rsid w:val="00CA4892"/>
    <w:rsid w:val="00CD0E8D"/>
    <w:rsid w:val="00CE2386"/>
    <w:rsid w:val="00D009D9"/>
    <w:rsid w:val="00D032A1"/>
    <w:rsid w:val="00D03521"/>
    <w:rsid w:val="00D17991"/>
    <w:rsid w:val="00D35B23"/>
    <w:rsid w:val="00D913E2"/>
    <w:rsid w:val="00DD6AC7"/>
    <w:rsid w:val="00E143E6"/>
    <w:rsid w:val="00E2715F"/>
    <w:rsid w:val="00E32408"/>
    <w:rsid w:val="00E3530B"/>
    <w:rsid w:val="00E845D4"/>
    <w:rsid w:val="00E921DA"/>
    <w:rsid w:val="00EC22CC"/>
    <w:rsid w:val="00ED6B69"/>
    <w:rsid w:val="00ED7E46"/>
    <w:rsid w:val="00EE34F4"/>
    <w:rsid w:val="00EF22A4"/>
    <w:rsid w:val="00F060F8"/>
    <w:rsid w:val="00F1064E"/>
    <w:rsid w:val="00F37304"/>
    <w:rsid w:val="00F4676C"/>
    <w:rsid w:val="00F54331"/>
    <w:rsid w:val="00F54EA0"/>
    <w:rsid w:val="00F57C84"/>
    <w:rsid w:val="00F66386"/>
    <w:rsid w:val="00F87B7E"/>
    <w:rsid w:val="00F96EE9"/>
    <w:rsid w:val="00FE285D"/>
    <w:rsid w:val="00FE7E46"/>
    <w:rsid w:val="00FF3557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docId w15:val="{3D5B000F-BE59-457B-A9C2-A867E067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Rvision">
    <w:name w:val="Revision"/>
    <w:hidden/>
    <w:uiPriority w:val="99"/>
    <w:semiHidden/>
    <w:rsid w:val="005B7B7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A1B"/>
    <w:rPr>
      <w:rFonts w:ascii="Tahoma" w:hAnsi="Tahoma" w:cs="Tahoma"/>
      <w:sz w:val="16"/>
      <w:szCs w:val="16"/>
    </w:rPr>
  </w:style>
  <w:style w:type="paragraph" w:customStyle="1" w:styleId="pf0">
    <w:name w:val="pf0"/>
    <w:basedOn w:val="Normal"/>
    <w:rsid w:val="001D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f01">
    <w:name w:val="cf01"/>
    <w:basedOn w:val="Policepardfaut"/>
    <w:rsid w:val="001D481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4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4268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2</cp:revision>
  <cp:lastPrinted>2024-04-05T09:38:00Z</cp:lastPrinted>
  <dcterms:created xsi:type="dcterms:W3CDTF">2024-04-05T13:37:00Z</dcterms:created>
  <dcterms:modified xsi:type="dcterms:W3CDTF">2024-04-05T13:37:00Z</dcterms:modified>
</cp:coreProperties>
</file>