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F516" w14:textId="372B3060" w:rsidR="00B14209" w:rsidRPr="00B14209" w:rsidRDefault="00B14209" w:rsidP="002423E1">
      <w:pPr>
        <w:keepNext/>
        <w:keepLines/>
        <w:pBdr>
          <w:bottom w:val="single" w:sz="4" w:space="8" w:color="auto"/>
        </w:pBdr>
        <w:spacing w:after="240" w:line="240" w:lineRule="auto"/>
        <w:jc w:val="center"/>
        <w:outlineLvl w:val="0"/>
        <w:rPr>
          <w:rFonts w:ascii="Verdana" w:eastAsia="Times New Roman" w:hAnsi="Verdana" w:cs="Calibri Light"/>
          <w:b/>
          <w:bCs/>
          <w:iCs/>
          <w:color w:val="004171"/>
          <w:kern w:val="0"/>
          <w:sz w:val="40"/>
          <w:szCs w:val="40"/>
          <w:lang w:val="fr-FR"/>
          <w14:ligatures w14:val="none"/>
        </w:rPr>
      </w:pPr>
      <w:bookmarkStart w:id="0" w:name="_Toc138165803"/>
      <w:r w:rsidRPr="00B14209">
        <w:rPr>
          <w:rFonts w:ascii="Verdana" w:eastAsia="Times New Roman" w:hAnsi="Verdana" w:cs="Calibri Light"/>
          <w:b/>
          <w:bCs/>
          <w:iCs/>
          <w:color w:val="004171"/>
          <w:kern w:val="0"/>
          <w:sz w:val="40"/>
          <w:szCs w:val="40"/>
          <w:lang w:val="fr-FR" w:bidi="fr-FR"/>
          <w14:ligatures w14:val="none"/>
        </w:rPr>
        <w:t>Projet d’accord</w:t>
      </w:r>
      <w:bookmarkEnd w:id="0"/>
    </w:p>
    <w:p w14:paraId="68523105" w14:textId="77777777" w:rsidR="00B14209" w:rsidRPr="00B14209" w:rsidRDefault="00B14209" w:rsidP="00B14209">
      <w:pPr>
        <w:keepNext/>
        <w:keepLines/>
        <w:tabs>
          <w:tab w:val="left" w:pos="851"/>
          <w:tab w:val="left" w:pos="2835"/>
        </w:tabs>
        <w:spacing w:after="80" w:line="276" w:lineRule="auto"/>
        <w:outlineLvl w:val="1"/>
        <w:rPr>
          <w:rFonts w:ascii="Verdana" w:eastAsiaTheme="majorEastAsia" w:hAnsi="Verdana" w:cs="Times New Roman (Headings CS)"/>
          <w:b/>
          <w:bCs/>
          <w:color w:val="004171"/>
          <w:kern w:val="0"/>
          <w:sz w:val="32"/>
          <w:szCs w:val="32"/>
          <w:lang w:val="fr-FR"/>
          <w14:ligatures w14:val="none"/>
        </w:rPr>
      </w:pPr>
      <w:bookmarkStart w:id="1" w:name="_Toc138165804"/>
      <w:proofErr w:type="gramStart"/>
      <w:r w:rsidRPr="00B14209">
        <w:rPr>
          <w:rFonts w:ascii="Verdana" w:eastAsiaTheme="majorEastAsia" w:hAnsi="Verdana" w:cs="Times New Roman (Headings CS)"/>
          <w:b/>
          <w:bCs/>
          <w:color w:val="004171"/>
          <w:kern w:val="0"/>
          <w:sz w:val="32"/>
          <w:szCs w:val="32"/>
          <w:lang w:val="fr-FR" w:bidi="fr-FR"/>
          <w14:ligatures w14:val="none"/>
        </w:rPr>
        <w:t>sur</w:t>
      </w:r>
      <w:proofErr w:type="gramEnd"/>
      <w:r w:rsidRPr="00B14209">
        <w:rPr>
          <w:rFonts w:ascii="Verdana" w:eastAsiaTheme="majorEastAsia" w:hAnsi="Verdana" w:cs="Times New Roman (Headings CS)"/>
          <w:b/>
          <w:bCs/>
          <w:color w:val="004171"/>
          <w:kern w:val="0"/>
          <w:sz w:val="32"/>
          <w:szCs w:val="32"/>
          <w:lang w:val="fr-FR" w:bidi="fr-FR"/>
          <w14:ligatures w14:val="none"/>
        </w:rPr>
        <w:t xml:space="preserve"> la certification et la coordination des observateurs scientifiques des États côtiers du sud-ouest de l’océan Indien au niveau sous-régional et sur l’échange des informations et données recueillies par les observateurs</w:t>
      </w:r>
      <w:bookmarkEnd w:id="1"/>
    </w:p>
    <w:p w14:paraId="342F7977" w14:textId="77777777" w:rsidR="00B14209" w:rsidRPr="00B14209" w:rsidRDefault="00B14209" w:rsidP="00B14209">
      <w:pPr>
        <w:spacing w:after="120" w:line="276" w:lineRule="auto"/>
        <w:jc w:val="both"/>
        <w:rPr>
          <w:rFonts w:ascii="Verdana" w:hAnsi="Verdana"/>
          <w:b/>
          <w:bCs/>
          <w:iCs/>
          <w:color w:val="000000" w:themeColor="text1"/>
          <w:kern w:val="0"/>
          <w:sz w:val="21"/>
          <w:szCs w:val="21"/>
          <w:lang w:val="fr-FR"/>
          <w14:ligatures w14:val="none"/>
        </w:rPr>
      </w:pPr>
    </w:p>
    <w:p w14:paraId="4C380156" w14:textId="5C4B56B1"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b/>
          <w:iCs/>
          <w:color w:val="000000" w:themeColor="text1"/>
          <w:kern w:val="0"/>
          <w:sz w:val="21"/>
          <w:szCs w:val="21"/>
          <w:lang w:val="fr-FR" w:bidi="fr-FR"/>
          <w14:ligatures w14:val="none"/>
        </w:rPr>
        <w:t xml:space="preserve">Les États participant </w:t>
      </w:r>
      <w:bookmarkStart w:id="2" w:name="_Hlk149565724"/>
      <w:r w:rsidRPr="00B14209">
        <w:rPr>
          <w:rFonts w:ascii="Verdana" w:hAnsi="Verdana"/>
          <w:b/>
          <w:iCs/>
          <w:color w:val="000000" w:themeColor="text1"/>
          <w:kern w:val="0"/>
          <w:sz w:val="21"/>
          <w:szCs w:val="21"/>
          <w:lang w:val="fr-FR" w:bidi="fr-FR"/>
          <w14:ligatures w14:val="none"/>
        </w:rPr>
        <w:t>d</w:t>
      </w:r>
      <w:r w:rsidR="002423E1">
        <w:rPr>
          <w:rFonts w:ascii="Verdana" w:hAnsi="Verdana"/>
          <w:b/>
          <w:iCs/>
          <w:color w:val="000000" w:themeColor="text1"/>
          <w:kern w:val="0"/>
          <w:sz w:val="21"/>
          <w:szCs w:val="21"/>
          <w:lang w:val="fr-FR" w:bidi="fr-FR"/>
          <w14:ligatures w14:val="none"/>
        </w:rPr>
        <w:t>u</w:t>
      </w:r>
      <w:r w:rsidRPr="00B14209">
        <w:rPr>
          <w:rFonts w:ascii="Verdana" w:hAnsi="Verdana"/>
          <w:b/>
          <w:iCs/>
          <w:color w:val="000000" w:themeColor="text1"/>
          <w:kern w:val="0"/>
          <w:sz w:val="21"/>
          <w:szCs w:val="21"/>
          <w:lang w:val="fr-FR" w:bidi="fr-FR"/>
          <w14:ligatures w14:val="none"/>
        </w:rPr>
        <w:t xml:space="preserve"> </w:t>
      </w:r>
      <w:r w:rsidR="002423E1" w:rsidRPr="002423E1">
        <w:rPr>
          <w:rFonts w:ascii="Verdana" w:hAnsi="Verdana"/>
          <w:b/>
          <w:iCs/>
          <w:color w:val="000000" w:themeColor="text1"/>
          <w:kern w:val="0"/>
          <w:sz w:val="21"/>
          <w:szCs w:val="21"/>
          <w:lang w:val="fr-FR" w:bidi="fr-FR"/>
          <w14:ligatures w14:val="none"/>
        </w:rPr>
        <w:t>Centre de Suivi, de Contrôle, de Surveillance et d'Observation des Pêches (CSCSOP)</w:t>
      </w:r>
      <w:bookmarkEnd w:id="2"/>
      <w:r w:rsidR="002423E1">
        <w:rPr>
          <w:rFonts w:ascii="Verdana" w:hAnsi="Verdana"/>
          <w:b/>
          <w:iCs/>
          <w:color w:val="000000" w:themeColor="text1"/>
          <w:kern w:val="0"/>
          <w:sz w:val="21"/>
          <w:szCs w:val="21"/>
          <w:lang w:val="fr-FR" w:bidi="fr-FR"/>
          <w14:ligatures w14:val="none"/>
        </w:rPr>
        <w:t xml:space="preserve"> sous-régional,</w:t>
      </w:r>
    </w:p>
    <w:p w14:paraId="1B981FC7"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RAPPELANT l’alinéa g) du paragraphe 4 de l’article 62 </w:t>
      </w:r>
      <w:r w:rsidRPr="00B14209">
        <w:rPr>
          <w:rFonts w:ascii="Verdana" w:hAnsi="Verdana"/>
          <w:i/>
          <w:iCs/>
          <w:color w:val="000000" w:themeColor="text1"/>
          <w:kern w:val="0"/>
          <w:sz w:val="21"/>
          <w:szCs w:val="21"/>
          <w:lang w:val="fr-FR" w:bidi="fr-FR"/>
          <w14:ligatures w14:val="none"/>
        </w:rPr>
        <w:t>(Exploitation des ressources biologiques)</w:t>
      </w:r>
      <w:r w:rsidRPr="00B14209">
        <w:rPr>
          <w:rFonts w:ascii="Verdana" w:hAnsi="Verdana"/>
          <w:iCs/>
          <w:color w:val="000000" w:themeColor="text1"/>
          <w:kern w:val="0"/>
          <w:sz w:val="21"/>
          <w:szCs w:val="21"/>
          <w:lang w:val="fr-FR" w:bidi="fr-FR"/>
          <w14:ligatures w14:val="none"/>
        </w:rPr>
        <w:t xml:space="preserve"> de la Convention des Nations Unies sur le droit de la mer de 1982, qui définit les droits et obligations des États côtiers en ce qui concerne le placement d’observateurs ou de stagiaires à bord de navires qui pêchent dans la zone économique exclusive (ZEE) de l’État côtier,</w:t>
      </w:r>
    </w:p>
    <w:p w14:paraId="3607DF79" w14:textId="77777777" w:rsidR="00B14209" w:rsidRPr="00B14209" w:rsidRDefault="00B14209" w:rsidP="00B14209">
      <w:pPr>
        <w:spacing w:after="120" w:line="276" w:lineRule="auto"/>
        <w:jc w:val="both"/>
        <w:rPr>
          <w:rFonts w:ascii="Verdana" w:hAnsi="Verdana"/>
          <w:iCs/>
          <w:color w:val="000000" w:themeColor="text1"/>
          <w:spacing w:val="-4"/>
          <w:kern w:val="0"/>
          <w:sz w:val="21"/>
          <w:szCs w:val="21"/>
          <w:lang w:val="fr-FR"/>
          <w14:ligatures w14:val="none"/>
        </w:rPr>
      </w:pPr>
      <w:r w:rsidRPr="00B14209">
        <w:rPr>
          <w:rFonts w:ascii="Verdana" w:hAnsi="Verdana"/>
          <w:iCs/>
          <w:color w:val="000000" w:themeColor="text1"/>
          <w:spacing w:val="-4"/>
          <w:kern w:val="0"/>
          <w:sz w:val="21"/>
          <w:szCs w:val="21"/>
          <w:lang w:val="fr-FR" w:bidi="fr-FR"/>
          <w14:ligatures w14:val="none"/>
        </w:rPr>
        <w:t xml:space="preserve">CONSIDÉRANT l’article 64 </w:t>
      </w:r>
      <w:r w:rsidRPr="00B14209">
        <w:rPr>
          <w:rFonts w:ascii="Verdana" w:hAnsi="Verdana"/>
          <w:i/>
          <w:iCs/>
          <w:color w:val="000000" w:themeColor="text1"/>
          <w:spacing w:val="-4"/>
          <w:kern w:val="0"/>
          <w:sz w:val="21"/>
          <w:szCs w:val="21"/>
          <w:lang w:val="fr-FR" w:bidi="fr-FR"/>
          <w14:ligatures w14:val="none"/>
        </w:rPr>
        <w:t>(Grands migrateurs</w:t>
      </w:r>
      <w:r w:rsidRPr="00B14209">
        <w:rPr>
          <w:rFonts w:ascii="Verdana" w:hAnsi="Verdana"/>
          <w:iCs/>
          <w:color w:val="000000" w:themeColor="text1"/>
          <w:spacing w:val="-4"/>
          <w:kern w:val="0"/>
          <w:sz w:val="21"/>
          <w:szCs w:val="21"/>
          <w:lang w:val="fr-FR" w:bidi="fr-FR"/>
          <w14:ligatures w14:val="none"/>
        </w:rPr>
        <w:t xml:space="preserve">) de la Convention des Nations Unies sur le droit de la mer, qui établit le droit et l’obligation des États côtiers de coopérer, directement ou par l’intermédiaire des organisations internationales appropriées, afin d’assurer la conservation des espèces de grands migrateurs et de promouvoir </w:t>
      </w:r>
      <w:proofErr w:type="gramStart"/>
      <w:r w:rsidRPr="00B14209">
        <w:rPr>
          <w:rFonts w:ascii="Verdana" w:hAnsi="Verdana"/>
          <w:iCs/>
          <w:color w:val="000000" w:themeColor="text1"/>
          <w:spacing w:val="-4"/>
          <w:kern w:val="0"/>
          <w:sz w:val="21"/>
          <w:szCs w:val="21"/>
          <w:lang w:val="fr-FR" w:bidi="fr-FR"/>
          <w14:ligatures w14:val="none"/>
        </w:rPr>
        <w:t>l’exploitation</w:t>
      </w:r>
      <w:proofErr w:type="gramEnd"/>
      <w:r w:rsidRPr="00B14209">
        <w:rPr>
          <w:rFonts w:ascii="Verdana" w:hAnsi="Verdana"/>
          <w:iCs/>
          <w:color w:val="000000" w:themeColor="text1"/>
          <w:spacing w:val="-4"/>
          <w:kern w:val="0"/>
          <w:sz w:val="21"/>
          <w:szCs w:val="21"/>
          <w:lang w:val="fr-FR" w:bidi="fr-FR"/>
          <w14:ligatures w14:val="none"/>
        </w:rPr>
        <w:t xml:space="preserve"> optimale de ces espèces dans l’ensemble de la région, aussi bien dans la zone économique exclusive (ZEE) qu’au-delà de celle-ci, </w:t>
      </w:r>
    </w:p>
    <w:p w14:paraId="6714F80D"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EU ÉGARD à la gouvernance exercée par les organisations régionales de gestion des pêches qui ont compétence dans l’océan Indien, notamment l’Accord relatif aux pêches dans le sud de l’océan Indien (APSOI) et la Commission des thons de l’océan Indien (CTOI),  </w:t>
      </w:r>
    </w:p>
    <w:p w14:paraId="2A7CF56C"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NOTANT que l’alinéa d) du paragraphe 4 de l’article 13 de l’Accord relatif aux pêches dans le sud de l’océan Indien fait référence à la coopération avec les États en développement en matière de suivi, de contrôle, de surveillance, de conformité et d’exécution, y compris la mise au point et le financement de programmes d’observation nationaux et régionaux et l’accès aux technologies,  </w:t>
      </w:r>
    </w:p>
    <w:p w14:paraId="16DFFCE4"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NOTANT que l’alinéa b) du paragraphe 2 de l’article V de l’Accord portant création de la CTOI définit comme suit les fonctions et responsabilités de celle-ci : </w:t>
      </w:r>
      <w:r w:rsidRPr="00B14209">
        <w:rPr>
          <w:rFonts w:ascii="Verdana" w:hAnsi="Verdana"/>
          <w:i/>
          <w:iCs/>
          <w:color w:val="000000" w:themeColor="text1"/>
          <w:kern w:val="0"/>
          <w:sz w:val="21"/>
          <w:szCs w:val="21"/>
          <w:lang w:val="fr-FR" w:bidi="fr-FR"/>
          <w14:ligatures w14:val="none"/>
        </w:rPr>
        <w:t>« encourager, recommander et coordonner des activités de recherche et de développement concernant les stocks et les pêcheries couverts par le présent Accord, et autres activités que la Commission pourrait juger appropriées, y compris des activités liées au transfert de techniques, à la formation et à la valorisation, compte dûment tenu de la nécessité d’assurer la participation équitable des membres de la Commission aux pêcheries, ainsi que des intérêts et besoins particuliers des membres de la région qui sont des pays en développement »,</w:t>
      </w:r>
    </w:p>
    <w:p w14:paraId="29F5635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 xml:space="preserve">EU ÉGARD au paragraphe 3 de la résolution 22/04 de la CTOI </w:t>
      </w:r>
      <w:r w:rsidRPr="00B14209">
        <w:rPr>
          <w:rFonts w:ascii="Verdana" w:hAnsi="Verdana"/>
          <w:i/>
          <w:iCs/>
          <w:color w:val="000000" w:themeColor="text1"/>
          <w:kern w:val="0"/>
          <w:sz w:val="21"/>
          <w:szCs w:val="21"/>
          <w:lang w:val="fr-FR" w:bidi="fr-FR"/>
          <w14:ligatures w14:val="none"/>
        </w:rPr>
        <w:t>sur un Mécanisme régional d’observateurs</w:t>
      </w:r>
      <w:r w:rsidRPr="00B14209">
        <w:rPr>
          <w:rFonts w:ascii="Verdana" w:hAnsi="Verdana"/>
          <w:iCs/>
          <w:color w:val="000000" w:themeColor="text1"/>
          <w:kern w:val="0"/>
          <w:sz w:val="21"/>
          <w:szCs w:val="21"/>
          <w:lang w:val="fr-FR" w:bidi="fr-FR"/>
          <w14:ligatures w14:val="none"/>
        </w:rPr>
        <w:t xml:space="preserve">, selon lequel chaque Partie Coopérante Non Contractante (CPC) doit s’assurer que tous les navires de pêche de 24 m de longueur hors-tout et plus ou de moins de 24 m s’ils opèrent hors de la zone économique exclusive (ZEE) de leur État du pavillon et dans la zone de compétence de la CTOI respectent la couverture d’observateurs minimale de 5 %, définie par le nombre d’opérations, </w:t>
      </w:r>
    </w:p>
    <w:p w14:paraId="45F0B009"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EU ÉGARD au paragraphe 10 de la résolution 22/04 de la CTOI, qui dispose que les CPC ont la responsabilité au premier chef de recruter des observateurs qualifiés et que chaque CPC peut choisir d’affecter des ressortissants ou non ressortissants de l’État du pavillon du navire sur lequel ils sont déployés,</w:t>
      </w:r>
    </w:p>
    <w:p w14:paraId="3D9E2249"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AYANT À L’ESPRIT les normes du Mécanisme régional d’observateurs élaborées par la CTOI en vue de l’adhésion des Parties non contractantes coopérantes aux programmes nationaux d’observateurs, </w:t>
      </w:r>
    </w:p>
    <w:p w14:paraId="76961C43"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CONSIDÉRANT la législation nationale applicable des Parties, qui donne mandat pour placer des observateurs sur des navires nationaux et étrangers et confie auxdits observateurs des fonctions, des pouvoirs et des devoirs,</w:t>
      </w:r>
    </w:p>
    <w:p w14:paraId="77C73D0F"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DÉTERMINÉS à appliquer les décisions et recommandations concernant les observateurs prises par les organisations régionales de gestion des pêches compétentes, </w:t>
      </w:r>
    </w:p>
    <w:p w14:paraId="317E5911"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COMPTE TENU de l’intérêt et de la volonté de toutes les Parties de renforcer leur capacité de coopération en vue de promouvoir l’exploitation durable des ressources halieutiques et de recueillir des données scientifiques indépendantes et fiables sur les pêches par une action conjointe et concertée,</w:t>
      </w:r>
    </w:p>
    <w:p w14:paraId="572BBB50"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PRENANT ACTE de l’Accord entre le Secrétariat de la Commission de l’océan Indien (COI) et les États membres de la COI sur un arrangement administratif, signé le 14 octobre 2014, et de l’extension ultérieure de cet arrangement aux États d’Afrique de l’Est que sont le Kenya, le Mozambique et la République de Somalie, </w:t>
      </w:r>
    </w:p>
    <w:p w14:paraId="43BDD99C" w14:textId="086AD004"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RECONNAISSANT la Déclaration adoptée par la Conférence ministérielle des pêches de la Commission de l’océan Indien qui s’est tenue en 2017 à Madagascar en vue de lutter contre la pêche illicite, non déclarée et non réglementée dans le sud-ouest de l’océan Indien, notant la mise en place du Groupe de travail des responsables des programmes nationaux d’observateurs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établi par le </w:t>
      </w:r>
      <w:r w:rsidR="002423E1" w:rsidRPr="00B14209">
        <w:rPr>
          <w:rFonts w:ascii="Verdana" w:hAnsi="Verdana"/>
          <w:b/>
          <w:iCs/>
          <w:color w:val="000000" w:themeColor="text1"/>
          <w:kern w:val="0"/>
          <w:sz w:val="21"/>
          <w:szCs w:val="21"/>
          <w:lang w:val="fr-FR" w:bidi="fr-FR"/>
          <w14:ligatures w14:val="none"/>
        </w:rPr>
        <w:t>d</w:t>
      </w:r>
      <w:r w:rsidR="002423E1">
        <w:rPr>
          <w:rFonts w:ascii="Verdana" w:hAnsi="Verdana"/>
          <w:b/>
          <w:iCs/>
          <w:color w:val="000000" w:themeColor="text1"/>
          <w:kern w:val="0"/>
          <w:sz w:val="21"/>
          <w:szCs w:val="21"/>
          <w:lang w:val="fr-FR" w:bidi="fr-FR"/>
          <w14:ligatures w14:val="none"/>
        </w:rPr>
        <w:t>u</w:t>
      </w:r>
      <w:r w:rsidR="002423E1" w:rsidRPr="00B14209">
        <w:rPr>
          <w:rFonts w:ascii="Verdana" w:hAnsi="Verdana"/>
          <w:b/>
          <w:iCs/>
          <w:color w:val="000000" w:themeColor="text1"/>
          <w:kern w:val="0"/>
          <w:sz w:val="21"/>
          <w:szCs w:val="21"/>
          <w:lang w:val="fr-FR" w:bidi="fr-FR"/>
          <w14:ligatures w14:val="none"/>
        </w:rPr>
        <w:t xml:space="preserve"> </w:t>
      </w:r>
      <w:r w:rsidR="002423E1" w:rsidRPr="002423E1">
        <w:rPr>
          <w:rFonts w:ascii="Verdana" w:hAnsi="Verdana"/>
          <w:b/>
          <w:iCs/>
          <w:color w:val="000000" w:themeColor="text1"/>
          <w:kern w:val="0"/>
          <w:sz w:val="21"/>
          <w:szCs w:val="21"/>
          <w:lang w:val="fr-FR" w:bidi="fr-FR"/>
          <w14:ligatures w14:val="none"/>
        </w:rPr>
        <w:t>Centre de Suivi, de Contrôle, de Surveillance et d'Observation des Pêches (CSCSOP)</w:t>
      </w:r>
      <w:r w:rsidR="002423E1">
        <w:rPr>
          <w:rFonts w:ascii="Verdana" w:hAnsi="Verdana"/>
          <w:b/>
          <w:iCs/>
          <w:color w:val="000000" w:themeColor="text1"/>
          <w:kern w:val="0"/>
          <w:sz w:val="21"/>
          <w:szCs w:val="21"/>
          <w:lang w:val="fr-FR" w:bidi="fr-FR"/>
          <w14:ligatures w14:val="none"/>
        </w:rPr>
        <w:t xml:space="preserve"> </w:t>
      </w:r>
      <w:r w:rsidR="002423E1" w:rsidRPr="002423E1">
        <w:rPr>
          <w:rFonts w:ascii="Verdana" w:hAnsi="Verdana"/>
          <w:bCs/>
          <w:iCs/>
          <w:color w:val="000000" w:themeColor="text1"/>
          <w:kern w:val="0"/>
          <w:sz w:val="21"/>
          <w:szCs w:val="21"/>
          <w:lang w:val="fr-FR" w:bidi="fr-FR"/>
          <w14:ligatures w14:val="none"/>
        </w:rPr>
        <w:t>sous régional</w:t>
      </w:r>
      <w:r w:rsidRPr="00B14209">
        <w:rPr>
          <w:rFonts w:ascii="Verdana" w:hAnsi="Verdana"/>
          <w:iCs/>
          <w:color w:val="000000" w:themeColor="text1"/>
          <w:kern w:val="0"/>
          <w:sz w:val="21"/>
          <w:szCs w:val="21"/>
          <w:lang w:val="fr-FR" w:bidi="fr-FR"/>
          <w14:ligatures w14:val="none"/>
        </w:rPr>
        <w:t xml:space="preserve"> de la COI,</w:t>
      </w:r>
    </w:p>
    <w:p w14:paraId="6551FE93" w14:textId="77777777" w:rsidR="00B14209" w:rsidRPr="00B14209" w:rsidRDefault="00B14209" w:rsidP="00B14209">
      <w:pPr>
        <w:spacing w:after="120" w:line="276" w:lineRule="auto"/>
        <w:jc w:val="both"/>
        <w:rPr>
          <w:rFonts w:ascii="Verdana" w:hAnsi="Verdana"/>
          <w:b/>
          <w:iCs/>
          <w:color w:val="000000" w:themeColor="text1"/>
          <w:kern w:val="0"/>
          <w:sz w:val="21"/>
          <w:szCs w:val="21"/>
          <w:lang w:val="fr-FR" w:bidi="fr-FR"/>
          <w14:ligatures w14:val="none"/>
        </w:rPr>
      </w:pPr>
      <w:r w:rsidRPr="00B14209">
        <w:rPr>
          <w:rFonts w:ascii="Verdana" w:hAnsi="Verdana"/>
          <w:b/>
          <w:iCs/>
          <w:color w:val="000000" w:themeColor="text1"/>
          <w:kern w:val="0"/>
          <w:sz w:val="21"/>
          <w:szCs w:val="21"/>
          <w:lang w:val="fr-FR" w:bidi="fr-FR"/>
          <w14:ligatures w14:val="none"/>
        </w:rPr>
        <w:t xml:space="preserve">SONT CONVENUS de ce qui suit : </w:t>
      </w:r>
    </w:p>
    <w:p w14:paraId="15A0437E" w14:textId="77777777" w:rsidR="00B14209" w:rsidRPr="00B14209" w:rsidRDefault="00B14209" w:rsidP="00B14209">
      <w:pPr>
        <w:spacing w:after="120" w:line="276" w:lineRule="auto"/>
        <w:jc w:val="both"/>
        <w:rPr>
          <w:rFonts w:ascii="Verdana" w:hAnsi="Verdana"/>
          <w:b/>
          <w:iCs/>
          <w:color w:val="000000" w:themeColor="text1"/>
          <w:kern w:val="0"/>
          <w:sz w:val="21"/>
          <w:szCs w:val="21"/>
          <w:lang w:val="fr-FR"/>
          <w14:ligatures w14:val="none"/>
        </w:rPr>
      </w:pPr>
    </w:p>
    <w:p w14:paraId="4049F671"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Article premier  </w:t>
      </w:r>
    </w:p>
    <w:p w14:paraId="7080135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Définitions</w:t>
      </w:r>
    </w:p>
    <w:p w14:paraId="7C728C40"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Aux fins du présent Accord :</w:t>
      </w:r>
    </w:p>
    <w:p w14:paraId="517B7480"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terme </w:t>
      </w:r>
      <w:r w:rsidRPr="00B14209">
        <w:rPr>
          <w:rFonts w:ascii="Verdana" w:hAnsi="Verdana"/>
          <w:b/>
          <w:iCs/>
          <w:color w:val="000000" w:themeColor="text1"/>
          <w:kern w:val="0"/>
          <w:sz w:val="21"/>
          <w:szCs w:val="21"/>
          <w:lang w:val="fr-FR" w:bidi="fr-FR"/>
          <w14:ligatures w14:val="none"/>
        </w:rPr>
        <w:t>« données agrégées »</w:t>
      </w:r>
      <w:r w:rsidRPr="00B14209">
        <w:rPr>
          <w:rFonts w:ascii="Verdana" w:hAnsi="Verdana"/>
          <w:iCs/>
          <w:color w:val="000000" w:themeColor="text1"/>
          <w:kern w:val="0"/>
          <w:sz w:val="21"/>
          <w:szCs w:val="21"/>
          <w:lang w:val="fr-FR" w:bidi="fr-FR"/>
          <w14:ligatures w14:val="none"/>
        </w:rPr>
        <w:t xml:space="preserve"> désigne des données brutes qui ont été compilées et résumées ; </w:t>
      </w:r>
    </w:p>
    <w:p w14:paraId="08313915"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 xml:space="preserve">On entend par </w:t>
      </w:r>
      <w:r w:rsidRPr="00B14209">
        <w:rPr>
          <w:rFonts w:ascii="Verdana" w:hAnsi="Verdana"/>
          <w:b/>
          <w:iCs/>
          <w:color w:val="000000" w:themeColor="text1"/>
          <w:kern w:val="0"/>
          <w:sz w:val="21"/>
          <w:szCs w:val="21"/>
          <w:lang w:val="fr-FR" w:bidi="fr-FR"/>
          <w14:ligatures w14:val="none"/>
        </w:rPr>
        <w:t>« observation en coopération »</w:t>
      </w:r>
      <w:r w:rsidRPr="00B14209">
        <w:rPr>
          <w:rFonts w:ascii="Verdana" w:hAnsi="Verdana"/>
          <w:iCs/>
          <w:color w:val="000000" w:themeColor="text1"/>
          <w:kern w:val="0"/>
          <w:sz w:val="21"/>
          <w:szCs w:val="21"/>
          <w:lang w:val="fr-FR" w:bidi="fr-FR"/>
          <w14:ligatures w14:val="none"/>
        </w:rPr>
        <w:t xml:space="preserve"> une mission d’observation et de collecte de données menée par un ou plusieurs observateurs certifiés au niveau sous-régional et autorisés par une Partie à monter à bord d’un navire de pêche dans la zone de coopération ou dans un navire battant pavillon d’une Partie dans les zones situées au-delà de la juridiction nationale ;</w:t>
      </w:r>
    </w:p>
    <w:p w14:paraId="6367814A"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terme </w:t>
      </w:r>
      <w:r w:rsidRPr="00B14209">
        <w:rPr>
          <w:rFonts w:ascii="Verdana" w:hAnsi="Verdana"/>
          <w:b/>
          <w:iCs/>
          <w:color w:val="000000" w:themeColor="text1"/>
          <w:kern w:val="0"/>
          <w:sz w:val="21"/>
          <w:szCs w:val="21"/>
          <w:lang w:val="fr-FR" w:bidi="fr-FR"/>
          <w14:ligatures w14:val="none"/>
        </w:rPr>
        <w:t>« données »</w:t>
      </w:r>
      <w:r w:rsidRPr="00B14209">
        <w:rPr>
          <w:rFonts w:ascii="Verdana" w:hAnsi="Verdana"/>
          <w:iCs/>
          <w:color w:val="000000" w:themeColor="text1"/>
          <w:kern w:val="0"/>
          <w:sz w:val="21"/>
          <w:szCs w:val="21"/>
          <w:lang w:val="fr-FR" w:bidi="fr-FR"/>
          <w14:ligatures w14:val="none"/>
        </w:rPr>
        <w:t xml:space="preserve"> désigne les faits et chiffres utilisés pour l’analyse, y compris les descriptions élémentaires codées telles que la localisation géographique, l’identification des espèces, la méthode de pêche, les mesures biométriques et autres ; </w:t>
      </w:r>
    </w:p>
    <w:p w14:paraId="14D7E999" w14:textId="7F620EC8"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On entend par « </w:t>
      </w:r>
      <w:r w:rsidR="002423E1">
        <w:rPr>
          <w:rFonts w:ascii="Verdana" w:hAnsi="Verdana"/>
          <w:b/>
          <w:iCs/>
          <w:color w:val="000000" w:themeColor="text1"/>
          <w:kern w:val="0"/>
          <w:sz w:val="21"/>
          <w:szCs w:val="21"/>
          <w:lang w:val="fr-FR" w:bidi="fr-FR"/>
          <w14:ligatures w14:val="none"/>
        </w:rPr>
        <w:t>Comité de pilotage</w:t>
      </w:r>
      <w:r w:rsidRPr="00B14209">
        <w:rPr>
          <w:rFonts w:ascii="Verdana" w:hAnsi="Verdana"/>
          <w:iCs/>
          <w:color w:val="000000" w:themeColor="text1"/>
          <w:kern w:val="0"/>
          <w:sz w:val="21"/>
          <w:szCs w:val="21"/>
          <w:lang w:val="fr-FR" w:bidi="fr-FR"/>
          <w14:ligatures w14:val="none"/>
        </w:rPr>
        <w:t> </w:t>
      </w:r>
      <w:proofErr w:type="gramStart"/>
      <w:r w:rsidRPr="00B14209">
        <w:rPr>
          <w:rFonts w:ascii="Verdana" w:hAnsi="Verdana"/>
          <w:iCs/>
          <w:color w:val="000000" w:themeColor="text1"/>
          <w:kern w:val="0"/>
          <w:sz w:val="21"/>
          <w:szCs w:val="21"/>
          <w:lang w:val="fr-FR" w:bidi="fr-FR"/>
          <w14:ligatures w14:val="none"/>
        </w:rPr>
        <w:t xml:space="preserve">»  </w:t>
      </w:r>
      <w:r w:rsidR="002423E1">
        <w:rPr>
          <w:rFonts w:ascii="Verdana" w:hAnsi="Verdana"/>
          <w:iCs/>
          <w:color w:val="000000" w:themeColor="text1"/>
          <w:kern w:val="0"/>
          <w:sz w:val="21"/>
          <w:szCs w:val="21"/>
          <w:lang w:val="fr-FR" w:bidi="fr-FR"/>
          <w14:ligatures w14:val="none"/>
        </w:rPr>
        <w:t>Comité</w:t>
      </w:r>
      <w:proofErr w:type="gramEnd"/>
      <w:r w:rsidR="002423E1">
        <w:rPr>
          <w:rFonts w:ascii="Verdana" w:hAnsi="Verdana"/>
          <w:iCs/>
          <w:color w:val="000000" w:themeColor="text1"/>
          <w:kern w:val="0"/>
          <w:sz w:val="21"/>
          <w:szCs w:val="21"/>
          <w:lang w:val="fr-FR" w:bidi="fr-FR"/>
          <w14:ligatures w14:val="none"/>
        </w:rPr>
        <w:t xml:space="preserve"> de pilotage</w:t>
      </w:r>
      <w:r w:rsidRPr="00B14209">
        <w:rPr>
          <w:rFonts w:ascii="Verdana" w:hAnsi="Verdana"/>
          <w:iCs/>
          <w:color w:val="000000" w:themeColor="text1"/>
          <w:kern w:val="0"/>
          <w:sz w:val="21"/>
          <w:szCs w:val="21"/>
          <w:lang w:val="fr-FR" w:bidi="fr-FR"/>
          <w14:ligatures w14:val="none"/>
        </w:rPr>
        <w:t xml:space="preserve"> du</w:t>
      </w:r>
      <w:r w:rsidR="002423E1" w:rsidRPr="00B14209">
        <w:rPr>
          <w:rFonts w:ascii="Verdana" w:hAnsi="Verdana"/>
          <w:b/>
          <w:iCs/>
          <w:color w:val="000000" w:themeColor="text1"/>
          <w:kern w:val="0"/>
          <w:sz w:val="21"/>
          <w:szCs w:val="21"/>
          <w:lang w:val="fr-FR" w:bidi="fr-FR"/>
          <w14:ligatures w14:val="none"/>
        </w:rPr>
        <w:t xml:space="preserve"> </w:t>
      </w:r>
      <w:r w:rsidR="002423E1" w:rsidRPr="002423E1">
        <w:rPr>
          <w:rFonts w:ascii="Verdana" w:hAnsi="Verdana"/>
          <w:b/>
          <w:iCs/>
          <w:color w:val="000000" w:themeColor="text1"/>
          <w:kern w:val="0"/>
          <w:sz w:val="21"/>
          <w:szCs w:val="21"/>
          <w:lang w:val="fr-FR" w:bidi="fr-FR"/>
          <w14:ligatures w14:val="none"/>
        </w:rPr>
        <w:t>Centre de Suivi, de Contrôle, de Surveillance et d'Observation des Pêches (CSCSOP)</w:t>
      </w:r>
      <w:r w:rsidR="00413DF0">
        <w:rPr>
          <w:rFonts w:ascii="Verdana" w:hAnsi="Verdana"/>
          <w:b/>
          <w:iCs/>
          <w:color w:val="000000" w:themeColor="text1"/>
          <w:kern w:val="0"/>
          <w:sz w:val="21"/>
          <w:szCs w:val="21"/>
          <w:lang w:val="fr-FR" w:bidi="fr-FR"/>
          <w14:ligatures w14:val="none"/>
        </w:rPr>
        <w:t xml:space="preserve"> </w:t>
      </w:r>
      <w:r w:rsidR="00413DF0" w:rsidRPr="00413DF0">
        <w:rPr>
          <w:rFonts w:ascii="Verdana" w:hAnsi="Verdana"/>
          <w:bCs/>
          <w:iCs/>
          <w:color w:val="000000" w:themeColor="text1"/>
          <w:kern w:val="0"/>
          <w:sz w:val="21"/>
          <w:szCs w:val="21"/>
          <w:lang w:val="fr-FR" w:bidi="fr-FR"/>
          <w14:ligatures w14:val="none"/>
        </w:rPr>
        <w:t>sous régional</w:t>
      </w:r>
      <w:r w:rsidRPr="00B14209">
        <w:rPr>
          <w:rFonts w:ascii="Verdana" w:hAnsi="Verdana"/>
          <w:iCs/>
          <w:color w:val="000000" w:themeColor="text1"/>
          <w:kern w:val="0"/>
          <w:sz w:val="21"/>
          <w:szCs w:val="21"/>
          <w:lang w:val="fr-FR" w:bidi="fr-FR"/>
          <w14:ligatures w14:val="none"/>
        </w:rPr>
        <w:t xml:space="preserve"> de la Commission de l’océan Indien décrite à l’alinéa a du paragraphe 1 de l’article 2 et dont les États participants sont membres, laquelle fait office de Comité de pilotage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et relève de l’Unité de coordination régionale conformément à son mandat ;</w:t>
      </w:r>
    </w:p>
    <w:p w14:paraId="3A2953C5"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termes « </w:t>
      </w:r>
      <w:r w:rsidRPr="00B14209">
        <w:rPr>
          <w:rFonts w:ascii="Verdana" w:hAnsi="Verdana"/>
          <w:b/>
          <w:iCs/>
          <w:color w:val="000000" w:themeColor="text1"/>
          <w:kern w:val="0"/>
          <w:sz w:val="21"/>
          <w:szCs w:val="21"/>
          <w:lang w:val="fr-FR" w:bidi="fr-FR"/>
          <w14:ligatures w14:val="none"/>
        </w:rPr>
        <w:t>informations sur les pêches</w:t>
      </w:r>
      <w:r w:rsidRPr="00B14209">
        <w:rPr>
          <w:rFonts w:ascii="Verdana" w:hAnsi="Verdana"/>
          <w:iCs/>
          <w:color w:val="000000" w:themeColor="text1"/>
          <w:kern w:val="0"/>
          <w:sz w:val="21"/>
          <w:szCs w:val="21"/>
          <w:lang w:val="fr-FR" w:bidi="fr-FR"/>
          <w14:ligatures w14:val="none"/>
        </w:rPr>
        <w:t> » ou « </w:t>
      </w:r>
      <w:r w:rsidRPr="00B14209">
        <w:rPr>
          <w:rFonts w:ascii="Verdana" w:hAnsi="Verdana"/>
          <w:b/>
          <w:iCs/>
          <w:color w:val="000000" w:themeColor="text1"/>
          <w:kern w:val="0"/>
          <w:sz w:val="21"/>
          <w:szCs w:val="21"/>
          <w:lang w:val="fr-FR" w:bidi="fr-FR"/>
          <w14:ligatures w14:val="none"/>
        </w:rPr>
        <w:t>informations</w:t>
      </w:r>
      <w:r w:rsidRPr="00B14209">
        <w:rPr>
          <w:rFonts w:ascii="Verdana" w:hAnsi="Verdana"/>
          <w:iCs/>
          <w:color w:val="000000" w:themeColor="text1"/>
          <w:kern w:val="0"/>
          <w:sz w:val="21"/>
          <w:szCs w:val="21"/>
          <w:lang w:val="fr-FR" w:bidi="fr-FR"/>
          <w14:ligatures w14:val="none"/>
        </w:rPr>
        <w:t xml:space="preserve"> » </w:t>
      </w:r>
      <w:r w:rsidRPr="00B14209">
        <w:rPr>
          <w:rFonts w:ascii="Verdana" w:hAnsi="Verdana"/>
          <w:b/>
          <w:iCs/>
          <w:color w:val="000000" w:themeColor="text1"/>
          <w:kern w:val="0"/>
          <w:sz w:val="21"/>
          <w:szCs w:val="21"/>
          <w:lang w:val="fr-FR" w:bidi="fr-FR"/>
          <w14:ligatures w14:val="none"/>
        </w:rPr>
        <w:t>dans le contexte des activités de pêche</w:t>
      </w:r>
      <w:r w:rsidRPr="00B14209">
        <w:rPr>
          <w:rFonts w:ascii="Verdana" w:hAnsi="Verdana"/>
          <w:iCs/>
          <w:color w:val="000000" w:themeColor="text1"/>
          <w:kern w:val="0"/>
          <w:sz w:val="21"/>
          <w:szCs w:val="21"/>
          <w:lang w:val="fr-FR" w:bidi="fr-FR"/>
          <w14:ligatures w14:val="none"/>
        </w:rPr>
        <w:t xml:space="preserve"> désignent toute information ou donnée, quel qu’en soit le support, y compris électronique, documentée, reproduite ou autre susceptible d’être utile, directement ou indirectement, à toute fin de gestion ou de suivi, contrôle et surveillance des pêches aux niveaux national, régional ou international ; </w:t>
      </w:r>
    </w:p>
    <w:p w14:paraId="5E7F8774"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terme « </w:t>
      </w:r>
      <w:r w:rsidRPr="00B14209">
        <w:rPr>
          <w:rFonts w:ascii="Verdana" w:hAnsi="Verdana"/>
          <w:b/>
          <w:iCs/>
          <w:color w:val="000000" w:themeColor="text1"/>
          <w:kern w:val="0"/>
          <w:sz w:val="21"/>
          <w:szCs w:val="21"/>
          <w:lang w:val="fr-FR" w:bidi="fr-FR"/>
          <w14:ligatures w14:val="none"/>
        </w:rPr>
        <w:t>pêche</w:t>
      </w:r>
      <w:r w:rsidRPr="00B14209">
        <w:rPr>
          <w:rFonts w:ascii="Verdana" w:hAnsi="Verdana"/>
          <w:iCs/>
          <w:color w:val="000000" w:themeColor="text1"/>
          <w:kern w:val="0"/>
          <w:sz w:val="21"/>
          <w:szCs w:val="21"/>
          <w:lang w:val="fr-FR" w:bidi="fr-FR"/>
          <w14:ligatures w14:val="none"/>
        </w:rPr>
        <w:t> » désigne la recherche, l’attraction, la localisation, la capture, la prise ou la récolte de poissons ou toute activité dont on peut raisonnablement attendre qu’elle aboutisse à l’attraction, la localisation, la capture, la prise ou la récolte de poissons ;</w:t>
      </w:r>
    </w:p>
    <w:p w14:paraId="5D7C53A4"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bidi="en-US"/>
          <w14:ligatures w14:val="none"/>
        </w:rPr>
      </w:pPr>
      <w:r w:rsidRPr="00B14209">
        <w:rPr>
          <w:rFonts w:ascii="Verdana" w:hAnsi="Verdana"/>
          <w:iCs/>
          <w:color w:val="000000" w:themeColor="text1"/>
          <w:kern w:val="0"/>
          <w:sz w:val="21"/>
          <w:szCs w:val="21"/>
          <w:lang w:val="fr-FR" w:bidi="fr-FR"/>
          <w14:ligatures w14:val="none"/>
        </w:rPr>
        <w:t>On entend par « </w:t>
      </w:r>
      <w:r w:rsidRPr="00B14209">
        <w:rPr>
          <w:rFonts w:ascii="Verdana" w:hAnsi="Verdana"/>
          <w:b/>
          <w:iCs/>
          <w:color w:val="000000" w:themeColor="text1"/>
          <w:kern w:val="0"/>
          <w:sz w:val="21"/>
          <w:szCs w:val="21"/>
          <w:lang w:val="fr-FR" w:bidi="fr-FR"/>
          <w14:ligatures w14:val="none"/>
        </w:rPr>
        <w:t>activité liée à la pêche</w:t>
      </w:r>
      <w:r w:rsidRPr="00B14209">
        <w:rPr>
          <w:rFonts w:ascii="Verdana" w:hAnsi="Verdana"/>
          <w:iCs/>
          <w:color w:val="000000" w:themeColor="text1"/>
          <w:kern w:val="0"/>
          <w:sz w:val="21"/>
          <w:szCs w:val="21"/>
          <w:lang w:val="fr-FR" w:bidi="fr-FR"/>
          <w14:ligatures w14:val="none"/>
        </w:rPr>
        <w:t xml:space="preserve"> » toute opération de soutien, ou de préparation, aux fins de la pêche, y compris le débarquement, le conditionnement, la transformation, le transbordement ou le transport des poissons qui n’ont pas été précédemment débarqués dans un port, ainsi que l’apport de personnel et la fourniture de carburant, d’engins et d’autres provisions en mer ;  </w:t>
      </w:r>
    </w:p>
    <w:p w14:paraId="05A1A701"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On entend par « </w:t>
      </w:r>
      <w:r w:rsidRPr="00B14209">
        <w:rPr>
          <w:rFonts w:ascii="Verdana" w:hAnsi="Verdana"/>
          <w:b/>
          <w:iCs/>
          <w:color w:val="000000" w:themeColor="text1"/>
          <w:kern w:val="0"/>
          <w:sz w:val="21"/>
          <w:szCs w:val="21"/>
          <w:lang w:val="fr-FR" w:bidi="fr-FR"/>
          <w14:ligatures w14:val="none"/>
        </w:rPr>
        <w:t>navire de pêche</w:t>
      </w:r>
      <w:r w:rsidRPr="00B14209">
        <w:rPr>
          <w:rFonts w:ascii="Verdana" w:hAnsi="Verdana"/>
          <w:iCs/>
          <w:color w:val="000000" w:themeColor="text1"/>
          <w:kern w:val="0"/>
          <w:sz w:val="21"/>
          <w:szCs w:val="21"/>
          <w:lang w:val="fr-FR" w:bidi="fr-FR"/>
          <w14:ligatures w14:val="none"/>
        </w:rPr>
        <w:t xml:space="preserve"> » tout navire conçu ou équipé pour rechercher, attirer, localiser, capturer, prendre ou récolter du poisson ou pour mener toute activité dont on peut raisonnablement s’attendre à ce qu’elle permette d’attirer, de localiser, de capturer, de prendre ou de récolter du poisson, notamment les navires utilisés pour des activités liées à la pêche ;  </w:t>
      </w:r>
    </w:p>
    <w:p w14:paraId="25907E79"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On entend par « </w:t>
      </w:r>
      <w:r w:rsidRPr="00B14209">
        <w:rPr>
          <w:rFonts w:ascii="Verdana" w:hAnsi="Verdana"/>
          <w:b/>
          <w:iCs/>
          <w:color w:val="000000" w:themeColor="text1"/>
          <w:kern w:val="0"/>
          <w:sz w:val="21"/>
          <w:szCs w:val="21"/>
          <w:lang w:val="fr-FR" w:bidi="fr-FR"/>
          <w14:ligatures w14:val="none"/>
        </w:rPr>
        <w:t>Commission de l’océan Indien</w:t>
      </w:r>
      <w:r w:rsidRPr="00B14209">
        <w:rPr>
          <w:rFonts w:ascii="Verdana" w:hAnsi="Verdana"/>
          <w:iCs/>
          <w:color w:val="000000" w:themeColor="text1"/>
          <w:kern w:val="0"/>
          <w:sz w:val="21"/>
          <w:szCs w:val="21"/>
          <w:lang w:val="fr-FR" w:bidi="fr-FR"/>
          <w14:ligatures w14:val="none"/>
        </w:rPr>
        <w:t> » (COI) la Commission de l’océan Indien créée en 1982 par la Déclaration de Port-Louis et établie en 1984 par l’Accord de Victoria ;</w:t>
      </w:r>
    </w:p>
    <w:p w14:paraId="3350A8C5"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On entend par </w:t>
      </w:r>
      <w:r w:rsidRPr="00B14209">
        <w:rPr>
          <w:rFonts w:ascii="Verdana" w:hAnsi="Verdana"/>
          <w:b/>
          <w:iCs/>
          <w:color w:val="000000" w:themeColor="text1"/>
          <w:kern w:val="0"/>
          <w:sz w:val="21"/>
          <w:szCs w:val="21"/>
          <w:lang w:val="fr-FR" w:bidi="fr-FR"/>
          <w14:ligatures w14:val="none"/>
        </w:rPr>
        <w:t xml:space="preserve">« suivi, contrôle et surveillance » </w:t>
      </w:r>
      <w:r w:rsidRPr="00B14209">
        <w:rPr>
          <w:rFonts w:ascii="Verdana" w:hAnsi="Verdana"/>
          <w:iCs/>
          <w:color w:val="000000" w:themeColor="text1"/>
          <w:kern w:val="0"/>
          <w:sz w:val="21"/>
          <w:szCs w:val="21"/>
          <w:lang w:val="fr-FR" w:bidi="fr-FR"/>
          <w14:ligatures w14:val="none"/>
        </w:rPr>
        <w:t xml:space="preserve">le suivi, le contrôle et la surveillance de la pêche et des activités liées à la pêche aux fins de l’application de la réglementation dans ce domaine ;  </w:t>
      </w:r>
    </w:p>
    <w:p w14:paraId="38676BFA"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terme </w:t>
      </w:r>
      <w:r w:rsidRPr="00B14209">
        <w:rPr>
          <w:rFonts w:ascii="Verdana" w:hAnsi="Verdana"/>
          <w:b/>
          <w:iCs/>
          <w:color w:val="000000" w:themeColor="text1"/>
          <w:kern w:val="0"/>
          <w:sz w:val="21"/>
          <w:szCs w:val="21"/>
          <w:lang w:val="fr-FR" w:bidi="fr-FR"/>
          <w14:ligatures w14:val="none"/>
        </w:rPr>
        <w:t>« observateur »</w:t>
      </w:r>
      <w:r w:rsidRPr="00B14209">
        <w:rPr>
          <w:rFonts w:ascii="Verdana" w:hAnsi="Verdana"/>
          <w:iCs/>
          <w:color w:val="000000" w:themeColor="text1"/>
          <w:kern w:val="0"/>
          <w:sz w:val="21"/>
          <w:szCs w:val="21"/>
          <w:lang w:val="fr-FR" w:bidi="fr-FR"/>
          <w14:ligatures w14:val="none"/>
        </w:rPr>
        <w:t xml:space="preserve"> désigne une personne autorisée par la législation nationale ou par un programme de coopération des observateurs, qui est désignée par une Partie pour monter à bord d’un navire de pêche détenteur d’une licence afin de recueillir des informations et de surveiller l’activité de pêche dans la zone maritime </w:t>
      </w:r>
      <w:r w:rsidRPr="00B14209">
        <w:rPr>
          <w:rFonts w:ascii="Verdana" w:hAnsi="Verdana"/>
          <w:iCs/>
          <w:color w:val="000000" w:themeColor="text1"/>
          <w:kern w:val="0"/>
          <w:sz w:val="21"/>
          <w:szCs w:val="21"/>
          <w:lang w:val="fr-FR" w:bidi="fr-FR"/>
          <w14:ligatures w14:val="none"/>
        </w:rPr>
        <w:lastRenderedPageBreak/>
        <w:t>concernée, et d’en rendre compte à l’autorité nationale compétente désignée en tant qu’autorité responsable des observateurs des pêches ;</w:t>
      </w:r>
    </w:p>
    <w:p w14:paraId="72A62A90"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On entend par « </w:t>
      </w:r>
      <w:r w:rsidRPr="00B14209">
        <w:rPr>
          <w:rFonts w:ascii="Verdana" w:hAnsi="Verdana"/>
          <w:b/>
          <w:iCs/>
          <w:color w:val="000000" w:themeColor="text1"/>
          <w:kern w:val="0"/>
          <w:sz w:val="21"/>
          <w:szCs w:val="21"/>
          <w:lang w:val="fr-FR" w:bidi="fr-FR"/>
          <w14:ligatures w14:val="none"/>
        </w:rPr>
        <w:t>Plan régional de surveillance des pêches </w:t>
      </w:r>
      <w:r w:rsidRPr="00B14209">
        <w:rPr>
          <w:rFonts w:ascii="Verdana" w:hAnsi="Verdana"/>
          <w:iCs/>
          <w:color w:val="000000" w:themeColor="text1"/>
          <w:kern w:val="0"/>
          <w:sz w:val="21"/>
          <w:szCs w:val="21"/>
          <w:lang w:val="fr-FR" w:bidi="fr-FR"/>
          <w14:ligatures w14:val="none"/>
        </w:rPr>
        <w:t>»</w:t>
      </w:r>
      <w:r w:rsidRPr="00B14209">
        <w:rPr>
          <w:rFonts w:ascii="Verdana" w:hAnsi="Verdana"/>
          <w:b/>
          <w:iCs/>
          <w:color w:val="000000" w:themeColor="text1"/>
          <w:kern w:val="0"/>
          <w:sz w:val="21"/>
          <w:szCs w:val="21"/>
          <w:lang w:val="fr-FR" w:bidi="fr-FR"/>
          <w14:ligatures w14:val="none"/>
        </w:rPr>
        <w:t xml:space="preserve"> </w:t>
      </w:r>
      <w:r w:rsidRPr="00B14209">
        <w:rPr>
          <w:rFonts w:ascii="Verdana" w:hAnsi="Verdana"/>
          <w:iCs/>
          <w:color w:val="000000" w:themeColor="text1"/>
          <w:kern w:val="0"/>
          <w:sz w:val="21"/>
          <w:szCs w:val="21"/>
          <w:lang w:val="fr-FR" w:bidi="fr-FR"/>
          <w14:ligatures w14:val="none"/>
        </w:rPr>
        <w:t>(PRSP) le plan sous-régional relatif au suivi, au contrôle et à la surveillance des pêches établi par la Commission de l’océan Indien en 2007, qui comprend tout dispositif institutionnel convenu ou désigné ultérieurement, notamment le « Centre régional de suivi, de contrôle, de surveillance et d’observation des pêches » ;</w:t>
      </w:r>
    </w:p>
    <w:p w14:paraId="6BBBC0DC"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terme </w:t>
      </w:r>
      <w:r w:rsidRPr="00B14209">
        <w:rPr>
          <w:rFonts w:ascii="Verdana" w:hAnsi="Verdana"/>
          <w:b/>
          <w:iCs/>
          <w:color w:val="000000" w:themeColor="text1"/>
          <w:kern w:val="0"/>
          <w:sz w:val="21"/>
          <w:szCs w:val="21"/>
          <w:lang w:val="fr-FR" w:bidi="fr-FR"/>
          <w14:ligatures w14:val="none"/>
        </w:rPr>
        <w:t xml:space="preserve">« données brutes » </w:t>
      </w:r>
      <w:r w:rsidRPr="00B14209">
        <w:rPr>
          <w:rFonts w:ascii="Verdana" w:hAnsi="Verdana"/>
          <w:iCs/>
          <w:color w:val="000000" w:themeColor="text1"/>
          <w:kern w:val="0"/>
          <w:sz w:val="21"/>
          <w:szCs w:val="21"/>
          <w:lang w:val="fr-FR" w:bidi="fr-FR"/>
          <w14:ligatures w14:val="none"/>
        </w:rPr>
        <w:t xml:space="preserve">désigne les données vérifiées des observations effectuées par les observateurs à bord des navires ;   </w:t>
      </w:r>
    </w:p>
    <w:p w14:paraId="1CE29D27" w14:textId="7A98D946"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On entend par </w:t>
      </w:r>
      <w:r w:rsidRPr="00B14209">
        <w:rPr>
          <w:rFonts w:ascii="Verdana" w:hAnsi="Verdana"/>
          <w:b/>
          <w:iCs/>
          <w:color w:val="000000" w:themeColor="text1"/>
          <w:kern w:val="0"/>
          <w:sz w:val="21"/>
          <w:szCs w:val="21"/>
          <w:lang w:val="fr-FR" w:bidi="fr-FR"/>
          <w14:ligatures w14:val="none"/>
        </w:rPr>
        <w:t>« Groupe de travail des responsables des programmes nationaux d’observateurs »</w:t>
      </w:r>
      <w:r w:rsidRPr="00B14209">
        <w:rPr>
          <w:rFonts w:ascii="Verdana" w:hAnsi="Verdana"/>
          <w:iCs/>
          <w:color w:val="000000" w:themeColor="text1"/>
          <w:kern w:val="0"/>
          <w:sz w:val="21"/>
          <w:szCs w:val="21"/>
          <w:lang w:val="fr-FR" w:bidi="fr-FR"/>
          <w14:ligatures w14:val="none"/>
        </w:rPr>
        <w:t xml:space="preserve">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le Groupe de travail des responsables des programmes nationaux d’observateurs de la Commission de l’océan Indien décrit à l’alinéa c du paragraphe 1 de l’article 2, dont les États participants sont membres et qui relève de la compétence de </w:t>
      </w:r>
      <w:r w:rsidR="002423E1">
        <w:rPr>
          <w:rFonts w:ascii="Verdana" w:hAnsi="Verdana"/>
          <w:iCs/>
          <w:color w:val="000000" w:themeColor="text1"/>
          <w:kern w:val="0"/>
          <w:sz w:val="21"/>
          <w:szCs w:val="21"/>
          <w:lang w:val="fr-FR" w:bidi="fr-FR"/>
          <w14:ligatures w14:val="none"/>
        </w:rPr>
        <w:t>Comité de pilotage</w:t>
      </w:r>
      <w:r w:rsidRPr="00B14209">
        <w:rPr>
          <w:rFonts w:ascii="Verdana" w:hAnsi="Verdana"/>
          <w:iCs/>
          <w:color w:val="000000" w:themeColor="text1"/>
          <w:kern w:val="0"/>
          <w:sz w:val="21"/>
          <w:szCs w:val="21"/>
          <w:lang w:val="fr-FR" w:bidi="fr-FR"/>
          <w14:ligatures w14:val="none"/>
        </w:rPr>
        <w:t>.</w:t>
      </w:r>
    </w:p>
    <w:p w14:paraId="3CB3A3EE"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p>
    <w:p w14:paraId="52A4B53B"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2</w:t>
      </w:r>
    </w:p>
    <w:p w14:paraId="13C9751F"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Objectifs</w:t>
      </w:r>
    </w:p>
    <w:p w14:paraId="329EF430" w14:textId="41E73F06"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objectifs du présent Accord, dans le cadre des compétences de la COI et sous réserve de l’Accord entre la COI et les États participant au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relatif à un arrangement administratif pour la gestion et la mise en œuvre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sont les suivantes :</w:t>
      </w:r>
    </w:p>
    <w:p w14:paraId="170AABAF"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mise en œuvre des normes du Mécanisme régional d’observateurs de la CTOI en tant que critères minimaux pour :</w:t>
      </w:r>
    </w:p>
    <w:p w14:paraId="0F690EAD" w14:textId="77777777" w:rsidR="00B14209" w:rsidRPr="00B14209" w:rsidRDefault="00B14209" w:rsidP="00B14209">
      <w:pPr>
        <w:numPr>
          <w:ilvl w:val="1"/>
          <w:numId w:val="6"/>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formation et la certification des observateurs des Parties,</w:t>
      </w:r>
    </w:p>
    <w:p w14:paraId="4C64BBDE" w14:textId="77777777" w:rsidR="00B14209" w:rsidRPr="00B14209" w:rsidRDefault="00B14209" w:rsidP="00B14209">
      <w:pPr>
        <w:numPr>
          <w:ilvl w:val="1"/>
          <w:numId w:val="6"/>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mise en place d’un « programme de formation de base des observateurs » commun pour les observateurs déployés sur les navires battant pavillon des Parties et la flotte artisanale afin de satisfaire aux exigences de la CTOI relatives à la couverture minimale d’observateurs,</w:t>
      </w:r>
    </w:p>
    <w:p w14:paraId="4F881641" w14:textId="77777777" w:rsidR="00B14209" w:rsidRPr="00B14209" w:rsidRDefault="00B14209" w:rsidP="00B14209">
      <w:pPr>
        <w:numPr>
          <w:ilvl w:val="1"/>
          <w:numId w:val="6"/>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formation du personnel de gestion dans le cadre du programme national d’observateurs de chaque Partie,                        </w:t>
      </w:r>
    </w:p>
    <w:p w14:paraId="32CA96F4" w14:textId="77777777" w:rsidR="00B14209" w:rsidRPr="00B14209" w:rsidRDefault="00B14209" w:rsidP="00B14209">
      <w:pPr>
        <w:numPr>
          <w:ilvl w:val="1"/>
          <w:numId w:val="6"/>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mise en place d’un « programme de formation à la coordination logistique des observateurs » commun pour le personnel de gestion du programme national d’observateurs de chaque Partie, et                                     </w:t>
      </w:r>
    </w:p>
    <w:p w14:paraId="210DD23A" w14:textId="77777777" w:rsidR="00B14209" w:rsidRPr="00B14209" w:rsidRDefault="00B14209" w:rsidP="00B14209">
      <w:pPr>
        <w:numPr>
          <w:ilvl w:val="1"/>
          <w:numId w:val="6"/>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certification des établissements/prestataires de formation ;</w:t>
      </w:r>
    </w:p>
    <w:p w14:paraId="2A46CEC4"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mise en place de processus pour :</w:t>
      </w:r>
    </w:p>
    <w:p w14:paraId="79770AEB" w14:textId="77777777" w:rsidR="00B14209" w:rsidRPr="00B14209" w:rsidRDefault="00B14209" w:rsidP="00B14209">
      <w:pPr>
        <w:numPr>
          <w:ilvl w:val="0"/>
          <w:numId w:val="7"/>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faciliter</w:t>
      </w:r>
      <w:proofErr w:type="gramEnd"/>
      <w:r w:rsidRPr="00B14209">
        <w:rPr>
          <w:rFonts w:ascii="Verdana" w:hAnsi="Verdana"/>
          <w:iCs/>
          <w:color w:val="000000" w:themeColor="text1"/>
          <w:kern w:val="0"/>
          <w:sz w:val="21"/>
          <w:szCs w:val="21"/>
          <w:lang w:val="fr-FR" w:bidi="fr-FR"/>
          <w14:ligatures w14:val="none"/>
        </w:rPr>
        <w:t xml:space="preserve"> l’échange d’observateurs certifiés afin d’aider les Parties à se conformer aux normes du Mécanisme régional d’observateurs de la CTOI,</w:t>
      </w:r>
    </w:p>
    <w:p w14:paraId="66EAD1C7" w14:textId="77777777" w:rsidR="00B14209" w:rsidRPr="00B14209" w:rsidRDefault="00B14209" w:rsidP="00B14209">
      <w:pPr>
        <w:numPr>
          <w:ilvl w:val="0"/>
          <w:numId w:val="7"/>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établir</w:t>
      </w:r>
      <w:proofErr w:type="gramEnd"/>
      <w:r w:rsidRPr="00B14209">
        <w:rPr>
          <w:rFonts w:ascii="Verdana" w:hAnsi="Verdana"/>
          <w:iCs/>
          <w:color w:val="000000" w:themeColor="text1"/>
          <w:kern w:val="0"/>
          <w:sz w:val="21"/>
          <w:szCs w:val="21"/>
          <w:lang w:val="fr-FR" w:bidi="fr-FR"/>
          <w14:ligatures w14:val="none"/>
        </w:rPr>
        <w:t xml:space="preserve"> les procédures de reconnaissance de la formation des observateurs et de l’équipe de gestion du programme national d’observateurs pour les Parties qui ont mis en place un programme opérationnel aligné sur les </w:t>
      </w:r>
      <w:r w:rsidRPr="00B14209">
        <w:rPr>
          <w:rFonts w:ascii="Verdana" w:hAnsi="Verdana"/>
          <w:iCs/>
          <w:color w:val="000000" w:themeColor="text1"/>
          <w:kern w:val="0"/>
          <w:sz w:val="21"/>
          <w:szCs w:val="21"/>
          <w:lang w:val="fr-FR" w:bidi="fr-FR"/>
          <w14:ligatures w14:val="none"/>
        </w:rPr>
        <w:lastRenderedPageBreak/>
        <w:t>normes du Mécanisme régional d’observateurs de la CTOI relatives à la « politique de formation des observateurs »,</w:t>
      </w:r>
    </w:p>
    <w:p w14:paraId="597EBB99"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  </w:t>
      </w:r>
      <w:proofErr w:type="gramStart"/>
      <w:r w:rsidRPr="00B14209">
        <w:rPr>
          <w:rFonts w:ascii="Verdana" w:hAnsi="Verdana"/>
          <w:iCs/>
          <w:color w:val="000000" w:themeColor="text1"/>
          <w:kern w:val="0"/>
          <w:sz w:val="21"/>
          <w:szCs w:val="21"/>
          <w:lang w:val="fr-FR" w:bidi="fr-FR"/>
          <w14:ligatures w14:val="none"/>
        </w:rPr>
        <w:t>établir</w:t>
      </w:r>
      <w:proofErr w:type="gramEnd"/>
      <w:r w:rsidRPr="00B14209">
        <w:rPr>
          <w:rFonts w:ascii="Verdana" w:hAnsi="Verdana"/>
          <w:iCs/>
          <w:color w:val="000000" w:themeColor="text1"/>
          <w:kern w:val="0"/>
          <w:sz w:val="21"/>
          <w:szCs w:val="21"/>
          <w:lang w:val="fr-FR" w:bidi="fr-FR"/>
          <w14:ligatures w14:val="none"/>
        </w:rPr>
        <w:t xml:space="preserve"> des procédures régionales pour la certification des observateurs des Parties,</w:t>
      </w:r>
    </w:p>
    <w:p w14:paraId="6DEFC388"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établir</w:t>
      </w:r>
      <w:proofErr w:type="gramEnd"/>
      <w:r w:rsidRPr="00B14209">
        <w:rPr>
          <w:rFonts w:ascii="Verdana" w:hAnsi="Verdana"/>
          <w:iCs/>
          <w:color w:val="000000" w:themeColor="text1"/>
          <w:kern w:val="0"/>
          <w:sz w:val="21"/>
          <w:szCs w:val="21"/>
          <w:lang w:val="fr-FR" w:bidi="fr-FR"/>
          <w14:ligatures w14:val="none"/>
        </w:rPr>
        <w:t xml:space="preserve"> et tenir à jour un processus électronique de partage de données pour l’échange rapide et régulier des données d’observation entre les Parties,</w:t>
      </w:r>
    </w:p>
    <w:p w14:paraId="222D2847" w14:textId="77777777" w:rsidR="00B14209" w:rsidRPr="00B14209" w:rsidRDefault="00B14209" w:rsidP="00B14209">
      <w:pPr>
        <w:numPr>
          <w:ilvl w:val="0"/>
          <w:numId w:val="5"/>
        </w:numPr>
        <w:spacing w:after="120" w:line="276" w:lineRule="auto"/>
        <w:jc w:val="both"/>
        <w:rPr>
          <w:rFonts w:ascii="Verdana" w:hAnsi="Verdana" w:cs="Times New Roman (Body CS)"/>
          <w:iCs/>
          <w:color w:val="000000" w:themeColor="text1"/>
          <w:kern w:val="0"/>
          <w:sz w:val="21"/>
          <w:szCs w:val="21"/>
          <w:lang w:val="fr-FR"/>
          <w14:ligatures w14:val="none"/>
        </w:rPr>
      </w:pPr>
      <w:proofErr w:type="gramStart"/>
      <w:r w:rsidRPr="00B14209">
        <w:rPr>
          <w:rFonts w:ascii="Verdana" w:hAnsi="Verdana" w:cs="Times New Roman (Body CS)"/>
          <w:iCs/>
          <w:color w:val="000000" w:themeColor="text1"/>
          <w:kern w:val="0"/>
          <w:sz w:val="21"/>
          <w:szCs w:val="21"/>
          <w:lang w:val="fr-FR" w:bidi="fr-FR"/>
          <w14:ligatures w14:val="none"/>
        </w:rPr>
        <w:t>établir</w:t>
      </w:r>
      <w:proofErr w:type="gramEnd"/>
      <w:r w:rsidRPr="00B14209">
        <w:rPr>
          <w:rFonts w:ascii="Verdana" w:hAnsi="Verdana" w:cs="Times New Roman (Body CS)"/>
          <w:iCs/>
          <w:color w:val="000000" w:themeColor="text1"/>
          <w:kern w:val="0"/>
          <w:sz w:val="21"/>
          <w:szCs w:val="21"/>
          <w:lang w:val="fr-FR" w:bidi="fr-FR"/>
          <w14:ligatures w14:val="none"/>
        </w:rPr>
        <w:t xml:space="preserve"> les procédures de planification et de coordination des déploiements d’observateurs dans les flottes régionales de grands pélagiques composées de thoniers senneurs et de palangriers pélagiques industriels,</w:t>
      </w:r>
    </w:p>
    <w:p w14:paraId="396EE69D"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élaborer</w:t>
      </w:r>
      <w:proofErr w:type="gramEnd"/>
      <w:r w:rsidRPr="00B14209">
        <w:rPr>
          <w:rFonts w:ascii="Verdana" w:hAnsi="Verdana"/>
          <w:iCs/>
          <w:color w:val="000000" w:themeColor="text1"/>
          <w:kern w:val="0"/>
          <w:sz w:val="21"/>
          <w:szCs w:val="21"/>
          <w:lang w:val="fr-FR" w:bidi="fr-FR"/>
          <w14:ligatures w14:val="none"/>
        </w:rPr>
        <w:t xml:space="preserve"> des cours de remise à niveau pour la certification des observateurs des Parties en vue de mener des missions d’observation en coopération, et</w:t>
      </w:r>
    </w:p>
    <w:p w14:paraId="6E91DF10"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élaborer</w:t>
      </w:r>
      <w:proofErr w:type="gramEnd"/>
      <w:r w:rsidRPr="00B14209">
        <w:rPr>
          <w:rFonts w:ascii="Verdana" w:hAnsi="Verdana"/>
          <w:iCs/>
          <w:color w:val="000000" w:themeColor="text1"/>
          <w:kern w:val="0"/>
          <w:sz w:val="21"/>
          <w:szCs w:val="21"/>
          <w:lang w:val="fr-FR" w:bidi="fr-FR"/>
          <w14:ligatures w14:val="none"/>
        </w:rPr>
        <w:t xml:space="preserve"> des cours de formation à la coordination logistique des observateurs à l’intention du personnel de gestion et de coordination des programmes nationaux d’observateurs des Parties, afin de normaliser les briefings et les débriefings des observateurs ainsi que les procédures de gestion. </w:t>
      </w:r>
    </w:p>
    <w:p w14:paraId="6D275455" w14:textId="77777777" w:rsidR="00B14209" w:rsidRPr="00B14209" w:rsidRDefault="00B14209" w:rsidP="00B14209">
      <w:pPr>
        <w:spacing w:after="120" w:line="276" w:lineRule="auto"/>
        <w:ind w:left="731"/>
        <w:jc w:val="both"/>
        <w:rPr>
          <w:rFonts w:ascii="Verdana" w:hAnsi="Verdana"/>
          <w:iCs/>
          <w:color w:val="000000" w:themeColor="text1"/>
          <w:kern w:val="0"/>
          <w:sz w:val="21"/>
          <w:szCs w:val="21"/>
          <w:lang w:val="fr-FR"/>
          <w14:ligatures w14:val="none"/>
        </w:rPr>
      </w:pPr>
    </w:p>
    <w:p w14:paraId="18DB33E6"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Article 3  </w:t>
      </w:r>
    </w:p>
    <w:p w14:paraId="2C62AB23"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Autorités chargées de la gestion et de la coordination des programmes nationaux d’observateurs des Parties</w:t>
      </w:r>
    </w:p>
    <w:p w14:paraId="604C3A79" w14:textId="77777777" w:rsidR="00B14209" w:rsidRPr="00B14209" w:rsidRDefault="00B14209" w:rsidP="00B14209">
      <w:pPr>
        <w:numPr>
          <w:ilvl w:val="0"/>
          <w:numId w:val="4"/>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institutions désignées en charge de la gestion et de la coordination des programmes nationaux d’observateurs des Parties figurent à l’annexe 1.</w:t>
      </w:r>
    </w:p>
    <w:p w14:paraId="676C2F36" w14:textId="77777777" w:rsidR="00B14209" w:rsidRPr="00B14209" w:rsidRDefault="00B14209" w:rsidP="00B14209">
      <w:pPr>
        <w:numPr>
          <w:ilvl w:val="0"/>
          <w:numId w:val="4"/>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L’annexe 1 peut être modifiée par notification écrite adressée par la Partie concernée aux autres Parties.</w:t>
      </w:r>
    </w:p>
    <w:p w14:paraId="3C5C231A" w14:textId="77777777" w:rsidR="00B14209" w:rsidRPr="00B14209" w:rsidRDefault="00B14209" w:rsidP="00B14209">
      <w:pPr>
        <w:spacing w:after="120" w:line="276" w:lineRule="auto"/>
        <w:ind w:left="142"/>
        <w:jc w:val="both"/>
        <w:rPr>
          <w:rFonts w:ascii="Verdana" w:hAnsi="Verdana"/>
          <w:iCs/>
          <w:color w:val="000000" w:themeColor="text1"/>
          <w:kern w:val="0"/>
          <w:sz w:val="21"/>
          <w:szCs w:val="21"/>
          <w:lang w:val="fr-FR"/>
          <w14:ligatures w14:val="none"/>
        </w:rPr>
      </w:pPr>
    </w:p>
    <w:p w14:paraId="35BB7948"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4</w:t>
      </w:r>
    </w:p>
    <w:p w14:paraId="74289B04"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Application  </w:t>
      </w:r>
    </w:p>
    <w:p w14:paraId="54CFDCD1"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présent Accord s’applique à toutes les activités de pêche, à toutes les activités liées à la pêche et à toutes les informations provenant de la zone de coopération décrite à l’annexe 2 ou s’y rapportant, ainsi qu’à tous les navires battant pavillon des Parties qui opèrent dans des zones situées au-delà de leur juridiction nationale.</w:t>
      </w:r>
    </w:p>
    <w:p w14:paraId="45571B36"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p>
    <w:p w14:paraId="39BBC5ED"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Article 5 </w:t>
      </w:r>
    </w:p>
    <w:p w14:paraId="73A4F0BB" w14:textId="55C7892D"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Rôle de la COI dans le cadre du </w:t>
      </w:r>
      <w:proofErr w:type="spellStart"/>
      <w:r w:rsidR="002423E1" w:rsidRPr="002423E1">
        <w:rPr>
          <w:rFonts w:ascii="Verdana" w:hAnsi="Verdana"/>
          <w:b/>
          <w:iCs/>
          <w:color w:val="00928F"/>
          <w:kern w:val="0"/>
          <w:sz w:val="28"/>
          <w:szCs w:val="28"/>
          <w:lang w:val="fr-FR" w:bidi="fr-FR"/>
          <w14:ligatures w14:val="none"/>
        </w:rPr>
        <w:t>du</w:t>
      </w:r>
      <w:proofErr w:type="spellEnd"/>
      <w:r w:rsidR="002423E1" w:rsidRPr="002423E1">
        <w:rPr>
          <w:rFonts w:ascii="Verdana" w:hAnsi="Verdana"/>
          <w:b/>
          <w:iCs/>
          <w:color w:val="00928F"/>
          <w:kern w:val="0"/>
          <w:sz w:val="28"/>
          <w:szCs w:val="28"/>
          <w:lang w:val="fr-FR" w:bidi="fr-FR"/>
          <w14:ligatures w14:val="none"/>
        </w:rPr>
        <w:t xml:space="preserve"> Centre de Suivi, de Contrôle, de Surveillance et d'Observation des Pêches (CSCSOP)</w:t>
      </w:r>
      <w:r w:rsidRPr="00B14209">
        <w:rPr>
          <w:rFonts w:ascii="Verdana" w:hAnsi="Verdana"/>
          <w:b/>
          <w:iCs/>
          <w:color w:val="00928F"/>
          <w:kern w:val="0"/>
          <w:sz w:val="28"/>
          <w:szCs w:val="28"/>
          <w:lang w:val="fr-FR" w:bidi="fr-FR"/>
          <w14:ligatures w14:val="none"/>
        </w:rPr>
        <w:t xml:space="preserve"> </w:t>
      </w:r>
    </w:p>
    <w:p w14:paraId="19B43BC2" w14:textId="4B914DAD"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rôle de la COI dans le cadre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est décrit au paragraphe 1 de l’article 2 de l’Accord entre la COI et les États participant au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relatif à un arrangement </w:t>
      </w:r>
      <w:r w:rsidRPr="00B14209">
        <w:rPr>
          <w:rFonts w:ascii="Verdana" w:hAnsi="Verdana"/>
          <w:iCs/>
          <w:color w:val="000000" w:themeColor="text1"/>
          <w:kern w:val="0"/>
          <w:sz w:val="21"/>
          <w:szCs w:val="21"/>
          <w:lang w:val="fr-FR" w:bidi="fr-FR"/>
          <w14:ligatures w14:val="none"/>
        </w:rPr>
        <w:lastRenderedPageBreak/>
        <w:t xml:space="preserve">administratif pour la gestion et la mise en œuvre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lequel s’applique au présent Accord.</w:t>
      </w:r>
    </w:p>
    <w:p w14:paraId="326544D7" w14:textId="496CBF24"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rôle de la COI dans le cadre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est de faire office de plateforme pour l’échange d’informations, et les Parties s’engagent à coopérer avec la COI pour faciliter la mise en œuvre et la coordination des activités pertinentes, notamment : </w:t>
      </w:r>
    </w:p>
    <w:p w14:paraId="720EAAE5" w14:textId="77777777" w:rsidR="00B14209" w:rsidRPr="00B14209" w:rsidRDefault="00B14209" w:rsidP="00B14209">
      <w:pPr>
        <w:numPr>
          <w:ilvl w:val="0"/>
          <w:numId w:val="2"/>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mobiliser</w:t>
      </w:r>
      <w:proofErr w:type="gramEnd"/>
      <w:r w:rsidRPr="00B14209">
        <w:rPr>
          <w:rFonts w:ascii="Verdana" w:hAnsi="Verdana"/>
          <w:iCs/>
          <w:color w:val="000000" w:themeColor="text1"/>
          <w:kern w:val="0"/>
          <w:sz w:val="21"/>
          <w:szCs w:val="21"/>
          <w:lang w:val="fr-FR" w:bidi="fr-FR"/>
          <w14:ligatures w14:val="none"/>
        </w:rPr>
        <w:t xml:space="preserve"> l’appui financier et technique nécessaire :</w:t>
      </w:r>
    </w:p>
    <w:p w14:paraId="37BEF546" w14:textId="77777777" w:rsidR="00B14209" w:rsidRPr="00B14209" w:rsidRDefault="00B14209" w:rsidP="00B14209">
      <w:pPr>
        <w:numPr>
          <w:ilvl w:val="0"/>
          <w:numId w:val="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la désignation d’un « coordonnateur régional des observateurs » chargé de suivre la mise en œuvre et la coordination des missions d’observation régionale menées en coopération, </w:t>
      </w:r>
    </w:p>
    <w:p w14:paraId="33D44F6E" w14:textId="77777777" w:rsidR="00B14209" w:rsidRPr="00B14209" w:rsidRDefault="00B14209" w:rsidP="00B14209">
      <w:pPr>
        <w:numPr>
          <w:ilvl w:val="0"/>
          <w:numId w:val="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la mise au point, à la maintenance et à l’hébergement d’outils de partage de données pour l’échange rapide et régulier de données d’observation entre les Parties, tel que défini à l’</w:t>
      </w:r>
      <w:hyperlink w:anchor="_Annexe_2_-" w:history="1">
        <w:r w:rsidRPr="00B14209">
          <w:rPr>
            <w:rFonts w:ascii="Verdana" w:hAnsi="Verdana"/>
            <w:iCs/>
            <w:color w:val="00B0F0"/>
            <w:kern w:val="0"/>
            <w:sz w:val="21"/>
            <w:szCs w:val="21"/>
            <w:u w:val="single"/>
            <w:lang w:val="fr-FR" w:bidi="fr-FR"/>
            <w14:ligatures w14:val="none"/>
          </w:rPr>
          <w:t>annexe 3</w:t>
        </w:r>
      </w:hyperlink>
      <w:r w:rsidRPr="00B14209">
        <w:rPr>
          <w:rFonts w:ascii="Verdana" w:hAnsi="Verdana"/>
          <w:iCs/>
          <w:color w:val="000000" w:themeColor="text1"/>
          <w:kern w:val="0"/>
          <w:sz w:val="21"/>
          <w:szCs w:val="21"/>
          <w:lang w:val="fr-FR" w:bidi="fr-FR"/>
          <w14:ligatures w14:val="none"/>
        </w:rPr>
        <w:t xml:space="preserve"> du présent Accord, notamment aux fins du stockage, de l’agrégation et de l’échange de données et d’informations reçues par l’intermédiaire de la base de données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w:t>
      </w:r>
    </w:p>
    <w:p w14:paraId="72F7EFFF" w14:textId="77777777" w:rsidR="00B14209" w:rsidRPr="00B14209" w:rsidRDefault="00B14209" w:rsidP="00B14209">
      <w:pPr>
        <w:numPr>
          <w:ilvl w:val="0"/>
          <w:numId w:val="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l’assistance pour la planification et la coordination des déploiements d’observateurs régionaux, et en coopération avec les navires industriels et leurs États du pavillon souhaitant embarquer un observateur du programme, à bord des flottes régionales de grands pélagiques (thoniers senneurs et palangriers pélagiques industriels), comme détaillé à l’</w:t>
      </w:r>
      <w:hyperlink w:anchor="_Annex_4_-" w:history="1">
        <w:r w:rsidRPr="00B14209">
          <w:rPr>
            <w:rFonts w:ascii="Verdana" w:hAnsi="Verdana"/>
            <w:iCs/>
            <w:color w:val="00B0F0"/>
            <w:kern w:val="0"/>
            <w:sz w:val="21"/>
            <w:szCs w:val="21"/>
            <w:u w:val="single"/>
            <w:lang w:val="fr-FR" w:bidi="fr-FR"/>
            <w14:ligatures w14:val="none"/>
          </w:rPr>
          <w:t>annexe 4</w:t>
        </w:r>
      </w:hyperlink>
      <w:r w:rsidRPr="00B14209">
        <w:rPr>
          <w:rFonts w:ascii="Verdana" w:hAnsi="Verdana"/>
          <w:iCs/>
          <w:color w:val="000000" w:themeColor="text1"/>
          <w:kern w:val="0"/>
          <w:sz w:val="21"/>
          <w:szCs w:val="21"/>
          <w:lang w:val="fr-FR" w:bidi="fr-FR"/>
          <w14:ligatures w14:val="none"/>
        </w:rPr>
        <w:t xml:space="preserve"> du présent Accord, </w:t>
      </w:r>
    </w:p>
    <w:p w14:paraId="2CBEFCF4" w14:textId="77777777" w:rsidR="00B14209" w:rsidRPr="00B14209" w:rsidRDefault="00B14209" w:rsidP="00B14209">
      <w:pPr>
        <w:numPr>
          <w:ilvl w:val="0"/>
          <w:numId w:val="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la formation des observateurs habilités à opérer dans la région,</w:t>
      </w:r>
    </w:p>
    <w:p w14:paraId="35FAE519" w14:textId="77777777" w:rsidR="00B14209" w:rsidRPr="00B14209" w:rsidRDefault="00B14209" w:rsidP="00B14209">
      <w:pPr>
        <w:numPr>
          <w:ilvl w:val="0"/>
          <w:numId w:val="3"/>
        </w:numPr>
        <w:spacing w:after="120" w:line="276" w:lineRule="auto"/>
        <w:jc w:val="both"/>
        <w:rPr>
          <w:rFonts w:ascii="Verdana" w:hAnsi="Verdana"/>
          <w:iCs/>
          <w:color w:val="000000" w:themeColor="text1"/>
          <w:spacing w:val="-4"/>
          <w:kern w:val="0"/>
          <w:sz w:val="21"/>
          <w:szCs w:val="21"/>
          <w:lang w:val="fr-FR"/>
          <w14:ligatures w14:val="none"/>
        </w:rPr>
      </w:pPr>
      <w:proofErr w:type="gramStart"/>
      <w:r w:rsidRPr="00B14209">
        <w:rPr>
          <w:rFonts w:ascii="Verdana" w:hAnsi="Verdana"/>
          <w:iCs/>
          <w:color w:val="000000" w:themeColor="text1"/>
          <w:spacing w:val="-4"/>
          <w:kern w:val="0"/>
          <w:sz w:val="21"/>
          <w:szCs w:val="21"/>
          <w:lang w:val="fr-FR" w:bidi="fr-FR"/>
          <w14:ligatures w14:val="none"/>
        </w:rPr>
        <w:t>à</w:t>
      </w:r>
      <w:proofErr w:type="gramEnd"/>
      <w:r w:rsidRPr="00B14209">
        <w:rPr>
          <w:rFonts w:ascii="Verdana" w:hAnsi="Verdana"/>
          <w:iCs/>
          <w:color w:val="000000" w:themeColor="text1"/>
          <w:spacing w:val="-4"/>
          <w:kern w:val="0"/>
          <w:sz w:val="21"/>
          <w:szCs w:val="21"/>
          <w:lang w:val="fr-FR" w:bidi="fr-FR"/>
          <w14:ligatures w14:val="none"/>
        </w:rPr>
        <w:t xml:space="preserve"> la formation des équipes de gestion des programmes nationaux d’observateurs, et</w:t>
      </w:r>
    </w:p>
    <w:p w14:paraId="7533BC5B" w14:textId="77777777" w:rsidR="00B14209" w:rsidRPr="00B14209" w:rsidRDefault="00B14209" w:rsidP="00B14209">
      <w:pPr>
        <w:numPr>
          <w:ilvl w:val="0"/>
          <w:numId w:val="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l’organisation des réunions du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w:t>
      </w:r>
    </w:p>
    <w:p w14:paraId="5CCDEBD0" w14:textId="77777777" w:rsidR="00B14209" w:rsidRPr="00B14209" w:rsidRDefault="00B14209" w:rsidP="00B14209">
      <w:pPr>
        <w:numPr>
          <w:ilvl w:val="0"/>
          <w:numId w:val="2"/>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participer</w:t>
      </w:r>
      <w:proofErr w:type="gramEnd"/>
      <w:r w:rsidRPr="00B14209">
        <w:rPr>
          <w:rFonts w:ascii="Verdana" w:hAnsi="Verdana"/>
          <w:iCs/>
          <w:color w:val="000000" w:themeColor="text1"/>
          <w:kern w:val="0"/>
          <w:sz w:val="21"/>
          <w:szCs w:val="21"/>
          <w:lang w:val="fr-FR" w:bidi="fr-FR"/>
          <w14:ligatures w14:val="none"/>
        </w:rPr>
        <w:t xml:space="preserve"> au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certifier les observateurs sous-régionaux et leur délivrer un certificat et une carte d’accès portant le logo de la COI ;</w:t>
      </w:r>
    </w:p>
    <w:p w14:paraId="62DC7509" w14:textId="77777777" w:rsidR="00B14209" w:rsidRPr="00B14209" w:rsidRDefault="00B14209" w:rsidP="00B14209">
      <w:pPr>
        <w:numPr>
          <w:ilvl w:val="0"/>
          <w:numId w:val="2"/>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collaborer</w:t>
      </w:r>
      <w:proofErr w:type="gramEnd"/>
      <w:r w:rsidRPr="00B14209">
        <w:rPr>
          <w:rFonts w:ascii="Verdana" w:hAnsi="Verdana"/>
          <w:iCs/>
          <w:color w:val="000000" w:themeColor="text1"/>
          <w:kern w:val="0"/>
          <w:sz w:val="21"/>
          <w:szCs w:val="21"/>
          <w:lang w:val="fr-FR" w:bidi="fr-FR"/>
          <w14:ligatures w14:val="none"/>
        </w:rPr>
        <w:t xml:space="preserve"> avec la Commission des thons de l’océan Indien (CTOI) et l’Accord relatif aux pêches dans le sud de l’océan Indien (APSOI) afin de fournir un appui technique et scientifique aux activités de coopération des observateurs sous-régionaux, notamment l’élaboration de normes, la formation et d’autres activités, le cas échéant.</w:t>
      </w:r>
    </w:p>
    <w:p w14:paraId="3E82B861" w14:textId="77777777" w:rsidR="00B14209" w:rsidRPr="00B14209" w:rsidRDefault="00B14209" w:rsidP="00B14209">
      <w:pPr>
        <w:spacing w:after="120" w:line="276" w:lineRule="auto"/>
        <w:ind w:left="1080"/>
        <w:jc w:val="both"/>
        <w:rPr>
          <w:rFonts w:ascii="Verdana" w:hAnsi="Verdana"/>
          <w:iCs/>
          <w:color w:val="000000" w:themeColor="text1"/>
          <w:kern w:val="0"/>
          <w:sz w:val="21"/>
          <w:szCs w:val="21"/>
          <w:lang w:val="fr-FR"/>
          <w14:ligatures w14:val="none"/>
        </w:rPr>
      </w:pPr>
    </w:p>
    <w:p w14:paraId="37E84079"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Article 6  </w:t>
      </w:r>
    </w:p>
    <w:p w14:paraId="63FE36A0"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Rôle des organisations régionales de gestion des pêches </w:t>
      </w:r>
    </w:p>
    <w:p w14:paraId="2A827BB5" w14:textId="77777777" w:rsidR="00B14209" w:rsidRPr="00B14209" w:rsidRDefault="00B14209" w:rsidP="00B14209">
      <w:pPr>
        <w:spacing w:after="120" w:line="276" w:lineRule="auto"/>
        <w:jc w:val="both"/>
        <w:rPr>
          <w:rFonts w:ascii="Verdana" w:hAnsi="Verdana"/>
          <w:b/>
          <w:bCs/>
          <w:iCs/>
          <w:color w:val="000000" w:themeColor="text1"/>
          <w:kern w:val="0"/>
          <w:sz w:val="21"/>
          <w:szCs w:val="21"/>
          <w:lang w:val="fr-FR"/>
          <w14:ligatures w14:val="none"/>
        </w:rPr>
      </w:pPr>
    </w:p>
    <w:p w14:paraId="6AD0919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donnent aux organisations régionales de gestion des pêches la possibilité de contribuer au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en tant que partenaires.</w:t>
      </w:r>
    </w:p>
    <w:p w14:paraId="5E6E2898" w14:textId="77777777" w:rsidR="00B14209" w:rsidRPr="00B14209" w:rsidRDefault="00B14209" w:rsidP="00B14209">
      <w:pPr>
        <w:spacing w:after="120" w:line="276" w:lineRule="auto"/>
        <w:jc w:val="both"/>
        <w:rPr>
          <w:rFonts w:ascii="Verdana" w:hAnsi="Verdana"/>
          <w:b/>
          <w:bCs/>
          <w:iCs/>
          <w:color w:val="000000" w:themeColor="text1"/>
          <w:kern w:val="0"/>
          <w:sz w:val="21"/>
          <w:szCs w:val="21"/>
          <w:lang w:val="fr-FR"/>
          <w14:ligatures w14:val="none"/>
        </w:rPr>
      </w:pPr>
    </w:p>
    <w:p w14:paraId="431827DC"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7</w:t>
      </w:r>
    </w:p>
    <w:p w14:paraId="10BDF832"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lastRenderedPageBreak/>
        <w:t>Responsabilités des Parties</w:t>
      </w:r>
    </w:p>
    <w:p w14:paraId="62E73E6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w:t>
      </w:r>
    </w:p>
    <w:p w14:paraId="5C51BDA6"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nomment</w:t>
      </w:r>
      <w:proofErr w:type="gramEnd"/>
      <w:r w:rsidRPr="00B14209">
        <w:rPr>
          <w:rFonts w:ascii="Verdana" w:hAnsi="Verdana"/>
          <w:iCs/>
          <w:color w:val="000000" w:themeColor="text1"/>
          <w:kern w:val="0"/>
          <w:sz w:val="21"/>
          <w:szCs w:val="21"/>
          <w:lang w:val="fr-FR" w:bidi="fr-FR"/>
          <w14:ligatures w14:val="none"/>
        </w:rPr>
        <w:t xml:space="preserve"> un responsable/coordinateur et un gestionnaire des données pour leur programme national d’observateurs, qui seront les points de contact pour les questions liées à la mise en œuvre des activités dans le cadre du présent Accord, y compris la participation au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w:t>
      </w:r>
    </w:p>
    <w:p w14:paraId="46E5670A"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désignent</w:t>
      </w:r>
      <w:proofErr w:type="gramEnd"/>
      <w:r w:rsidRPr="00B14209">
        <w:rPr>
          <w:rFonts w:ascii="Verdana" w:hAnsi="Verdana"/>
          <w:iCs/>
          <w:color w:val="000000" w:themeColor="text1"/>
          <w:kern w:val="0"/>
          <w:sz w:val="21"/>
          <w:szCs w:val="21"/>
          <w:lang w:val="fr-FR" w:bidi="fr-FR"/>
          <w14:ligatures w14:val="none"/>
        </w:rPr>
        <w:t xml:space="preserve"> des observateurs nationaux qui répondent aux critères minimaux définis à l’</w:t>
      </w:r>
      <w:hyperlink w:anchor="_Annex_5_-" w:history="1">
        <w:r w:rsidRPr="00B14209">
          <w:rPr>
            <w:rFonts w:ascii="Verdana" w:hAnsi="Verdana"/>
            <w:iCs/>
            <w:color w:val="00B0F0"/>
            <w:kern w:val="0"/>
            <w:sz w:val="21"/>
            <w:szCs w:val="21"/>
            <w:u w:val="single"/>
            <w:lang w:val="fr-FR" w:bidi="fr-FR"/>
            <w14:ligatures w14:val="none"/>
          </w:rPr>
          <w:t>annexe </w:t>
        </w:r>
      </w:hyperlink>
      <w:r w:rsidRPr="00B14209">
        <w:rPr>
          <w:rFonts w:ascii="Verdana" w:hAnsi="Verdana"/>
          <w:iCs/>
          <w:color w:val="000000" w:themeColor="text1"/>
          <w:kern w:val="0"/>
          <w:sz w:val="21"/>
          <w:szCs w:val="21"/>
          <w:lang w:val="fr-FR" w:bidi="fr-FR"/>
          <w14:ligatures w14:val="none"/>
        </w:rPr>
        <w:t>5 et les soumettent à une procédure de certification sous-régionale telle que définie à l’annexe 6, afin qu’ils puissent rejoindre le groupe d’observateurs accrédités au niveau sous-régional ;</w:t>
      </w:r>
    </w:p>
    <w:p w14:paraId="69AECD63"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transmettent</w:t>
      </w:r>
      <w:proofErr w:type="gramEnd"/>
      <w:r w:rsidRPr="00B14209">
        <w:rPr>
          <w:rFonts w:ascii="Verdana" w:hAnsi="Verdana"/>
          <w:iCs/>
          <w:color w:val="000000" w:themeColor="text1"/>
          <w:kern w:val="0"/>
          <w:sz w:val="21"/>
          <w:szCs w:val="21"/>
          <w:lang w:val="fr-FR" w:bidi="fr-FR"/>
          <w14:ligatures w14:val="none"/>
        </w:rPr>
        <w:t xml:space="preserve"> la liste des observateurs nationaux certifiés au niveau sous-régional au secrétariat de la CTOI et au secrétariat de l’APSOI pour enregistrement ;</w:t>
      </w:r>
    </w:p>
    <w:p w14:paraId="720A383D"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coordonnent</w:t>
      </w:r>
      <w:proofErr w:type="gramEnd"/>
      <w:r w:rsidRPr="00B14209">
        <w:rPr>
          <w:rFonts w:ascii="Verdana" w:hAnsi="Verdana"/>
          <w:iCs/>
          <w:color w:val="000000" w:themeColor="text1"/>
          <w:kern w:val="0"/>
          <w:sz w:val="21"/>
          <w:szCs w:val="21"/>
          <w:lang w:val="fr-FR" w:bidi="fr-FR"/>
          <w14:ligatures w14:val="none"/>
        </w:rPr>
        <w:t xml:space="preserve"> le déploiement des observateurs en association avec la COI et les autres Parties ;</w:t>
      </w:r>
    </w:p>
    <w:p w14:paraId="0D1C5DDF"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s’efforcent</w:t>
      </w:r>
      <w:proofErr w:type="gramEnd"/>
      <w:r w:rsidRPr="00B14209">
        <w:rPr>
          <w:rFonts w:ascii="Verdana" w:hAnsi="Verdana"/>
          <w:iCs/>
          <w:color w:val="000000" w:themeColor="text1"/>
          <w:kern w:val="0"/>
          <w:sz w:val="21"/>
          <w:szCs w:val="21"/>
          <w:lang w:val="fr-FR" w:bidi="fr-FR"/>
          <w14:ligatures w14:val="none"/>
        </w:rPr>
        <w:t xml:space="preserve"> d’aligner les programmes nationaux d’observateurs sur les normes du Mécanisme régional d’observateurs de la CTOI, notamment la norme de sécurité en mer, et signalent au Secrétariat de la CTOI ou au Secrétariat de l’APSOI, selon le cas, tout incident impliquant des observateurs ;</w:t>
      </w:r>
    </w:p>
    <w:p w14:paraId="1449E218"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veillent</w:t>
      </w:r>
      <w:proofErr w:type="gramEnd"/>
      <w:r w:rsidRPr="00B14209">
        <w:rPr>
          <w:rFonts w:ascii="Verdana" w:hAnsi="Verdana"/>
          <w:iCs/>
          <w:color w:val="000000" w:themeColor="text1"/>
          <w:kern w:val="0"/>
          <w:sz w:val="21"/>
          <w:szCs w:val="21"/>
          <w:lang w:val="fr-FR" w:bidi="fr-FR"/>
          <w14:ligatures w14:val="none"/>
        </w:rPr>
        <w:t xml:space="preserve"> au respect de la résolution 22/04 de la CTOI et de toutes les résolutions applicables de l’APSOI, et communiquent les informations relatives aux observateurs au secrétariat compétent dans le ou les formats requis.</w:t>
      </w:r>
    </w:p>
    <w:p w14:paraId="71738164" w14:textId="77777777" w:rsidR="00B14209" w:rsidRPr="00B14209" w:rsidRDefault="00B14209" w:rsidP="00B14209">
      <w:pPr>
        <w:spacing w:after="120" w:line="276" w:lineRule="auto"/>
        <w:ind w:left="360"/>
        <w:jc w:val="both"/>
        <w:rPr>
          <w:rFonts w:ascii="Verdana" w:hAnsi="Verdana"/>
          <w:iCs/>
          <w:color w:val="000000" w:themeColor="text1"/>
          <w:kern w:val="0"/>
          <w:sz w:val="21"/>
          <w:szCs w:val="21"/>
          <w:lang w:val="fr-FR"/>
          <w14:ligatures w14:val="none"/>
        </w:rPr>
      </w:pPr>
    </w:p>
    <w:p w14:paraId="7737CEE3" w14:textId="77777777" w:rsidR="00B14209" w:rsidRPr="00B14209" w:rsidRDefault="00B14209" w:rsidP="00B14209">
      <w:pPr>
        <w:spacing w:after="120" w:line="276" w:lineRule="auto"/>
        <w:ind w:left="360"/>
        <w:jc w:val="both"/>
        <w:rPr>
          <w:rFonts w:ascii="Verdana" w:hAnsi="Verdana"/>
          <w:iCs/>
          <w:color w:val="000000" w:themeColor="text1"/>
          <w:kern w:val="0"/>
          <w:sz w:val="21"/>
          <w:szCs w:val="21"/>
          <w:lang w:val="fr-FR"/>
          <w14:ligatures w14:val="none"/>
        </w:rPr>
      </w:pPr>
    </w:p>
    <w:p w14:paraId="3308DA85" w14:textId="77777777" w:rsidR="00B14209" w:rsidRPr="00B14209" w:rsidRDefault="00B14209" w:rsidP="00B14209">
      <w:pPr>
        <w:spacing w:after="120" w:line="276" w:lineRule="auto"/>
        <w:ind w:left="360"/>
        <w:jc w:val="both"/>
        <w:rPr>
          <w:rFonts w:ascii="Verdana" w:hAnsi="Verdana"/>
          <w:iCs/>
          <w:color w:val="000000" w:themeColor="text1"/>
          <w:kern w:val="0"/>
          <w:sz w:val="21"/>
          <w:szCs w:val="21"/>
          <w:lang w:val="fr-FR"/>
          <w14:ligatures w14:val="none"/>
        </w:rPr>
      </w:pPr>
    </w:p>
    <w:p w14:paraId="75B3E420"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8</w:t>
      </w:r>
    </w:p>
    <w:p w14:paraId="1143883A"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Rôle du GT-</w:t>
      </w:r>
      <w:proofErr w:type="spellStart"/>
      <w:r w:rsidRPr="00B14209">
        <w:rPr>
          <w:rFonts w:ascii="Verdana" w:hAnsi="Verdana"/>
          <w:b/>
          <w:iCs/>
          <w:color w:val="00928F"/>
          <w:kern w:val="0"/>
          <w:sz w:val="28"/>
          <w:szCs w:val="28"/>
          <w:lang w:val="fr-FR" w:bidi="fr-FR"/>
          <w14:ligatures w14:val="none"/>
        </w:rPr>
        <w:t>rPNO</w:t>
      </w:r>
      <w:proofErr w:type="spellEnd"/>
      <w:r w:rsidRPr="00B14209">
        <w:rPr>
          <w:rFonts w:ascii="Verdana" w:hAnsi="Verdana"/>
          <w:b/>
          <w:iCs/>
          <w:color w:val="00928F"/>
          <w:kern w:val="0"/>
          <w:sz w:val="28"/>
          <w:szCs w:val="28"/>
          <w:lang w:val="fr-FR" w:bidi="fr-FR"/>
          <w14:ligatures w14:val="none"/>
        </w:rPr>
        <w:t xml:space="preserve"> (disposition relative à la liaison)  </w:t>
      </w:r>
    </w:p>
    <w:p w14:paraId="66CDE26C"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peuvent définir le rôle du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conformément à son mandat, qui devrait notamment consister à :</w:t>
      </w:r>
    </w:p>
    <w:p w14:paraId="037442C6"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partager</w:t>
      </w:r>
      <w:proofErr w:type="gramEnd"/>
      <w:r w:rsidRPr="00B14209">
        <w:rPr>
          <w:rFonts w:ascii="Verdana" w:hAnsi="Verdana"/>
          <w:iCs/>
          <w:color w:val="000000" w:themeColor="text1"/>
          <w:kern w:val="0"/>
          <w:sz w:val="21"/>
          <w:szCs w:val="21"/>
          <w:lang w:val="fr-FR" w:bidi="fr-FR"/>
          <w14:ligatures w14:val="none"/>
        </w:rPr>
        <w:t xml:space="preserve"> la planification du déploiement des observateurs au niveau sous-régional ;</w:t>
      </w:r>
    </w:p>
    <w:p w14:paraId="1E324ADF"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planifier</w:t>
      </w:r>
      <w:proofErr w:type="gramEnd"/>
      <w:r w:rsidRPr="00B14209">
        <w:rPr>
          <w:rFonts w:ascii="Verdana" w:hAnsi="Verdana"/>
          <w:iCs/>
          <w:color w:val="000000" w:themeColor="text1"/>
          <w:kern w:val="0"/>
          <w:sz w:val="21"/>
          <w:szCs w:val="21"/>
          <w:lang w:val="fr-FR" w:bidi="fr-FR"/>
          <w14:ligatures w14:val="none"/>
        </w:rPr>
        <w:t xml:space="preserve"> les déploiements d’observateurs au niveau sous-régional ;</w:t>
      </w:r>
    </w:p>
    <w:p w14:paraId="0A6F158C"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rendre</w:t>
      </w:r>
      <w:proofErr w:type="gramEnd"/>
      <w:r w:rsidRPr="00B14209">
        <w:rPr>
          <w:rFonts w:ascii="Verdana" w:hAnsi="Verdana"/>
          <w:iCs/>
          <w:color w:val="000000" w:themeColor="text1"/>
          <w:kern w:val="0"/>
          <w:sz w:val="21"/>
          <w:szCs w:val="21"/>
          <w:lang w:val="fr-FR" w:bidi="fr-FR"/>
          <w14:ligatures w14:val="none"/>
        </w:rPr>
        <w:t xml:space="preserve"> compte des déploiements d’observateurs sur les flottes artisanales des États côtiers ;</w:t>
      </w:r>
    </w:p>
    <w:p w14:paraId="629A48BD"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élaborer</w:t>
      </w:r>
      <w:proofErr w:type="gramEnd"/>
      <w:r w:rsidRPr="00B14209">
        <w:rPr>
          <w:rFonts w:ascii="Verdana" w:hAnsi="Verdana"/>
          <w:iCs/>
          <w:color w:val="000000" w:themeColor="text1"/>
          <w:kern w:val="0"/>
          <w:sz w:val="21"/>
          <w:szCs w:val="21"/>
          <w:lang w:val="fr-FR" w:bidi="fr-FR"/>
          <w14:ligatures w14:val="none"/>
        </w:rPr>
        <w:t xml:space="preserve"> des normes pour la mise en œuvre et la coordination des activités de coopération des observateurs sous-régionaux ;</w:t>
      </w:r>
    </w:p>
    <w:p w14:paraId="53E5734B"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élaborer</w:t>
      </w:r>
      <w:proofErr w:type="gramEnd"/>
      <w:r w:rsidRPr="00B14209">
        <w:rPr>
          <w:rFonts w:ascii="Verdana" w:hAnsi="Verdana"/>
          <w:iCs/>
          <w:color w:val="000000" w:themeColor="text1"/>
          <w:kern w:val="0"/>
          <w:sz w:val="21"/>
          <w:szCs w:val="21"/>
          <w:lang w:val="fr-FR" w:bidi="fr-FR"/>
          <w14:ligatures w14:val="none"/>
        </w:rPr>
        <w:t xml:space="preserve"> des processus formels de certification des observateurs ;</w:t>
      </w:r>
    </w:p>
    <w:p w14:paraId="2484EF05"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assurer</w:t>
      </w:r>
      <w:proofErr w:type="gramEnd"/>
      <w:r w:rsidRPr="00B14209">
        <w:rPr>
          <w:rFonts w:ascii="Verdana" w:hAnsi="Verdana"/>
          <w:iCs/>
          <w:color w:val="000000" w:themeColor="text1"/>
          <w:kern w:val="0"/>
          <w:sz w:val="21"/>
          <w:szCs w:val="21"/>
          <w:lang w:val="fr-FR" w:bidi="fr-FR"/>
          <w14:ligatures w14:val="none"/>
        </w:rPr>
        <w:t xml:space="preserve"> tout autre rôle qui pourrait être défini. </w:t>
      </w:r>
    </w:p>
    <w:p w14:paraId="1AD26670" w14:textId="77777777" w:rsidR="00B14209" w:rsidRPr="00B14209" w:rsidRDefault="00B14209" w:rsidP="00B14209">
      <w:pPr>
        <w:spacing w:after="80" w:line="276" w:lineRule="auto"/>
        <w:ind w:left="357"/>
        <w:jc w:val="both"/>
        <w:rPr>
          <w:rFonts w:ascii="Verdana" w:hAnsi="Verdana"/>
          <w:iCs/>
          <w:color w:val="000000" w:themeColor="text1"/>
          <w:kern w:val="0"/>
          <w:sz w:val="21"/>
          <w:szCs w:val="21"/>
          <w:lang w:val="fr-FR"/>
          <w14:ligatures w14:val="none"/>
        </w:rPr>
      </w:pPr>
    </w:p>
    <w:p w14:paraId="14B0A571"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9</w:t>
      </w:r>
    </w:p>
    <w:p w14:paraId="57C78FDB" w14:textId="77777777" w:rsidR="00B14209" w:rsidRPr="00B14209" w:rsidRDefault="00B14209" w:rsidP="00B14209">
      <w:pPr>
        <w:spacing w:after="120" w:line="276" w:lineRule="auto"/>
        <w:ind w:left="851" w:hanging="851"/>
        <w:contextualSpacing/>
        <w:jc w:val="center"/>
        <w:rPr>
          <w:rFonts w:ascii="Verdana" w:hAnsi="Verdana"/>
          <w:b/>
          <w:bCs/>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lastRenderedPageBreak/>
        <w:t>Missions d’observation en coopération</w:t>
      </w:r>
    </w:p>
    <w:p w14:paraId="1DE69A0E"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missions d’observation en coopération, qui sont soumises aux conditions prévues par le présent Accord, visent à mettre en commun et à optimiser les ressources et les informations d’observation des Parties. </w:t>
      </w:r>
    </w:p>
    <w:p w14:paraId="32B0C83B"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42FE3B4D"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10</w:t>
      </w:r>
    </w:p>
    <w:p w14:paraId="2E35D7D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Partage des données et confidentialité</w:t>
      </w:r>
    </w:p>
    <w:p w14:paraId="62A5DE91"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observateurs certifiés au niveau sous-régional remettent toutes les données (physiques et numériques) collectées au cours d’une mission d’observation en coopération uniquement à leur autorité nationale désignée à l’annexe 1. </w:t>
      </w:r>
    </w:p>
    <w:p w14:paraId="105858DD"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observateurs qui participent à une mission d’observation en coopération en dehors de leur juridiction nationale continuent de rendre compte à leur autorité nationale, et cette autorité partage les données par l’intermédiaire de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avec l’autre Partie ou les autres Parties associées à la mission d’observation en coopération.  </w:t>
      </w:r>
    </w:p>
    <w:p w14:paraId="2855D740"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L’autorité désignée de chaque Partie est chargée du débriefing de ses observateurs certifiés ainsi que de la vérification, de la transmission et du stockage des données. </w:t>
      </w:r>
    </w:p>
    <w:p w14:paraId="002F783D" w14:textId="174F7BB3"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L’autorité désignée de chaque Partie transmet les données brutes (le cas échéant), les données agrégées et autres données à échanger à la plateforme de partage d’informations pertinente gérée par la COI/le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ou toute autre entité dont les Parties peuvent convenir, et cet échange est effectué conformément à la législation applicable en matière de confidentialité de la Partie concernée et à l’Accord relatif à un Plan régional de surveillance des pêches en vue de la mise en place de mécanismes régionaux d’échange d’informations sur les pêches aux fins du suivi, du contrôle et de la surveillance.  </w:t>
      </w:r>
    </w:p>
    <w:p w14:paraId="3824624D"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données brutes collectées par les observateurs certifiés au niveau sous-régional sont la propriété de la Partie responsable de leur collecte.  Les données collectées par un observateur de l’une des Parties dans les eaux relevant de la juridiction d’une autre Partie sont transmises à cette dernière avec suffisamment de détails et regroupées conformément aux exigences de la résolution 15/02 de la CTOI </w:t>
      </w:r>
      <w:r w:rsidRPr="00B14209">
        <w:rPr>
          <w:rFonts w:ascii="Verdana" w:hAnsi="Verdana"/>
          <w:i/>
          <w:iCs/>
          <w:color w:val="000000" w:themeColor="text1"/>
          <w:kern w:val="0"/>
          <w:sz w:val="21"/>
          <w:szCs w:val="21"/>
          <w:lang w:val="fr-FR" w:bidi="fr-FR"/>
          <w14:ligatures w14:val="none"/>
        </w:rPr>
        <w:t>Exigences statistiques pour les Membres et les Parties Coopérantes non-Contractantes de la CTOI (CPC</w:t>
      </w:r>
      <w:r w:rsidRPr="00B14209">
        <w:rPr>
          <w:rFonts w:ascii="Verdana" w:hAnsi="Verdana"/>
          <w:iCs/>
          <w:color w:val="000000" w:themeColor="text1"/>
          <w:kern w:val="0"/>
          <w:sz w:val="21"/>
          <w:szCs w:val="21"/>
          <w:lang w:val="fr-FR" w:bidi="fr-FR"/>
          <w14:ligatures w14:val="none"/>
        </w:rPr>
        <w:t xml:space="preserve">) ou de toute résolution qui la remplace.  </w:t>
      </w:r>
    </w:p>
    <w:p w14:paraId="66DBE8E8" w14:textId="18E0CD28"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données brutes mises à la disposition de la COI par une Partie pour être agrégées puis partagées au moyen de l’outil internet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ne sont pas partagées ni utilisées à d’autres fins que celles prévues par le présent Accord sans l’accord écrit préalable de la Partie responsable de leur collecte. </w:t>
      </w:r>
    </w:p>
    <w:p w14:paraId="1D82F8B4"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Toute donnée de nature commerciale ou privée, telle que la position géographique des opérations de pêche, est strictement confidentielle et ne peut être divulguée ou mise à la disposition d’autres Parties ou d’entités extérieures au présent Accord sans l’accord écrit préalable de toutes les Parties.</w:t>
      </w:r>
    </w:p>
    <w:p w14:paraId="448BE4DC"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 xml:space="preserve">Les données agrégées collectées par les observateurs certifiés au niveau sous-régional au cours de leurs missions d’observation en coopération sont échangées avec les Parties coopérantes non contractantes sous réserve de l’approbation écrite préalable de toutes les Parties et selon les conditions jugées nécessaires.  Le partage des données agrégées avec des Parties coopérantes non contractantes s’effectue conformément à la résolution 12/02 de la CTOI </w:t>
      </w:r>
      <w:r w:rsidRPr="00B14209">
        <w:rPr>
          <w:rFonts w:ascii="Verdana" w:hAnsi="Verdana"/>
          <w:i/>
          <w:iCs/>
          <w:color w:val="000000" w:themeColor="text1"/>
          <w:kern w:val="0"/>
          <w:sz w:val="21"/>
          <w:szCs w:val="21"/>
          <w:lang w:val="fr-FR" w:bidi="fr-FR"/>
          <w14:ligatures w14:val="none"/>
        </w:rPr>
        <w:t>Politique et procédures de confidentialité des données statistiques</w:t>
      </w:r>
      <w:r w:rsidRPr="00B14209">
        <w:rPr>
          <w:rFonts w:ascii="Verdana" w:hAnsi="Verdana"/>
          <w:iCs/>
          <w:color w:val="000000" w:themeColor="text1"/>
          <w:kern w:val="0"/>
          <w:sz w:val="21"/>
          <w:szCs w:val="21"/>
          <w:lang w:val="fr-FR" w:bidi="fr-FR"/>
          <w14:ligatures w14:val="none"/>
        </w:rPr>
        <w:t>.</w:t>
      </w:r>
    </w:p>
    <w:p w14:paraId="45D7B319" w14:textId="77777777" w:rsidR="00B14209" w:rsidRPr="00B14209" w:rsidRDefault="00B14209" w:rsidP="00B14209">
      <w:pPr>
        <w:numPr>
          <w:ilvl w:val="0"/>
          <w:numId w:val="9"/>
        </w:numPr>
        <w:spacing w:after="120" w:line="276" w:lineRule="auto"/>
        <w:jc w:val="both"/>
        <w:rPr>
          <w:rFonts w:ascii="Verdana" w:hAnsi="Verdana"/>
          <w:iCs/>
          <w:color w:val="000000" w:themeColor="text1"/>
          <w:spacing w:val="-6"/>
          <w:kern w:val="0"/>
          <w:sz w:val="21"/>
          <w:szCs w:val="21"/>
          <w:lang w:val="fr-FR"/>
          <w14:ligatures w14:val="none"/>
        </w:rPr>
      </w:pPr>
      <w:r w:rsidRPr="00B14209">
        <w:rPr>
          <w:rFonts w:ascii="Verdana" w:hAnsi="Verdana"/>
          <w:iCs/>
          <w:color w:val="000000" w:themeColor="text1"/>
          <w:spacing w:val="-6"/>
          <w:kern w:val="0"/>
          <w:sz w:val="21"/>
          <w:szCs w:val="21"/>
          <w:lang w:val="fr-FR" w:bidi="fr-FR"/>
          <w14:ligatures w14:val="none"/>
        </w:rPr>
        <w:t>Toute Partie qui publie des informations scientifiques utilise uniquement des données agrégées, en citant l’origine commune des données, et en transmet une copie aux autres Parties.</w:t>
      </w:r>
    </w:p>
    <w:p w14:paraId="7EFEA47D" w14:textId="77777777" w:rsidR="00B14209" w:rsidRPr="00B14209" w:rsidRDefault="00B14209" w:rsidP="00B14209">
      <w:pPr>
        <w:spacing w:after="120" w:line="276" w:lineRule="auto"/>
        <w:ind w:left="720"/>
        <w:jc w:val="both"/>
        <w:rPr>
          <w:rFonts w:ascii="Verdana" w:hAnsi="Verdana"/>
          <w:iCs/>
          <w:color w:val="000000" w:themeColor="text1"/>
          <w:kern w:val="0"/>
          <w:sz w:val="21"/>
          <w:szCs w:val="21"/>
          <w:lang w:val="fr-FR"/>
          <w14:ligatures w14:val="none"/>
        </w:rPr>
      </w:pPr>
    </w:p>
    <w:p w14:paraId="09F94A8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Article 11</w:t>
      </w:r>
    </w:p>
    <w:p w14:paraId="3BAC9494"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 xml:space="preserve">Signature et adhésion   </w:t>
      </w:r>
    </w:p>
    <w:p w14:paraId="66CCB772" w14:textId="2A8AF87C" w:rsidR="00B14209" w:rsidRPr="00B14209" w:rsidRDefault="00B14209" w:rsidP="00B14209">
      <w:pPr>
        <w:numPr>
          <w:ilvl w:val="0"/>
          <w:numId w:val="14"/>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présent Accord est ouvert à la signature de tous les États participant au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de la COI.</w:t>
      </w:r>
    </w:p>
    <w:p w14:paraId="56A68DC5" w14:textId="77777777" w:rsidR="00B14209" w:rsidRPr="00B14209" w:rsidRDefault="00B14209" w:rsidP="00B14209">
      <w:pPr>
        <w:numPr>
          <w:ilvl w:val="0"/>
          <w:numId w:val="14"/>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Après son entrée en vigueur conformément au paragraphe 1 de l’article 12, le présent Accord est ouvert à l’adhésion de </w:t>
      </w:r>
      <w:r w:rsidRPr="00B14209">
        <w:rPr>
          <w:rFonts w:ascii="Verdana" w:hAnsi="Verdana"/>
          <w:iCs/>
          <w:color w:val="000000" w:themeColor="text1"/>
          <w:kern w:val="0"/>
          <w:sz w:val="21"/>
          <w:szCs w:val="21"/>
          <w:u w:val="single"/>
          <w:lang w:val="fr-FR" w:bidi="fr-FR"/>
          <w14:ligatures w14:val="none"/>
        </w:rPr>
        <w:t>XXX</w:t>
      </w:r>
      <w:r w:rsidRPr="00B14209">
        <w:rPr>
          <w:rFonts w:ascii="Verdana" w:hAnsi="Verdana"/>
          <w:iCs/>
          <w:color w:val="000000" w:themeColor="text1"/>
          <w:kern w:val="0"/>
          <w:sz w:val="21"/>
          <w:szCs w:val="21"/>
          <w:lang w:val="fr-FR" w:bidi="fr-FR"/>
          <w14:ligatures w14:val="none"/>
        </w:rPr>
        <w:t xml:space="preserve"> sur décision unanime des Parties d’autoriser cette adhésion. </w:t>
      </w:r>
    </w:p>
    <w:p w14:paraId="4E9993FC" w14:textId="77777777" w:rsidR="00B14209" w:rsidRPr="00B14209" w:rsidRDefault="00B14209" w:rsidP="00B14209">
      <w:pPr>
        <w:spacing w:after="120" w:line="276" w:lineRule="auto"/>
        <w:jc w:val="both"/>
        <w:rPr>
          <w:rFonts w:ascii="Verdana" w:hAnsi="Verdana"/>
          <w:b/>
          <w:iCs/>
          <w:color w:val="000000" w:themeColor="text1"/>
          <w:kern w:val="0"/>
          <w:sz w:val="21"/>
          <w:szCs w:val="21"/>
          <w:lang w:val="fr-FR"/>
          <w14:ligatures w14:val="none"/>
        </w:rPr>
      </w:pPr>
    </w:p>
    <w:p w14:paraId="74CF071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Article 12</w:t>
      </w:r>
    </w:p>
    <w:p w14:paraId="454F96FB"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 xml:space="preserve">Entrée en vigueur  </w:t>
      </w:r>
    </w:p>
    <w:p w14:paraId="195FF9D2" w14:textId="77777777" w:rsidR="00B14209" w:rsidRPr="00B14209" w:rsidRDefault="00B14209" w:rsidP="00B14209">
      <w:pPr>
        <w:numPr>
          <w:ilvl w:val="0"/>
          <w:numId w:val="15"/>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présent Accord entre en vigueur à la date de sa signature par les deux tiers des États participants visés au paragraphe 1 de l’article 11.  </w:t>
      </w:r>
    </w:p>
    <w:p w14:paraId="11FFB094" w14:textId="77777777" w:rsidR="00B14209" w:rsidRPr="00B14209" w:rsidRDefault="00B14209" w:rsidP="00B14209">
      <w:pPr>
        <w:numPr>
          <w:ilvl w:val="0"/>
          <w:numId w:val="15"/>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Après l’entrée en vigueur de l’Accord, les États visés au paragraphe 2 de l’article 11 peuvent y adhérer conformément aux procédures décrites au paragraphe 2 de l’article 11 et déposent leurs instruments d’adhésion auprès du dépositaire.</w:t>
      </w:r>
    </w:p>
    <w:p w14:paraId="1925D597" w14:textId="77777777" w:rsidR="00B14209" w:rsidRPr="00B14209" w:rsidRDefault="00B14209" w:rsidP="00B14209">
      <w:pPr>
        <w:spacing w:after="120" w:line="276" w:lineRule="auto"/>
        <w:ind w:left="360"/>
        <w:jc w:val="both"/>
        <w:rPr>
          <w:rFonts w:ascii="Verdana" w:hAnsi="Verdana"/>
          <w:iCs/>
          <w:color w:val="000000" w:themeColor="text1"/>
          <w:kern w:val="0"/>
          <w:sz w:val="21"/>
          <w:szCs w:val="21"/>
          <w:lang w:val="fr-FR"/>
          <w14:ligatures w14:val="none"/>
        </w:rPr>
      </w:pPr>
    </w:p>
    <w:p w14:paraId="5B7FC1B1"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13</w:t>
      </w:r>
    </w:p>
    <w:p w14:paraId="4F369A36"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Retrait</w:t>
      </w:r>
    </w:p>
    <w:p w14:paraId="7CC6ED91"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Toute Partie peut se retirer du présent Accord en notifiant par écrit son intention de se retirer au dépositaire au moins 90 jours avant la date de retrait proposée. </w:t>
      </w:r>
    </w:p>
    <w:p w14:paraId="7694DFB7"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Article 14</w:t>
      </w:r>
    </w:p>
    <w:p w14:paraId="48575C0D"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Modification</w:t>
      </w:r>
    </w:p>
    <w:p w14:paraId="5A734034" w14:textId="77777777" w:rsidR="00B14209" w:rsidRPr="00B14209" w:rsidRDefault="00B14209" w:rsidP="00B14209">
      <w:pPr>
        <w:numPr>
          <w:ilvl w:val="0"/>
          <w:numId w:val="1"/>
        </w:numPr>
        <w:spacing w:before="240" w:after="120" w:line="276" w:lineRule="auto"/>
        <w:ind w:left="426" w:hanging="426"/>
        <w:jc w:val="both"/>
        <w:rPr>
          <w:rFonts w:ascii="Verdana" w:hAnsi="Verdana"/>
          <w:iCs/>
          <w:color w:val="000000" w:themeColor="text1"/>
          <w:kern w:val="0"/>
          <w:sz w:val="21"/>
          <w:szCs w:val="21"/>
          <w:lang w:val="fr-FR"/>
          <w14:ligatures w14:val="none"/>
        </w:rPr>
      </w:pPr>
      <w:bookmarkStart w:id="3" w:name="_Hlk132924211"/>
      <w:r w:rsidRPr="00B14209">
        <w:rPr>
          <w:rFonts w:ascii="Verdana" w:hAnsi="Verdana"/>
          <w:iCs/>
          <w:color w:val="000000" w:themeColor="text1"/>
          <w:kern w:val="0"/>
          <w:sz w:val="21"/>
          <w:szCs w:val="21"/>
          <w:lang w:val="fr-FR" w:bidi="fr-FR"/>
          <w14:ligatures w14:val="none"/>
        </w:rPr>
        <w:t>Toute Partie peut, à tout moment après l’entrée en vigueur du présent Accord, proposer des modifications au présent Accord et à ses annexes en communiquant le texte de sa proposition au dépositaire, lequel le transmet sans délai à toutes les Parties.</w:t>
      </w:r>
    </w:p>
    <w:p w14:paraId="1272F0CC" w14:textId="77777777" w:rsidR="00B14209" w:rsidRPr="00B14209" w:rsidRDefault="00B14209" w:rsidP="00B14209">
      <w:pPr>
        <w:numPr>
          <w:ilvl w:val="0"/>
          <w:numId w:val="1"/>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modifications sont proposées au moins trois mois avant une réunion du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et adoptées lors de cette réunion par consensus des Parties représentées.</w:t>
      </w:r>
    </w:p>
    <w:p w14:paraId="5E8C76C8" w14:textId="6FC66A5B" w:rsidR="00B14209" w:rsidRPr="00B14209" w:rsidRDefault="00B14209" w:rsidP="00B14209">
      <w:pPr>
        <w:numPr>
          <w:ilvl w:val="0"/>
          <w:numId w:val="1"/>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 xml:space="preserve">Toute modification entre en vigueur trente jours suivant son approbation par </w:t>
      </w:r>
      <w:r w:rsidR="002423E1">
        <w:rPr>
          <w:rFonts w:ascii="Verdana" w:hAnsi="Verdana"/>
          <w:iCs/>
          <w:color w:val="000000" w:themeColor="text1"/>
          <w:kern w:val="0"/>
          <w:sz w:val="21"/>
          <w:szCs w:val="21"/>
          <w:lang w:val="fr-FR" w:bidi="fr-FR"/>
          <w14:ligatures w14:val="none"/>
        </w:rPr>
        <w:t>Comité de pilotage</w:t>
      </w:r>
      <w:r w:rsidRPr="00B14209">
        <w:rPr>
          <w:rFonts w:ascii="Verdana" w:hAnsi="Verdana"/>
          <w:iCs/>
          <w:color w:val="000000" w:themeColor="text1"/>
          <w:kern w:val="0"/>
          <w:sz w:val="21"/>
          <w:szCs w:val="21"/>
          <w:lang w:val="fr-FR" w:bidi="fr-FR"/>
          <w14:ligatures w14:val="none"/>
        </w:rPr>
        <w:t xml:space="preserve">/le Comité de pilotage lors de la réunion visée au paragraphe 2 du présent article et la réception par le dépositaire des instruments d’acceptation ou d’approbation des deux tiers des Parties. </w:t>
      </w:r>
    </w:p>
    <w:p w14:paraId="4DB5CB18" w14:textId="6BB3C33F" w:rsidR="00B14209" w:rsidRPr="00B14209" w:rsidRDefault="00B14209" w:rsidP="00B14209">
      <w:pPr>
        <w:numPr>
          <w:ilvl w:val="0"/>
          <w:numId w:val="1"/>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autorités déléguées peuvent, d’un commun accord, en particulier lors d’une réunion du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fixer d’autres procédures de modification du présent Accord pour approbation par le Comité de pilotage.</w:t>
      </w:r>
    </w:p>
    <w:p w14:paraId="523D3BE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bookmarkEnd w:id="3"/>
    <w:p w14:paraId="122FBAC7"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15</w:t>
      </w:r>
    </w:p>
    <w:p w14:paraId="4C1D1E10"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Relation avec d’autres accords et zones relevant </w:t>
      </w:r>
      <w:r w:rsidRPr="00B14209">
        <w:rPr>
          <w:rFonts w:ascii="Verdana" w:hAnsi="Verdana"/>
          <w:b/>
          <w:iCs/>
          <w:color w:val="00928F"/>
          <w:kern w:val="0"/>
          <w:sz w:val="28"/>
          <w:szCs w:val="28"/>
          <w:lang w:val="fr-FR" w:bidi="fr-FR"/>
          <w14:ligatures w14:val="none"/>
        </w:rPr>
        <w:br/>
        <w:t>de la juridiction nationale</w:t>
      </w:r>
    </w:p>
    <w:p w14:paraId="14172761" w14:textId="77777777" w:rsidR="00B14209" w:rsidRPr="00B14209" w:rsidRDefault="00B14209" w:rsidP="00B14209">
      <w:pPr>
        <w:numPr>
          <w:ilvl w:val="0"/>
          <w:numId w:val="11"/>
        </w:numPr>
        <w:spacing w:before="240" w:after="120" w:line="276" w:lineRule="auto"/>
        <w:ind w:left="426" w:hanging="426"/>
        <w:jc w:val="both"/>
        <w:rPr>
          <w:rFonts w:ascii="Verdana" w:hAnsi="Verdana"/>
          <w:iCs/>
          <w:color w:val="000000" w:themeColor="text1"/>
          <w:spacing w:val="-6"/>
          <w:kern w:val="0"/>
          <w:sz w:val="21"/>
          <w:szCs w:val="21"/>
          <w:lang w:val="fr-FR"/>
          <w14:ligatures w14:val="none"/>
        </w:rPr>
      </w:pPr>
      <w:r w:rsidRPr="00B14209">
        <w:rPr>
          <w:rFonts w:ascii="Verdana" w:hAnsi="Verdana"/>
          <w:iCs/>
          <w:color w:val="000000" w:themeColor="text1"/>
          <w:spacing w:val="-6"/>
          <w:kern w:val="0"/>
          <w:sz w:val="21"/>
          <w:szCs w:val="21"/>
          <w:lang w:val="fr-FR" w:bidi="fr-FR"/>
          <w14:ligatures w14:val="none"/>
        </w:rPr>
        <w:t>Le présent Accord n’a aucune incidence sur les droits et obligations des Parties qui découlent d’autres accords compatibles avec le présent Accord et qui ne portent pas atteinte à l’exercice par les autres Parties de leurs droits ou à l’exécution de leurs obligations au titre du présent Accord.</w:t>
      </w:r>
    </w:p>
    <w:p w14:paraId="574E665D" w14:textId="77777777" w:rsidR="00B14209" w:rsidRPr="00B14209" w:rsidRDefault="00B14209" w:rsidP="00B14209">
      <w:pPr>
        <w:numPr>
          <w:ilvl w:val="0"/>
          <w:numId w:val="11"/>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présent Accord n’affecte en rien les droits, les revendications ou les points de vue d’une Partie en ce qui concerne les zones relevant de sa juridiction nationale.</w:t>
      </w:r>
    </w:p>
    <w:p w14:paraId="75B9EB7A" w14:textId="77777777" w:rsidR="00B14209" w:rsidRPr="00B14209" w:rsidRDefault="00B14209" w:rsidP="00B14209">
      <w:pPr>
        <w:spacing w:after="120" w:line="276" w:lineRule="auto"/>
        <w:ind w:left="720"/>
        <w:jc w:val="both"/>
        <w:rPr>
          <w:rFonts w:ascii="Verdana" w:hAnsi="Verdana"/>
          <w:iCs/>
          <w:color w:val="000000" w:themeColor="text1"/>
          <w:kern w:val="0"/>
          <w:sz w:val="21"/>
          <w:szCs w:val="21"/>
          <w:lang w:val="fr-FR"/>
          <w14:ligatures w14:val="none"/>
        </w:rPr>
      </w:pPr>
    </w:p>
    <w:p w14:paraId="788BA486"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Article 16</w:t>
      </w:r>
    </w:p>
    <w:p w14:paraId="2033969A"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Règlement des différends</w:t>
      </w:r>
    </w:p>
    <w:p w14:paraId="76255767" w14:textId="77777777" w:rsidR="00B14209" w:rsidRPr="00B14209" w:rsidRDefault="00B14209" w:rsidP="00B14209">
      <w:pPr>
        <w:numPr>
          <w:ilvl w:val="0"/>
          <w:numId w:val="13"/>
        </w:numPr>
        <w:spacing w:after="120" w:line="276" w:lineRule="auto"/>
        <w:ind w:left="426" w:hanging="426"/>
        <w:jc w:val="both"/>
        <w:rPr>
          <w:rFonts w:ascii="Verdana" w:hAnsi="Verdana"/>
          <w:iCs/>
          <w:color w:val="000000" w:themeColor="text1"/>
          <w:spacing w:val="-4"/>
          <w:kern w:val="0"/>
          <w:sz w:val="21"/>
          <w:szCs w:val="21"/>
          <w:lang w:val="fr-FR"/>
          <w14:ligatures w14:val="none"/>
        </w:rPr>
      </w:pPr>
      <w:r w:rsidRPr="00B14209">
        <w:rPr>
          <w:rFonts w:ascii="Verdana" w:hAnsi="Verdana"/>
          <w:iCs/>
          <w:color w:val="000000" w:themeColor="text1"/>
          <w:spacing w:val="-4"/>
          <w:kern w:val="0"/>
          <w:sz w:val="21"/>
          <w:szCs w:val="21"/>
          <w:lang w:val="fr-FR" w:bidi="fr-FR"/>
          <w14:ligatures w14:val="none"/>
        </w:rPr>
        <w:t xml:space="preserve">En cas de doutes ou de différends entre deux ou plusieurs Parties découlant de l’interprétation ou de la mise en œuvre du présent Accord ou de ses annexes, les Parties se consultent afin de régler le différend par la voie de négociations ou par tout autre moyen pacifique de leur choix. </w:t>
      </w:r>
    </w:p>
    <w:p w14:paraId="1196F2DF" w14:textId="5717D046" w:rsidR="00B14209" w:rsidRPr="00B14209" w:rsidRDefault="00B14209" w:rsidP="00B14209">
      <w:pPr>
        <w:numPr>
          <w:ilvl w:val="0"/>
          <w:numId w:val="13"/>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Si un doute ou un différend visé au paragraphe 1 n’est pas réglé dans un délai de quatre-vingt-dix jours, les Parties le soumettent </w:t>
      </w:r>
      <w:proofErr w:type="spellStart"/>
      <w:r w:rsidRPr="00B14209">
        <w:rPr>
          <w:rFonts w:ascii="Verdana" w:hAnsi="Verdana"/>
          <w:iCs/>
          <w:color w:val="000000" w:themeColor="text1"/>
          <w:kern w:val="0"/>
          <w:sz w:val="21"/>
          <w:szCs w:val="21"/>
          <w:lang w:val="fr-FR" w:bidi="fr-FR"/>
          <w14:ligatures w14:val="none"/>
        </w:rPr>
        <w:t>à</w:t>
      </w:r>
      <w:r w:rsidR="002423E1">
        <w:rPr>
          <w:rFonts w:ascii="Verdana" w:hAnsi="Verdana"/>
          <w:iCs/>
          <w:color w:val="000000" w:themeColor="text1"/>
          <w:kern w:val="0"/>
          <w:sz w:val="21"/>
          <w:szCs w:val="21"/>
          <w:lang w:val="fr-FR" w:bidi="fr-FR"/>
          <w14:ligatures w14:val="none"/>
        </w:rPr>
        <w:t>u</w:t>
      </w:r>
      <w:proofErr w:type="spellEnd"/>
      <w:r w:rsidRPr="00B14209">
        <w:rPr>
          <w:rFonts w:ascii="Verdana" w:hAnsi="Verdana"/>
          <w:iCs/>
          <w:color w:val="000000" w:themeColor="text1"/>
          <w:kern w:val="0"/>
          <w:sz w:val="21"/>
          <w:szCs w:val="21"/>
          <w:lang w:val="fr-FR" w:bidi="fr-FR"/>
          <w14:ligatures w14:val="none"/>
        </w:rPr>
        <w:t xml:space="preserve"> </w:t>
      </w:r>
      <w:r w:rsidR="002423E1">
        <w:rPr>
          <w:rFonts w:ascii="Verdana" w:hAnsi="Verdana"/>
          <w:iCs/>
          <w:color w:val="000000" w:themeColor="text1"/>
          <w:kern w:val="0"/>
          <w:sz w:val="21"/>
          <w:szCs w:val="21"/>
          <w:lang w:val="fr-FR" w:bidi="fr-FR"/>
          <w14:ligatures w14:val="none"/>
        </w:rPr>
        <w:t>Comité de pilotage</w:t>
      </w:r>
      <w:r w:rsidRPr="00B14209">
        <w:rPr>
          <w:rFonts w:ascii="Verdana" w:hAnsi="Verdana"/>
          <w:iCs/>
          <w:color w:val="000000" w:themeColor="text1"/>
          <w:kern w:val="0"/>
          <w:sz w:val="21"/>
          <w:szCs w:val="21"/>
          <w:lang w:val="fr-FR" w:bidi="fr-FR"/>
          <w14:ligatures w14:val="none"/>
        </w:rPr>
        <w:t>, qui, après enquête et consultation impartiale de chaque Partie au différend, facilite le règlement par des moyens tels que la fourniture de conseils appropriés ou la formulation de recommandations sur un processus, des modalités et des conditions de règlement du différend.</w:t>
      </w:r>
    </w:p>
    <w:p w14:paraId="66F01094" w14:textId="5455658D" w:rsidR="00B14209" w:rsidRPr="00B14209" w:rsidRDefault="00B14209" w:rsidP="00B14209">
      <w:pPr>
        <w:numPr>
          <w:ilvl w:val="0"/>
          <w:numId w:val="13"/>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au différend mettent en œuvre de bonne foi la recommandation d</w:t>
      </w:r>
      <w:r w:rsidR="002423E1">
        <w:rPr>
          <w:rFonts w:ascii="Verdana" w:hAnsi="Verdana"/>
          <w:iCs/>
          <w:color w:val="000000" w:themeColor="text1"/>
          <w:kern w:val="0"/>
          <w:sz w:val="21"/>
          <w:szCs w:val="21"/>
          <w:lang w:val="fr-FR" w:bidi="fr-FR"/>
          <w14:ligatures w14:val="none"/>
        </w:rPr>
        <w:t>u</w:t>
      </w:r>
      <w:r w:rsidRPr="00B14209">
        <w:rPr>
          <w:rFonts w:ascii="Verdana" w:hAnsi="Verdana"/>
          <w:iCs/>
          <w:color w:val="000000" w:themeColor="text1"/>
          <w:kern w:val="0"/>
          <w:sz w:val="21"/>
          <w:szCs w:val="21"/>
          <w:lang w:val="fr-FR" w:bidi="fr-FR"/>
          <w14:ligatures w14:val="none"/>
        </w:rPr>
        <w:t xml:space="preserve"> </w:t>
      </w:r>
      <w:r w:rsidR="002423E1">
        <w:rPr>
          <w:rFonts w:ascii="Verdana" w:hAnsi="Verdana"/>
          <w:iCs/>
          <w:color w:val="000000" w:themeColor="text1"/>
          <w:kern w:val="0"/>
          <w:sz w:val="21"/>
          <w:szCs w:val="21"/>
          <w:lang w:val="fr-FR" w:bidi="fr-FR"/>
          <w14:ligatures w14:val="none"/>
        </w:rPr>
        <w:t>Comité de pilotage</w:t>
      </w:r>
      <w:r w:rsidRPr="00B14209">
        <w:rPr>
          <w:rFonts w:ascii="Verdana" w:hAnsi="Verdana"/>
          <w:iCs/>
          <w:color w:val="000000" w:themeColor="text1"/>
          <w:kern w:val="0"/>
          <w:sz w:val="21"/>
          <w:szCs w:val="21"/>
          <w:lang w:val="fr-FR" w:bidi="fr-FR"/>
          <w14:ligatures w14:val="none"/>
        </w:rPr>
        <w:t>.</w:t>
      </w:r>
    </w:p>
    <w:p w14:paraId="22B8E71E" w14:textId="77777777" w:rsidR="00B14209" w:rsidRPr="00B14209" w:rsidRDefault="00B14209" w:rsidP="00B14209">
      <w:pPr>
        <w:spacing w:after="120" w:line="276" w:lineRule="auto"/>
        <w:ind w:left="426"/>
        <w:jc w:val="both"/>
        <w:rPr>
          <w:rFonts w:ascii="Verdana" w:hAnsi="Verdana"/>
          <w:iCs/>
          <w:color w:val="000000" w:themeColor="text1"/>
          <w:kern w:val="0"/>
          <w:sz w:val="21"/>
          <w:szCs w:val="21"/>
          <w:lang w:val="fr-FR"/>
          <w14:ligatures w14:val="none"/>
        </w:rPr>
      </w:pPr>
    </w:p>
    <w:p w14:paraId="2A872C3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Kenya : utiliser le règlement des différends dans le document de suivi, de contrôle et de surveillance, afin de protéger les données.</w:t>
      </w:r>
    </w:p>
    <w:p w14:paraId="1EB7E3F1"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Article 17</w:t>
      </w:r>
    </w:p>
    <w:p w14:paraId="0FB0639A"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Validité</w:t>
      </w:r>
    </w:p>
    <w:p w14:paraId="7CE9D69F" w14:textId="77777777" w:rsidR="00B14209" w:rsidRPr="00B14209" w:rsidRDefault="00B14209" w:rsidP="00B14209">
      <w:pPr>
        <w:numPr>
          <w:ilvl w:val="0"/>
          <w:numId w:val="12"/>
        </w:numPr>
        <w:spacing w:after="120" w:line="276" w:lineRule="auto"/>
        <w:jc w:val="both"/>
        <w:rPr>
          <w:rFonts w:ascii="Verdana" w:hAnsi="Verdana"/>
          <w:iCs/>
          <w:color w:val="000000" w:themeColor="text1"/>
          <w:spacing w:val="-4"/>
          <w:kern w:val="0"/>
          <w:sz w:val="21"/>
          <w:szCs w:val="21"/>
          <w:lang w:val="fr-FR"/>
          <w14:ligatures w14:val="none"/>
        </w:rPr>
      </w:pPr>
      <w:r w:rsidRPr="00B14209">
        <w:rPr>
          <w:rFonts w:ascii="Verdana" w:hAnsi="Verdana"/>
          <w:iCs/>
          <w:color w:val="000000" w:themeColor="text1"/>
          <w:spacing w:val="-4"/>
          <w:kern w:val="0"/>
          <w:sz w:val="21"/>
          <w:szCs w:val="21"/>
          <w:lang w:val="fr-FR" w:bidi="fr-FR"/>
          <w14:ligatures w14:val="none"/>
        </w:rPr>
        <w:t xml:space="preserve">L’Accord est conclu pour une période de cinq ans, puis reconduit tacitement pour une période supplémentaire de même durée à moins que l’une des Parties ne s’y oppose par écrit.  </w:t>
      </w:r>
    </w:p>
    <w:p w14:paraId="31DB7D23" w14:textId="77777777" w:rsidR="00B14209" w:rsidRPr="00B14209" w:rsidRDefault="00B14209" w:rsidP="00B14209">
      <w:pPr>
        <w:numPr>
          <w:ilvl w:val="0"/>
          <w:numId w:val="12"/>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 xml:space="preserve">Si une Partie s’oppose à la reconduction, les Parties révisent le présent Accord, </w:t>
      </w:r>
      <w:bookmarkStart w:id="4" w:name="_Hlk101872899"/>
      <w:r w:rsidRPr="00B14209">
        <w:rPr>
          <w:rFonts w:ascii="Verdana" w:hAnsi="Verdana"/>
          <w:iCs/>
          <w:color w:val="000000" w:themeColor="text1"/>
          <w:kern w:val="0"/>
          <w:sz w:val="21"/>
          <w:szCs w:val="21"/>
          <w:lang w:val="fr-FR" w:bidi="fr-FR"/>
          <w14:ligatures w14:val="none"/>
        </w:rPr>
        <w:t>qui</w:t>
      </w:r>
      <w:bookmarkEnd w:id="4"/>
      <w:r w:rsidRPr="00B14209">
        <w:rPr>
          <w:rFonts w:ascii="Verdana" w:hAnsi="Verdana"/>
          <w:iCs/>
          <w:color w:val="000000" w:themeColor="text1"/>
          <w:kern w:val="0"/>
          <w:sz w:val="21"/>
          <w:szCs w:val="21"/>
          <w:lang w:val="fr-FR" w:bidi="fr-FR"/>
          <w14:ligatures w14:val="none"/>
        </w:rPr>
        <w:t xml:space="preserve"> reste valable pour les Parties qui ne s’y opposent pas jusqu’à l’adoption d’un nouvel Accord.   </w:t>
      </w:r>
    </w:p>
    <w:p w14:paraId="4C5C666E" w14:textId="77777777" w:rsidR="00B14209" w:rsidRPr="00B14209" w:rsidRDefault="00B14209" w:rsidP="00B14209">
      <w:pPr>
        <w:numPr>
          <w:ilvl w:val="0"/>
          <w:numId w:val="12"/>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En cas d’objection à la reconduction, la zone de coopération est modifiée de manière à refléter la suppression de la zone de la Partie faisant objection et les informations provenant des navires battant pavillon de cette Partie dans des zones situées au-delà de la juridiction nationale de celle-ci ne sont plus prises en considération. </w:t>
      </w:r>
    </w:p>
    <w:p w14:paraId="0FD26514" w14:textId="77777777" w:rsidR="00B14209" w:rsidRPr="00B14209" w:rsidRDefault="00B14209" w:rsidP="00B14209">
      <w:pPr>
        <w:tabs>
          <w:tab w:val="left" w:pos="142"/>
          <w:tab w:val="left" w:pos="284"/>
        </w:tabs>
        <w:spacing w:after="120" w:line="276" w:lineRule="auto"/>
        <w:ind w:left="993"/>
        <w:jc w:val="both"/>
        <w:rPr>
          <w:rFonts w:ascii="Verdana" w:hAnsi="Verdana"/>
          <w:b/>
          <w:iCs/>
          <w:color w:val="000000" w:themeColor="text1"/>
          <w:kern w:val="0"/>
          <w:sz w:val="21"/>
          <w:szCs w:val="21"/>
          <w:lang w:val="fr-FR"/>
          <w14:ligatures w14:val="none"/>
        </w:rPr>
      </w:pPr>
    </w:p>
    <w:p w14:paraId="157C5EF3"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18</w:t>
      </w:r>
    </w:p>
    <w:p w14:paraId="5F5349F8"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Clause de non-responsabilité</w:t>
      </w:r>
    </w:p>
    <w:p w14:paraId="1949AA0E" w14:textId="77777777" w:rsidR="00B14209" w:rsidRPr="00B14209" w:rsidRDefault="00B14209" w:rsidP="00B14209">
      <w:pPr>
        <w:spacing w:after="120" w:line="276" w:lineRule="auto"/>
        <w:jc w:val="both"/>
        <w:rPr>
          <w:rFonts w:ascii="Verdana" w:hAnsi="Verdana"/>
          <w:iCs/>
          <w:color w:val="000000" w:themeColor="text1"/>
          <w:spacing w:val="-6"/>
          <w:kern w:val="0"/>
          <w:sz w:val="21"/>
          <w:szCs w:val="21"/>
          <w:lang w:val="fr-FR"/>
          <w14:ligatures w14:val="none"/>
        </w:rPr>
      </w:pPr>
      <w:r w:rsidRPr="00B14209">
        <w:rPr>
          <w:rFonts w:ascii="Verdana" w:hAnsi="Verdana"/>
          <w:iCs/>
          <w:color w:val="000000" w:themeColor="text1"/>
          <w:spacing w:val="-6"/>
          <w:kern w:val="0"/>
          <w:sz w:val="21"/>
          <w:szCs w:val="21"/>
          <w:lang w:val="fr-FR" w:bidi="fr-FR"/>
          <w14:ligatures w14:val="none"/>
        </w:rPr>
        <w:t>Les Parties reconnaissent qu’elles sont tenues de respecter la résolution 22/04 de la CTOI s</w:t>
      </w:r>
      <w:r w:rsidRPr="00B14209">
        <w:rPr>
          <w:rFonts w:ascii="Verdana" w:hAnsi="Verdana"/>
          <w:i/>
          <w:iCs/>
          <w:color w:val="000000" w:themeColor="text1"/>
          <w:spacing w:val="-6"/>
          <w:kern w:val="0"/>
          <w:sz w:val="21"/>
          <w:szCs w:val="21"/>
          <w:lang w:val="fr-FR" w:bidi="fr-FR"/>
          <w14:ligatures w14:val="none"/>
        </w:rPr>
        <w:t>ur un Mécanisme régional d’observateurs</w:t>
      </w:r>
      <w:r w:rsidRPr="00B14209">
        <w:rPr>
          <w:rFonts w:ascii="Verdana" w:hAnsi="Verdana"/>
          <w:iCs/>
          <w:color w:val="000000" w:themeColor="text1"/>
          <w:spacing w:val="-6"/>
          <w:kern w:val="0"/>
          <w:sz w:val="21"/>
          <w:szCs w:val="21"/>
          <w:lang w:val="fr-FR" w:bidi="fr-FR"/>
          <w14:ligatures w14:val="none"/>
        </w:rPr>
        <w:t xml:space="preserve"> lorsqu’elles participent à la certification et à la coordination des observateurs des Parties et à l’échange des données des observateurs dans le cadre du présent Accord. </w:t>
      </w:r>
    </w:p>
    <w:p w14:paraId="3A0D915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358D5733"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19</w:t>
      </w:r>
    </w:p>
    <w:p w14:paraId="0A5719E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Dépositaire</w:t>
      </w:r>
    </w:p>
    <w:p w14:paraId="4A891BEA"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La Commission de l’océan Indien est le dépositaire du présent Accord.</w:t>
      </w:r>
    </w:p>
    <w:p w14:paraId="0900C2EB"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7D425BDA"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20</w:t>
      </w:r>
    </w:p>
    <w:p w14:paraId="75CABA0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Textes authentiques</w:t>
      </w:r>
    </w:p>
    <w:p w14:paraId="7D4F4D85"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textes anglais, français et portugais du présent Accord font également foi. </w:t>
      </w:r>
    </w:p>
    <w:p w14:paraId="665DE352"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3AE6B24E"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3F533B4B"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771687BB"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366208D2"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69F92BBD"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EN FOI DE QUOI, les Ministres soussignés, dûment autorisés à cet effet, ont signé le présent Accord.</w:t>
      </w:r>
    </w:p>
    <w:p w14:paraId="170FEE7E"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593D22C7"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196BFF51"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5F2E83CA"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1682D38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OUVERT À LA SIGNATURE à xxx, le xxx </w:t>
      </w:r>
      <w:proofErr w:type="spellStart"/>
      <w:r w:rsidRPr="00B14209">
        <w:rPr>
          <w:rFonts w:ascii="Verdana" w:hAnsi="Verdana"/>
          <w:iCs/>
          <w:color w:val="000000" w:themeColor="text1"/>
          <w:kern w:val="0"/>
          <w:sz w:val="21"/>
          <w:szCs w:val="21"/>
          <w:lang w:val="fr-FR" w:bidi="fr-FR"/>
          <w14:ligatures w14:val="none"/>
        </w:rPr>
        <w:t>xxx</w:t>
      </w:r>
      <w:proofErr w:type="spellEnd"/>
      <w:r w:rsidRPr="00B14209">
        <w:rPr>
          <w:rFonts w:ascii="Verdana" w:hAnsi="Verdana"/>
          <w:iCs/>
          <w:color w:val="000000" w:themeColor="text1"/>
          <w:kern w:val="0"/>
          <w:sz w:val="21"/>
          <w:szCs w:val="21"/>
          <w:lang w:val="fr-FR" w:bidi="fr-FR"/>
          <w14:ligatures w14:val="none"/>
        </w:rPr>
        <w:t xml:space="preserve"> 2023, en un seul exemplaire, en langues française et anglaise.</w:t>
      </w:r>
    </w:p>
    <w:p w14:paraId="33F967D0"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EN FOI DE QUOI, LES SOUSSIGNÉS, DIRECTEMENT AUTORISÉS PAR LEURS GOUVERNEMENTS RESPECTIFS, ONT SIGNÉ LE PRÉSENT ACCORD.</w:t>
      </w:r>
    </w:p>
    <w:p w14:paraId="02106FE2"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FAIT en trois exemplaires en langues française, anglaise et portugaise, tous les textes faisant également foi.</w:t>
      </w:r>
    </w:p>
    <w:p w14:paraId="4BA0D1FF" w14:textId="77777777" w:rsidR="00B14209" w:rsidRPr="00B14209" w:rsidRDefault="00B14209" w:rsidP="00B14209">
      <w:pPr>
        <w:spacing w:after="120" w:line="276" w:lineRule="auto"/>
        <w:jc w:val="both"/>
        <w:rPr>
          <w:rFonts w:ascii="Verdana" w:hAnsi="Verdana"/>
          <w:b/>
          <w:iCs/>
          <w:color w:val="000000" w:themeColor="text1"/>
          <w:kern w:val="0"/>
          <w:sz w:val="21"/>
          <w:szCs w:val="21"/>
          <w14:ligatures w14:val="none"/>
        </w:rPr>
      </w:pPr>
      <w:r w:rsidRPr="00B14209">
        <w:rPr>
          <w:rFonts w:ascii="Verdana" w:hAnsi="Verdana"/>
          <w:b/>
          <w:iCs/>
          <w:color w:val="000000" w:themeColor="text1"/>
          <w:kern w:val="0"/>
          <w:sz w:val="21"/>
          <w:szCs w:val="21"/>
          <w:lang w:val="fr-FR" w:bidi="fr-FR"/>
          <w14:ligatures w14:val="none"/>
        </w:rPr>
        <w:t xml:space="preserve">Date : </w:t>
      </w:r>
    </w:p>
    <w:p w14:paraId="73A4F383" w14:textId="77777777" w:rsidR="00B14209" w:rsidRPr="00B14209" w:rsidRDefault="00B14209" w:rsidP="00B14209">
      <w:pPr>
        <w:spacing w:after="120" w:line="276" w:lineRule="auto"/>
        <w:jc w:val="both"/>
        <w:rPr>
          <w:rFonts w:ascii="Verdana" w:hAnsi="Verdana"/>
          <w:iCs/>
          <w:color w:val="000000" w:themeColor="text1"/>
          <w:kern w:val="0"/>
          <w:sz w:val="21"/>
          <w:szCs w:val="21"/>
          <w14:ligatures w14:val="none"/>
        </w:rPr>
      </w:pPr>
    </w:p>
    <w:tbl>
      <w:tblPr>
        <w:tblStyle w:val="Grilledutableau"/>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6"/>
        <w:gridCol w:w="5047"/>
      </w:tblGrid>
      <w:tr w:rsidR="00B14209" w:rsidRPr="006171E7" w14:paraId="439721AC" w14:textId="77777777" w:rsidTr="00711F7B">
        <w:tc>
          <w:tcPr>
            <w:tcW w:w="5046" w:type="dxa"/>
            <w:shd w:val="clear" w:color="auto" w:fill="auto"/>
          </w:tcPr>
          <w:p w14:paraId="1A1ECB33"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Pour l’Union des Comores</w:t>
            </w:r>
          </w:p>
          <w:p w14:paraId="2A661881" w14:textId="77777777" w:rsidR="00B14209" w:rsidRPr="00B14209" w:rsidRDefault="00B14209" w:rsidP="00B14209">
            <w:pPr>
              <w:spacing w:after="120" w:line="276" w:lineRule="auto"/>
              <w:rPr>
                <w:rFonts w:ascii="Verdana" w:hAnsi="Verdana"/>
                <w:iCs/>
                <w:color w:val="000000" w:themeColor="text1"/>
                <w:sz w:val="20"/>
                <w:szCs w:val="20"/>
                <w:lang w:val="fr-FR"/>
              </w:rPr>
            </w:pPr>
          </w:p>
          <w:p w14:paraId="29C6D073" w14:textId="77777777" w:rsidR="00B14209" w:rsidRPr="00B14209" w:rsidRDefault="00B14209" w:rsidP="00B14209">
            <w:pPr>
              <w:spacing w:after="120" w:line="276" w:lineRule="auto"/>
              <w:rPr>
                <w:rFonts w:ascii="Verdana" w:hAnsi="Verdana"/>
                <w:iCs/>
                <w:color w:val="000000" w:themeColor="text1"/>
                <w:sz w:val="20"/>
                <w:szCs w:val="20"/>
                <w:lang w:val="fr-FR"/>
              </w:rPr>
            </w:pPr>
          </w:p>
          <w:p w14:paraId="4B379F79"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2FEDBAAD"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 xml:space="preserve">Le Directeur général du Centre national de contrôle et de surveillance des pêches (CNCSP) </w:t>
            </w:r>
          </w:p>
        </w:tc>
        <w:tc>
          <w:tcPr>
            <w:tcW w:w="5047" w:type="dxa"/>
            <w:shd w:val="clear" w:color="auto" w:fill="auto"/>
          </w:tcPr>
          <w:p w14:paraId="4E1F50E5"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Pour la République du Kenya</w:t>
            </w:r>
          </w:p>
          <w:p w14:paraId="226F3710" w14:textId="77777777" w:rsidR="00B14209" w:rsidRPr="00B14209" w:rsidRDefault="00B14209" w:rsidP="00B14209">
            <w:pPr>
              <w:spacing w:after="120" w:line="276" w:lineRule="auto"/>
              <w:rPr>
                <w:rFonts w:ascii="Verdana" w:hAnsi="Verdana"/>
                <w:iCs/>
                <w:color w:val="000000" w:themeColor="text1"/>
                <w:sz w:val="20"/>
                <w:szCs w:val="20"/>
                <w:lang w:val="fr-FR"/>
              </w:rPr>
            </w:pPr>
          </w:p>
          <w:p w14:paraId="1FA01A6F" w14:textId="77777777" w:rsidR="00B14209" w:rsidRPr="00B14209" w:rsidRDefault="00B14209" w:rsidP="00B14209">
            <w:pPr>
              <w:spacing w:after="120" w:line="276" w:lineRule="auto"/>
              <w:rPr>
                <w:rFonts w:ascii="Verdana" w:hAnsi="Verdana"/>
                <w:iCs/>
                <w:color w:val="000000" w:themeColor="text1"/>
                <w:sz w:val="20"/>
                <w:szCs w:val="20"/>
                <w:lang w:val="fr-FR"/>
              </w:rPr>
            </w:pPr>
          </w:p>
          <w:p w14:paraId="5C22E1F3"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41430803"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Le Directeur général du Service des pêches du Kenya (</w:t>
            </w:r>
            <w:proofErr w:type="spellStart"/>
            <w:r w:rsidRPr="00B14209">
              <w:rPr>
                <w:rFonts w:ascii="Verdana" w:hAnsi="Verdana"/>
                <w:iCs/>
                <w:color w:val="000000" w:themeColor="text1"/>
                <w:sz w:val="20"/>
                <w:szCs w:val="20"/>
                <w:lang w:val="fr-FR" w:bidi="fr-FR"/>
              </w:rPr>
              <w:t>KeFS</w:t>
            </w:r>
            <w:proofErr w:type="spellEnd"/>
            <w:r w:rsidRPr="00B14209">
              <w:rPr>
                <w:rFonts w:ascii="Verdana" w:hAnsi="Verdana"/>
                <w:iCs/>
                <w:color w:val="000000" w:themeColor="text1"/>
                <w:sz w:val="20"/>
                <w:szCs w:val="20"/>
                <w:lang w:val="fr-FR" w:bidi="fr-FR"/>
              </w:rPr>
              <w:t xml:space="preserve">) </w:t>
            </w:r>
          </w:p>
        </w:tc>
      </w:tr>
      <w:tr w:rsidR="00B14209" w:rsidRPr="006171E7" w14:paraId="3C110E23" w14:textId="77777777" w:rsidTr="00711F7B">
        <w:tc>
          <w:tcPr>
            <w:tcW w:w="5046" w:type="dxa"/>
          </w:tcPr>
          <w:p w14:paraId="17F3A15F"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la France</w:t>
            </w:r>
          </w:p>
          <w:p w14:paraId="788283D6"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4208B023"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625A113E"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34547242"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Le Directeur de la Direction de la mer sud Océan Indien (DMSOI)</w:t>
            </w:r>
          </w:p>
        </w:tc>
        <w:tc>
          <w:tcPr>
            <w:tcW w:w="5047" w:type="dxa"/>
          </w:tcPr>
          <w:p w14:paraId="26B015AF"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la République-Unie de Tanzanie</w:t>
            </w:r>
          </w:p>
          <w:p w14:paraId="4C3CADE5"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4EE8036E"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35D8799D"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4CBE5008" w14:textId="77777777" w:rsidR="00B14209" w:rsidRPr="00B14209" w:rsidRDefault="00B14209" w:rsidP="00B14209">
            <w:pPr>
              <w:spacing w:after="120" w:line="276" w:lineRule="auto"/>
              <w:rPr>
                <w:rFonts w:ascii="Verdana" w:hAnsi="Verdana"/>
                <w:bCs/>
                <w:iCs/>
                <w:color w:val="000000" w:themeColor="text1"/>
                <w:sz w:val="20"/>
                <w:szCs w:val="20"/>
                <w:lang w:val="fr-FR"/>
              </w:rPr>
            </w:pPr>
            <w:r w:rsidRPr="00B14209">
              <w:rPr>
                <w:rFonts w:ascii="Verdana" w:hAnsi="Verdana"/>
                <w:iCs/>
                <w:color w:val="000000" w:themeColor="text1"/>
                <w:sz w:val="20"/>
                <w:szCs w:val="20"/>
                <w:lang w:val="fr-FR" w:bidi="fr-FR"/>
              </w:rPr>
              <w:t>Le Directeur général de l’Autorité de la pêche en eaux profondes (DSFA)</w:t>
            </w:r>
          </w:p>
        </w:tc>
      </w:tr>
      <w:tr w:rsidR="00B14209" w:rsidRPr="006171E7" w14:paraId="3EAE8EF6" w14:textId="77777777" w:rsidTr="00711F7B">
        <w:tc>
          <w:tcPr>
            <w:tcW w:w="5046" w:type="dxa"/>
          </w:tcPr>
          <w:p w14:paraId="75581646"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Madagascar</w:t>
            </w:r>
          </w:p>
          <w:p w14:paraId="4F5B7929"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0343EBF2"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5FBF526B"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49C9B2DB"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 xml:space="preserve">Le Directeur </w:t>
            </w:r>
            <w:proofErr w:type="gramStart"/>
            <w:r w:rsidRPr="00B14209">
              <w:rPr>
                <w:rFonts w:ascii="Verdana" w:hAnsi="Verdana"/>
                <w:iCs/>
                <w:color w:val="000000" w:themeColor="text1"/>
                <w:sz w:val="20"/>
                <w:szCs w:val="20"/>
                <w:lang w:val="fr-FR" w:bidi="fr-FR"/>
              </w:rPr>
              <w:t>exécutif</w:t>
            </w:r>
            <w:proofErr w:type="gramEnd"/>
            <w:r w:rsidRPr="00B14209">
              <w:rPr>
                <w:rFonts w:ascii="Verdana" w:hAnsi="Verdana"/>
                <w:iCs/>
                <w:color w:val="000000" w:themeColor="text1"/>
                <w:sz w:val="20"/>
                <w:szCs w:val="20"/>
                <w:lang w:val="fr-FR" w:bidi="fr-FR"/>
              </w:rPr>
              <w:t xml:space="preserve"> du Centre de surveillance des pêches (CSP)</w:t>
            </w:r>
          </w:p>
        </w:tc>
        <w:tc>
          <w:tcPr>
            <w:tcW w:w="5047" w:type="dxa"/>
          </w:tcPr>
          <w:p w14:paraId="59DF6030"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le Mozambique</w:t>
            </w:r>
          </w:p>
          <w:p w14:paraId="6979E91A"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04F07838"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1840B3CB"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053E361C" w14:textId="77777777" w:rsidR="00B14209" w:rsidRPr="00B14209" w:rsidRDefault="00B14209" w:rsidP="00B14209">
            <w:pPr>
              <w:spacing w:after="120" w:line="276" w:lineRule="auto"/>
              <w:rPr>
                <w:rFonts w:ascii="Verdana" w:hAnsi="Verdana"/>
                <w:bCs/>
                <w:iCs/>
                <w:color w:val="000000" w:themeColor="text1"/>
                <w:sz w:val="20"/>
                <w:szCs w:val="20"/>
                <w:lang w:val="fr-FR"/>
              </w:rPr>
            </w:pPr>
            <w:r w:rsidRPr="00B14209">
              <w:rPr>
                <w:rFonts w:ascii="Verdana" w:hAnsi="Verdana"/>
                <w:iCs/>
                <w:color w:val="000000" w:themeColor="text1"/>
                <w:sz w:val="20"/>
                <w:szCs w:val="20"/>
                <w:lang w:val="fr-FR" w:bidi="fr-FR"/>
              </w:rPr>
              <w:t>Le Directeur général de l’Institut océanographique du Mozambique (</w:t>
            </w:r>
            <w:proofErr w:type="spellStart"/>
            <w:r w:rsidRPr="00B14209">
              <w:rPr>
                <w:rFonts w:ascii="Verdana" w:hAnsi="Verdana"/>
                <w:iCs/>
                <w:color w:val="000000" w:themeColor="text1"/>
                <w:sz w:val="20"/>
                <w:szCs w:val="20"/>
                <w:lang w:val="fr-FR" w:bidi="fr-FR"/>
              </w:rPr>
              <w:t>InOM</w:t>
            </w:r>
            <w:proofErr w:type="spellEnd"/>
            <w:r w:rsidRPr="00B14209">
              <w:rPr>
                <w:rFonts w:ascii="Verdana" w:hAnsi="Verdana"/>
                <w:iCs/>
                <w:color w:val="000000" w:themeColor="text1"/>
                <w:sz w:val="20"/>
                <w:szCs w:val="20"/>
                <w:lang w:val="fr-FR" w:bidi="fr-FR"/>
              </w:rPr>
              <w:t xml:space="preserve">) </w:t>
            </w:r>
          </w:p>
        </w:tc>
      </w:tr>
      <w:tr w:rsidR="00B14209" w:rsidRPr="00B14209" w14:paraId="0E5B8341" w14:textId="77777777" w:rsidTr="00711F7B">
        <w:tc>
          <w:tcPr>
            <w:tcW w:w="5046" w:type="dxa"/>
          </w:tcPr>
          <w:p w14:paraId="49AF5573" w14:textId="77777777" w:rsidR="00B14209" w:rsidRPr="00B14209" w:rsidRDefault="00B14209" w:rsidP="00B14209">
            <w:pPr>
              <w:spacing w:after="120" w:line="276" w:lineRule="auto"/>
              <w:rPr>
                <w:rFonts w:ascii="Verdana" w:hAnsi="Verdana"/>
                <w:b/>
                <w:iCs/>
                <w:color w:val="000000" w:themeColor="text1"/>
                <w:sz w:val="20"/>
                <w:szCs w:val="20"/>
              </w:rPr>
            </w:pPr>
            <w:r w:rsidRPr="00B14209">
              <w:rPr>
                <w:rFonts w:ascii="Verdana" w:hAnsi="Verdana"/>
                <w:b/>
                <w:iCs/>
                <w:color w:val="000000" w:themeColor="text1"/>
                <w:sz w:val="20"/>
                <w:szCs w:val="20"/>
                <w:lang w:val="fr-FR" w:bidi="fr-FR"/>
              </w:rPr>
              <w:t>Pour Maurice</w:t>
            </w:r>
          </w:p>
          <w:p w14:paraId="666DEDB3" w14:textId="77777777" w:rsidR="00B14209" w:rsidRPr="00B14209" w:rsidRDefault="00B14209" w:rsidP="00B14209">
            <w:pPr>
              <w:spacing w:after="120" w:line="276" w:lineRule="auto"/>
              <w:rPr>
                <w:rFonts w:ascii="Verdana" w:hAnsi="Verdana"/>
                <w:b/>
                <w:iCs/>
                <w:color w:val="000000" w:themeColor="text1"/>
                <w:sz w:val="20"/>
                <w:szCs w:val="20"/>
              </w:rPr>
            </w:pPr>
          </w:p>
          <w:p w14:paraId="2244CC76" w14:textId="77777777" w:rsidR="00B14209" w:rsidRPr="00B14209" w:rsidRDefault="00B14209" w:rsidP="00B14209">
            <w:pPr>
              <w:spacing w:after="120" w:line="276" w:lineRule="auto"/>
              <w:rPr>
                <w:rFonts w:ascii="Verdana" w:hAnsi="Verdana"/>
                <w:b/>
                <w:iCs/>
                <w:color w:val="000000" w:themeColor="text1"/>
                <w:sz w:val="20"/>
                <w:szCs w:val="20"/>
              </w:rPr>
            </w:pPr>
          </w:p>
          <w:p w14:paraId="44649BF1" w14:textId="77777777" w:rsidR="00B14209" w:rsidRPr="00B14209" w:rsidRDefault="00B14209" w:rsidP="00B14209">
            <w:pPr>
              <w:spacing w:after="120" w:line="276" w:lineRule="auto"/>
              <w:rPr>
                <w:rFonts w:ascii="Verdana" w:hAnsi="Verdana"/>
                <w:iCs/>
                <w:color w:val="000000" w:themeColor="text1"/>
                <w:sz w:val="20"/>
                <w:szCs w:val="20"/>
              </w:rPr>
            </w:pPr>
            <w:r w:rsidRPr="00B14209">
              <w:rPr>
                <w:rFonts w:ascii="Verdana" w:hAnsi="Verdana"/>
                <w:iCs/>
                <w:color w:val="000000" w:themeColor="text1"/>
                <w:sz w:val="20"/>
                <w:szCs w:val="20"/>
                <w:lang w:val="fr-FR" w:bidi="fr-FR"/>
              </w:rPr>
              <w:t>____________________________________</w:t>
            </w:r>
          </w:p>
          <w:p w14:paraId="62BF348E" w14:textId="77777777" w:rsidR="00B14209" w:rsidRPr="00B14209" w:rsidRDefault="00B14209" w:rsidP="00B14209">
            <w:pPr>
              <w:spacing w:after="120" w:line="300" w:lineRule="auto"/>
              <w:rPr>
                <w:rFonts w:ascii="Verdana" w:hAnsi="Verdana"/>
                <w:iCs/>
                <w:color w:val="000000" w:themeColor="text1"/>
                <w:sz w:val="20"/>
                <w:szCs w:val="20"/>
              </w:rPr>
            </w:pPr>
          </w:p>
        </w:tc>
        <w:tc>
          <w:tcPr>
            <w:tcW w:w="5047" w:type="dxa"/>
          </w:tcPr>
          <w:p w14:paraId="5C501AC7" w14:textId="77777777" w:rsidR="00B14209" w:rsidRPr="00B14209" w:rsidRDefault="00B14209" w:rsidP="00B14209">
            <w:pPr>
              <w:spacing w:after="120" w:line="276" w:lineRule="auto"/>
              <w:rPr>
                <w:rFonts w:ascii="Verdana" w:hAnsi="Verdana"/>
                <w:b/>
                <w:iCs/>
                <w:color w:val="000000" w:themeColor="text1"/>
                <w:sz w:val="20"/>
                <w:szCs w:val="20"/>
              </w:rPr>
            </w:pPr>
          </w:p>
          <w:p w14:paraId="0820336A" w14:textId="77777777" w:rsidR="00B14209" w:rsidRPr="00B14209" w:rsidRDefault="00B14209" w:rsidP="00B14209">
            <w:pPr>
              <w:spacing w:after="120" w:line="276" w:lineRule="auto"/>
              <w:rPr>
                <w:rFonts w:ascii="Verdana" w:hAnsi="Verdana"/>
                <w:b/>
                <w:iCs/>
                <w:color w:val="000000" w:themeColor="text1"/>
                <w:sz w:val="20"/>
                <w:szCs w:val="20"/>
              </w:rPr>
            </w:pPr>
          </w:p>
          <w:p w14:paraId="56612B4B" w14:textId="77777777" w:rsidR="00B14209" w:rsidRPr="00B14209" w:rsidRDefault="00B14209" w:rsidP="00B14209">
            <w:pPr>
              <w:spacing w:after="120" w:line="276" w:lineRule="auto"/>
              <w:rPr>
                <w:rFonts w:ascii="Verdana" w:hAnsi="Verdana"/>
                <w:b/>
                <w:iCs/>
                <w:color w:val="000000" w:themeColor="text1"/>
                <w:sz w:val="20"/>
                <w:szCs w:val="20"/>
              </w:rPr>
            </w:pPr>
          </w:p>
          <w:p w14:paraId="68C6C884" w14:textId="77777777" w:rsidR="00B14209" w:rsidRPr="00B14209" w:rsidRDefault="00B14209" w:rsidP="00B14209">
            <w:pPr>
              <w:spacing w:after="120" w:line="276" w:lineRule="auto"/>
              <w:rPr>
                <w:rFonts w:ascii="Verdana" w:hAnsi="Verdana"/>
                <w:iCs/>
                <w:color w:val="000000" w:themeColor="text1"/>
                <w:sz w:val="20"/>
                <w:szCs w:val="20"/>
              </w:rPr>
            </w:pPr>
            <w:r w:rsidRPr="00B14209">
              <w:rPr>
                <w:rFonts w:ascii="Verdana" w:hAnsi="Verdana"/>
                <w:iCs/>
                <w:color w:val="000000" w:themeColor="text1"/>
                <w:sz w:val="20"/>
                <w:szCs w:val="20"/>
                <w:lang w:val="fr-FR" w:bidi="fr-FR"/>
              </w:rPr>
              <w:t>____________________________________</w:t>
            </w:r>
          </w:p>
          <w:p w14:paraId="2D075BDA" w14:textId="77777777" w:rsidR="00B14209" w:rsidRPr="00B14209" w:rsidRDefault="00B14209" w:rsidP="00B14209">
            <w:pPr>
              <w:spacing w:after="120" w:line="276" w:lineRule="auto"/>
              <w:rPr>
                <w:rFonts w:ascii="Verdana" w:hAnsi="Verdana"/>
                <w:bCs/>
                <w:iCs/>
                <w:color w:val="000000" w:themeColor="text1"/>
                <w:sz w:val="20"/>
                <w:szCs w:val="20"/>
              </w:rPr>
            </w:pPr>
          </w:p>
        </w:tc>
      </w:tr>
      <w:tr w:rsidR="00B14209" w:rsidRPr="006171E7" w14:paraId="6E79E3D3" w14:textId="77777777" w:rsidTr="00711F7B">
        <w:tc>
          <w:tcPr>
            <w:tcW w:w="5046" w:type="dxa"/>
          </w:tcPr>
          <w:p w14:paraId="67C70BE9"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les Seychelles</w:t>
            </w:r>
          </w:p>
          <w:p w14:paraId="5A20C56E"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3642FA5B"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428B5664"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767E124A"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Le Directeur général de l’Autorité de pêche des Seychelles (SFA)</w:t>
            </w:r>
          </w:p>
        </w:tc>
        <w:tc>
          <w:tcPr>
            <w:tcW w:w="5047" w:type="dxa"/>
          </w:tcPr>
          <w:p w14:paraId="5D90AA86"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la Somalie</w:t>
            </w:r>
          </w:p>
          <w:p w14:paraId="11EACA72"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7765433D"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02D17479"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386DFC6E" w14:textId="77777777" w:rsidR="00B14209" w:rsidRPr="00B14209" w:rsidRDefault="00B14209" w:rsidP="00B14209">
            <w:pPr>
              <w:spacing w:after="120" w:line="276" w:lineRule="auto"/>
              <w:rPr>
                <w:rFonts w:ascii="Verdana" w:hAnsi="Verdana"/>
                <w:bCs/>
                <w:iCs/>
                <w:color w:val="000000" w:themeColor="text1"/>
                <w:sz w:val="20"/>
                <w:szCs w:val="20"/>
                <w:lang w:val="fr-FR"/>
              </w:rPr>
            </w:pPr>
            <w:r w:rsidRPr="00B14209">
              <w:rPr>
                <w:rFonts w:ascii="Verdana" w:hAnsi="Verdana"/>
                <w:iCs/>
                <w:color w:val="000000" w:themeColor="text1"/>
                <w:sz w:val="20"/>
                <w:szCs w:val="20"/>
                <w:lang w:val="fr-FR" w:bidi="fr-FR"/>
              </w:rPr>
              <w:t xml:space="preserve">Le Directeur général des pêches et des ressources marines </w:t>
            </w:r>
          </w:p>
        </w:tc>
      </w:tr>
    </w:tbl>
    <w:p w14:paraId="5525FAA8"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5" w:name="_Toc138165805"/>
      <w:r w:rsidRPr="00B14209">
        <w:rPr>
          <w:rFonts w:ascii="Verdana" w:eastAsia="Times New Roman" w:hAnsi="Verdana" w:cs="Calibri Light"/>
          <w:b/>
          <w:bCs/>
          <w:iCs/>
          <w:color w:val="004171"/>
          <w:kern w:val="0"/>
          <w:sz w:val="40"/>
          <w:szCs w:val="40"/>
          <w:lang w:val="fr-FR" w:bidi="fr-FR"/>
          <w14:ligatures w14:val="none"/>
        </w:rPr>
        <w:lastRenderedPageBreak/>
        <w:t xml:space="preserve">ANNEXE 1 – Autorités chargées de la gestion et de la coordination des programmes nationaux d’observation des pêches </w:t>
      </w:r>
      <w:r w:rsidRPr="00B14209">
        <w:rPr>
          <w:rFonts w:ascii="Verdana" w:eastAsia="Times New Roman" w:hAnsi="Verdana" w:cs="Calibri Light"/>
          <w:b/>
          <w:bCs/>
          <w:iCs/>
          <w:color w:val="004171"/>
          <w:kern w:val="0"/>
          <w:sz w:val="40"/>
          <w:szCs w:val="40"/>
          <w:lang w:val="fr-FR" w:bidi="fr-FR"/>
          <w14:ligatures w14:val="none"/>
        </w:rPr>
        <w:br/>
        <w:t>des Parties</w:t>
      </w:r>
      <w:bookmarkEnd w:id="5"/>
    </w:p>
    <w:p w14:paraId="2D0DD32D" w14:textId="77777777" w:rsidR="00B14209" w:rsidRPr="00B14209" w:rsidRDefault="00B14209" w:rsidP="00B14209">
      <w:pPr>
        <w:spacing w:after="120" w:line="276" w:lineRule="auto"/>
        <w:jc w:val="both"/>
        <w:rPr>
          <w:rFonts w:ascii="Verdana" w:hAnsi="Verdana"/>
          <w:iCs/>
          <w:color w:val="000000" w:themeColor="text1"/>
          <w:kern w:val="0"/>
          <w:sz w:val="20"/>
          <w:szCs w:val="20"/>
          <w:lang w:val="fr-FR"/>
          <w14:ligatures w14:val="none"/>
        </w:rPr>
      </w:pPr>
    </w:p>
    <w:p w14:paraId="066B3E84" w14:textId="77777777" w:rsidR="00B14209" w:rsidRPr="00B14209" w:rsidRDefault="00B14209" w:rsidP="00B14209">
      <w:pPr>
        <w:spacing w:after="24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institutions suivantes sont chargées de la gestion et de la coordination des programmes nationaux d’observation des pêches.</w:t>
      </w:r>
    </w:p>
    <w:p w14:paraId="5B4A0746"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 xml:space="preserve">Union des Comores                                                  </w:t>
      </w:r>
    </w:p>
    <w:p w14:paraId="4205E08C"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w:t>
      </w:r>
      <w:r w:rsidRPr="00B14209">
        <w:rPr>
          <w:rFonts w:ascii="Verdana" w:hAnsi="Verdana"/>
          <w:b/>
          <w:iCs/>
          <w:color w:val="000000" w:themeColor="text1"/>
          <w:kern w:val="0"/>
          <w:sz w:val="21"/>
          <w:szCs w:val="21"/>
          <w:lang w:val="fr-FR" w:bidi="fr-FR"/>
          <w14:ligatures w14:val="none"/>
        </w:rPr>
        <w:t>Centre national de contrôle et de surveillance des pêches</w:t>
      </w:r>
      <w:r w:rsidRPr="00B14209">
        <w:rPr>
          <w:rFonts w:ascii="Verdana" w:hAnsi="Verdana"/>
          <w:iCs/>
          <w:color w:val="000000" w:themeColor="text1"/>
          <w:kern w:val="0"/>
          <w:sz w:val="21"/>
          <w:szCs w:val="21"/>
          <w:lang w:val="fr-FR" w:bidi="fr-FR"/>
          <w14:ligatures w14:val="none"/>
        </w:rPr>
        <w:t xml:space="preserve">, sous la supervision du </w:t>
      </w:r>
      <w:proofErr w:type="gramStart"/>
      <w:r w:rsidRPr="00B14209">
        <w:rPr>
          <w:rFonts w:ascii="Verdana" w:hAnsi="Verdana"/>
          <w:iCs/>
          <w:color w:val="000000" w:themeColor="text1"/>
          <w:kern w:val="0"/>
          <w:sz w:val="21"/>
          <w:szCs w:val="21"/>
          <w:lang w:val="fr-FR" w:bidi="fr-FR"/>
          <w14:ligatures w14:val="none"/>
        </w:rPr>
        <w:t>Ministère de l’agriculture</w:t>
      </w:r>
      <w:proofErr w:type="gramEnd"/>
      <w:r w:rsidRPr="00B14209">
        <w:rPr>
          <w:rFonts w:ascii="Verdana" w:hAnsi="Verdana"/>
          <w:iCs/>
          <w:color w:val="000000" w:themeColor="text1"/>
          <w:kern w:val="0"/>
          <w:sz w:val="21"/>
          <w:szCs w:val="21"/>
          <w:lang w:val="fr-FR" w:bidi="fr-FR"/>
          <w14:ligatures w14:val="none"/>
        </w:rPr>
        <w:t>, des pêches, de l’environnement, du tourisme et de l’artisanat.</w:t>
      </w:r>
    </w:p>
    <w:p w14:paraId="768425B6"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France</w:t>
      </w:r>
    </w:p>
    <w:p w14:paraId="46A7A290"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La </w:t>
      </w:r>
      <w:r w:rsidRPr="00B14209">
        <w:rPr>
          <w:rFonts w:ascii="Verdana" w:hAnsi="Verdana"/>
          <w:b/>
          <w:iCs/>
          <w:color w:val="000000" w:themeColor="text1"/>
          <w:kern w:val="0"/>
          <w:sz w:val="21"/>
          <w:szCs w:val="21"/>
          <w:lang w:val="fr-FR" w:bidi="fr-FR"/>
          <w14:ligatures w14:val="none"/>
        </w:rPr>
        <w:t xml:space="preserve">Direction de la mer sud Océan Indien (DMSOI) </w:t>
      </w:r>
      <w:r w:rsidRPr="00B14209">
        <w:rPr>
          <w:rFonts w:ascii="Verdana" w:hAnsi="Verdana"/>
          <w:iCs/>
          <w:color w:val="000000" w:themeColor="text1"/>
          <w:kern w:val="0"/>
          <w:sz w:val="21"/>
          <w:szCs w:val="21"/>
          <w:lang w:val="fr-FR" w:bidi="fr-FR"/>
          <w14:ligatures w14:val="none"/>
        </w:rPr>
        <w:t xml:space="preserve">(direction générale des affaires maritimes), sous la supervision du </w:t>
      </w:r>
      <w:proofErr w:type="gramStart"/>
      <w:r w:rsidRPr="00B14209">
        <w:rPr>
          <w:rFonts w:ascii="Verdana" w:hAnsi="Verdana"/>
          <w:iCs/>
          <w:color w:val="000000" w:themeColor="text1"/>
          <w:kern w:val="0"/>
          <w:sz w:val="21"/>
          <w:szCs w:val="21"/>
          <w:lang w:val="fr-FR" w:bidi="fr-FR"/>
          <w14:ligatures w14:val="none"/>
        </w:rPr>
        <w:t>Ministère de l’agriculture</w:t>
      </w:r>
      <w:proofErr w:type="gramEnd"/>
      <w:r w:rsidRPr="00B14209">
        <w:rPr>
          <w:rFonts w:ascii="Verdana" w:hAnsi="Verdana"/>
          <w:iCs/>
          <w:color w:val="000000" w:themeColor="text1"/>
          <w:kern w:val="0"/>
          <w:sz w:val="21"/>
          <w:szCs w:val="21"/>
          <w:lang w:val="fr-FR" w:bidi="fr-FR"/>
          <w14:ligatures w14:val="none"/>
        </w:rPr>
        <w:t xml:space="preserve"> et de l’alimentation.</w:t>
      </w:r>
    </w:p>
    <w:p w14:paraId="28145A70"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Kenya</w:t>
      </w:r>
    </w:p>
    <w:p w14:paraId="2FDE3249"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w:t>
      </w:r>
      <w:r w:rsidRPr="00B14209">
        <w:rPr>
          <w:rFonts w:ascii="Verdana" w:hAnsi="Verdana"/>
          <w:b/>
          <w:iCs/>
          <w:color w:val="000000" w:themeColor="text1"/>
          <w:kern w:val="0"/>
          <w:sz w:val="21"/>
          <w:szCs w:val="21"/>
          <w:lang w:val="fr-FR" w:bidi="fr-FR"/>
          <w14:ligatures w14:val="none"/>
        </w:rPr>
        <w:t>Service des pêches du Kenya (</w:t>
      </w:r>
      <w:proofErr w:type="spellStart"/>
      <w:r w:rsidRPr="00B14209">
        <w:rPr>
          <w:rFonts w:ascii="Verdana" w:hAnsi="Verdana"/>
          <w:b/>
          <w:iCs/>
          <w:color w:val="000000" w:themeColor="text1"/>
          <w:kern w:val="0"/>
          <w:sz w:val="21"/>
          <w:szCs w:val="21"/>
          <w:lang w:val="fr-FR" w:bidi="fr-FR"/>
          <w14:ligatures w14:val="none"/>
        </w:rPr>
        <w:t>KeFS</w:t>
      </w:r>
      <w:proofErr w:type="spellEnd"/>
      <w:r w:rsidRPr="00B14209">
        <w:rPr>
          <w:rFonts w:ascii="Verdana" w:hAnsi="Verdana"/>
          <w:b/>
          <w:iCs/>
          <w:color w:val="000000" w:themeColor="text1"/>
          <w:kern w:val="0"/>
          <w:sz w:val="21"/>
          <w:szCs w:val="21"/>
          <w:lang w:val="fr-FR" w:bidi="fr-FR"/>
          <w14:ligatures w14:val="none"/>
        </w:rPr>
        <w:t>)</w:t>
      </w:r>
      <w:r w:rsidRPr="00B14209">
        <w:rPr>
          <w:rFonts w:ascii="Verdana" w:hAnsi="Verdana"/>
          <w:iCs/>
          <w:color w:val="000000" w:themeColor="text1"/>
          <w:kern w:val="0"/>
          <w:sz w:val="21"/>
          <w:szCs w:val="21"/>
          <w:lang w:val="fr-FR" w:bidi="fr-FR"/>
          <w14:ligatures w14:val="none"/>
        </w:rPr>
        <w:t xml:space="preserve">, sous la supervision du Département d’État à l’économie bleue et aux pêches du </w:t>
      </w:r>
      <w:proofErr w:type="gramStart"/>
      <w:r w:rsidRPr="00B14209">
        <w:rPr>
          <w:rFonts w:ascii="Verdana" w:hAnsi="Verdana"/>
          <w:iCs/>
          <w:color w:val="000000" w:themeColor="text1"/>
          <w:kern w:val="0"/>
          <w:sz w:val="21"/>
          <w:szCs w:val="21"/>
          <w:lang w:val="fr-FR" w:bidi="fr-FR"/>
          <w14:ligatures w14:val="none"/>
        </w:rPr>
        <w:t>Ministère des mines</w:t>
      </w:r>
      <w:proofErr w:type="gramEnd"/>
      <w:r w:rsidRPr="00B14209">
        <w:rPr>
          <w:rFonts w:ascii="Verdana" w:hAnsi="Verdana"/>
          <w:iCs/>
          <w:color w:val="000000" w:themeColor="text1"/>
          <w:kern w:val="0"/>
          <w:sz w:val="21"/>
          <w:szCs w:val="21"/>
          <w:lang w:val="fr-FR" w:bidi="fr-FR"/>
          <w14:ligatures w14:val="none"/>
        </w:rPr>
        <w:t xml:space="preserve">, de l’économie bleue et des affaires maritimes. </w:t>
      </w:r>
    </w:p>
    <w:p w14:paraId="7A3BEBD0"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Madagascar</w:t>
      </w:r>
    </w:p>
    <w:p w14:paraId="67D28DD6"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w:t>
      </w:r>
      <w:r w:rsidRPr="00B14209">
        <w:rPr>
          <w:rFonts w:ascii="Verdana" w:hAnsi="Verdana"/>
          <w:b/>
          <w:iCs/>
          <w:color w:val="000000" w:themeColor="text1"/>
          <w:kern w:val="0"/>
          <w:sz w:val="21"/>
          <w:szCs w:val="21"/>
          <w:lang w:val="fr-FR" w:bidi="fr-FR"/>
          <w14:ligatures w14:val="none"/>
        </w:rPr>
        <w:t>Centre de surveillance des pêches (CSP)</w:t>
      </w:r>
      <w:r w:rsidRPr="00B14209">
        <w:rPr>
          <w:rFonts w:ascii="Verdana" w:hAnsi="Verdana"/>
          <w:iCs/>
          <w:color w:val="000000" w:themeColor="text1"/>
          <w:kern w:val="0"/>
          <w:sz w:val="21"/>
          <w:szCs w:val="21"/>
          <w:lang w:val="fr-FR" w:bidi="fr-FR"/>
          <w14:ligatures w14:val="none"/>
        </w:rPr>
        <w:t xml:space="preserve">, sous la supervision du </w:t>
      </w:r>
      <w:proofErr w:type="gramStart"/>
      <w:r w:rsidRPr="00B14209">
        <w:rPr>
          <w:rFonts w:ascii="Verdana" w:hAnsi="Verdana"/>
          <w:iCs/>
          <w:color w:val="000000" w:themeColor="text1"/>
          <w:kern w:val="0"/>
          <w:sz w:val="21"/>
          <w:szCs w:val="21"/>
          <w:lang w:val="fr-FR" w:bidi="fr-FR"/>
          <w14:ligatures w14:val="none"/>
        </w:rPr>
        <w:t>Ministère de la pêche</w:t>
      </w:r>
      <w:proofErr w:type="gramEnd"/>
      <w:r w:rsidRPr="00B14209">
        <w:rPr>
          <w:rFonts w:ascii="Verdana" w:hAnsi="Verdana"/>
          <w:iCs/>
          <w:color w:val="000000" w:themeColor="text1"/>
          <w:kern w:val="0"/>
          <w:sz w:val="21"/>
          <w:szCs w:val="21"/>
          <w:lang w:val="fr-FR" w:bidi="fr-FR"/>
          <w14:ligatures w14:val="none"/>
        </w:rPr>
        <w:t xml:space="preserve"> et de l’économie bleue.</w:t>
      </w:r>
    </w:p>
    <w:p w14:paraId="13982D93"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Maurice</w:t>
      </w:r>
    </w:p>
    <w:p w14:paraId="50192A48"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La </w:t>
      </w:r>
      <w:r w:rsidRPr="00B14209">
        <w:rPr>
          <w:rFonts w:ascii="Verdana" w:hAnsi="Verdana"/>
          <w:b/>
          <w:iCs/>
          <w:color w:val="000000" w:themeColor="text1"/>
          <w:kern w:val="0"/>
          <w:sz w:val="21"/>
          <w:szCs w:val="21"/>
          <w:lang w:val="fr-FR" w:bidi="fr-FR"/>
          <w14:ligatures w14:val="none"/>
        </w:rPr>
        <w:t>Division des pêches (FD)</w:t>
      </w:r>
      <w:r w:rsidRPr="00B14209">
        <w:rPr>
          <w:rFonts w:ascii="Verdana" w:hAnsi="Verdana"/>
          <w:iCs/>
          <w:color w:val="000000" w:themeColor="text1"/>
          <w:kern w:val="0"/>
          <w:sz w:val="21"/>
          <w:szCs w:val="21"/>
          <w:lang w:val="fr-FR" w:bidi="fr-FR"/>
          <w14:ligatures w14:val="none"/>
        </w:rPr>
        <w:t xml:space="preserve">, sous la supervision du </w:t>
      </w:r>
      <w:proofErr w:type="gramStart"/>
      <w:r w:rsidRPr="00B14209">
        <w:rPr>
          <w:rFonts w:ascii="Verdana" w:hAnsi="Verdana"/>
          <w:iCs/>
          <w:color w:val="000000" w:themeColor="text1"/>
          <w:kern w:val="0"/>
          <w:sz w:val="21"/>
          <w:szCs w:val="21"/>
          <w:lang w:val="fr-FR" w:bidi="fr-FR"/>
          <w14:ligatures w14:val="none"/>
        </w:rPr>
        <w:t>Ministère de l’économie</w:t>
      </w:r>
      <w:proofErr w:type="gramEnd"/>
      <w:r w:rsidRPr="00B14209">
        <w:rPr>
          <w:rFonts w:ascii="Verdana" w:hAnsi="Verdana"/>
          <w:iCs/>
          <w:color w:val="000000" w:themeColor="text1"/>
          <w:kern w:val="0"/>
          <w:sz w:val="21"/>
          <w:szCs w:val="21"/>
          <w:lang w:val="fr-FR" w:bidi="fr-FR"/>
          <w14:ligatures w14:val="none"/>
        </w:rPr>
        <w:t xml:space="preserve"> bleue, des ressources marines, des pêches et de la navigation.</w:t>
      </w:r>
    </w:p>
    <w:p w14:paraId="7077E9BD"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Mozambique</w:t>
      </w:r>
    </w:p>
    <w:p w14:paraId="434EF2D8"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w:t>
      </w:r>
      <w:r w:rsidRPr="00B14209">
        <w:rPr>
          <w:rFonts w:ascii="Verdana" w:hAnsi="Verdana"/>
          <w:b/>
          <w:iCs/>
          <w:color w:val="000000" w:themeColor="text1"/>
          <w:kern w:val="0"/>
          <w:sz w:val="21"/>
          <w:szCs w:val="21"/>
          <w:lang w:val="fr-FR" w:bidi="fr-FR"/>
          <w14:ligatures w14:val="none"/>
        </w:rPr>
        <w:t>Institut océanographique du Mozambique</w:t>
      </w:r>
      <w:r w:rsidRPr="00B14209">
        <w:rPr>
          <w:rFonts w:ascii="Verdana" w:hAnsi="Verdana"/>
          <w:iCs/>
          <w:color w:val="000000" w:themeColor="text1"/>
          <w:kern w:val="0"/>
          <w:sz w:val="21"/>
          <w:szCs w:val="21"/>
          <w:lang w:val="fr-FR" w:bidi="fr-FR"/>
          <w14:ligatures w14:val="none"/>
        </w:rPr>
        <w:t xml:space="preserve"> (</w:t>
      </w:r>
      <w:proofErr w:type="spellStart"/>
      <w:r w:rsidRPr="00B14209">
        <w:rPr>
          <w:rFonts w:ascii="Verdana" w:hAnsi="Verdana"/>
          <w:iCs/>
          <w:color w:val="000000" w:themeColor="text1"/>
          <w:kern w:val="0"/>
          <w:sz w:val="21"/>
          <w:szCs w:val="21"/>
          <w:lang w:val="fr-FR" w:bidi="fr-FR"/>
          <w14:ligatures w14:val="none"/>
        </w:rPr>
        <w:t>InOM</w:t>
      </w:r>
      <w:proofErr w:type="spellEnd"/>
      <w:r w:rsidRPr="00B14209">
        <w:rPr>
          <w:rFonts w:ascii="Verdana" w:hAnsi="Verdana"/>
          <w:iCs/>
          <w:color w:val="000000" w:themeColor="text1"/>
          <w:kern w:val="0"/>
          <w:sz w:val="21"/>
          <w:szCs w:val="21"/>
          <w:lang w:val="fr-FR" w:bidi="fr-FR"/>
          <w14:ligatures w14:val="none"/>
        </w:rPr>
        <w:t xml:space="preserve">), sous la supervision du </w:t>
      </w:r>
      <w:proofErr w:type="gramStart"/>
      <w:r w:rsidRPr="00B14209">
        <w:rPr>
          <w:rFonts w:ascii="Verdana" w:hAnsi="Verdana"/>
          <w:iCs/>
          <w:color w:val="000000" w:themeColor="text1"/>
          <w:kern w:val="0"/>
          <w:sz w:val="21"/>
          <w:szCs w:val="21"/>
          <w:lang w:val="fr-FR" w:bidi="fr-FR"/>
          <w14:ligatures w14:val="none"/>
        </w:rPr>
        <w:t>Ministère de la mer</w:t>
      </w:r>
      <w:proofErr w:type="gramEnd"/>
      <w:r w:rsidRPr="00B14209">
        <w:rPr>
          <w:rFonts w:ascii="Verdana" w:hAnsi="Verdana"/>
          <w:iCs/>
          <w:color w:val="000000" w:themeColor="text1"/>
          <w:kern w:val="0"/>
          <w:sz w:val="21"/>
          <w:szCs w:val="21"/>
          <w:lang w:val="fr-FR" w:bidi="fr-FR"/>
          <w14:ligatures w14:val="none"/>
        </w:rPr>
        <w:t>, des eaux intérieures et des pêches (</w:t>
      </w:r>
      <w:proofErr w:type="spellStart"/>
      <w:r w:rsidRPr="00B14209">
        <w:rPr>
          <w:rFonts w:ascii="Verdana" w:hAnsi="Verdana"/>
          <w:iCs/>
          <w:color w:val="000000" w:themeColor="text1"/>
          <w:kern w:val="0"/>
          <w:sz w:val="21"/>
          <w:szCs w:val="21"/>
          <w:lang w:val="fr-FR" w:bidi="fr-FR"/>
          <w14:ligatures w14:val="none"/>
        </w:rPr>
        <w:t>MiMAIP</w:t>
      </w:r>
      <w:proofErr w:type="spellEnd"/>
      <w:r w:rsidRPr="00B14209">
        <w:rPr>
          <w:rFonts w:ascii="Verdana" w:hAnsi="Verdana"/>
          <w:iCs/>
          <w:color w:val="000000" w:themeColor="text1"/>
          <w:kern w:val="0"/>
          <w:sz w:val="21"/>
          <w:szCs w:val="21"/>
          <w:lang w:val="fr-FR" w:bidi="fr-FR"/>
          <w14:ligatures w14:val="none"/>
        </w:rPr>
        <w:t xml:space="preserve">) (en portugais : Instituto </w:t>
      </w:r>
      <w:proofErr w:type="spellStart"/>
      <w:r w:rsidRPr="00B14209">
        <w:rPr>
          <w:rFonts w:ascii="Verdana" w:hAnsi="Verdana"/>
          <w:iCs/>
          <w:color w:val="000000" w:themeColor="text1"/>
          <w:kern w:val="0"/>
          <w:sz w:val="21"/>
          <w:szCs w:val="21"/>
          <w:lang w:val="fr-FR" w:bidi="fr-FR"/>
          <w14:ligatures w14:val="none"/>
        </w:rPr>
        <w:t>Oceanográfico</w:t>
      </w:r>
      <w:proofErr w:type="spellEnd"/>
      <w:r w:rsidRPr="00B14209">
        <w:rPr>
          <w:rFonts w:ascii="Verdana" w:hAnsi="Verdana"/>
          <w:iCs/>
          <w:color w:val="000000" w:themeColor="text1"/>
          <w:kern w:val="0"/>
          <w:sz w:val="21"/>
          <w:szCs w:val="21"/>
          <w:lang w:val="fr-FR" w:bidi="fr-FR"/>
          <w14:ligatures w14:val="none"/>
        </w:rPr>
        <w:t xml:space="preserve"> de </w:t>
      </w:r>
      <w:proofErr w:type="spellStart"/>
      <w:r w:rsidRPr="00B14209">
        <w:rPr>
          <w:rFonts w:ascii="Verdana" w:hAnsi="Verdana"/>
          <w:iCs/>
          <w:color w:val="000000" w:themeColor="text1"/>
          <w:kern w:val="0"/>
          <w:sz w:val="21"/>
          <w:szCs w:val="21"/>
          <w:lang w:val="fr-FR" w:bidi="fr-FR"/>
          <w14:ligatures w14:val="none"/>
        </w:rPr>
        <w:t>Moçambique</w:t>
      </w:r>
      <w:proofErr w:type="spellEnd"/>
      <w:r w:rsidRPr="00B14209">
        <w:rPr>
          <w:rFonts w:ascii="Verdana" w:hAnsi="Verdana"/>
          <w:iCs/>
          <w:color w:val="000000" w:themeColor="text1"/>
          <w:kern w:val="0"/>
          <w:sz w:val="21"/>
          <w:szCs w:val="21"/>
          <w:lang w:val="fr-FR" w:bidi="fr-FR"/>
          <w14:ligatures w14:val="none"/>
        </w:rPr>
        <w:t xml:space="preserve">, </w:t>
      </w:r>
      <w:proofErr w:type="spellStart"/>
      <w:r w:rsidRPr="00B14209">
        <w:rPr>
          <w:rFonts w:ascii="Verdana" w:hAnsi="Verdana"/>
          <w:iCs/>
          <w:color w:val="000000" w:themeColor="text1"/>
          <w:kern w:val="0"/>
          <w:sz w:val="21"/>
          <w:szCs w:val="21"/>
          <w:lang w:val="fr-FR" w:bidi="fr-FR"/>
          <w14:ligatures w14:val="none"/>
        </w:rPr>
        <w:t>sob</w:t>
      </w:r>
      <w:proofErr w:type="spellEnd"/>
      <w:r w:rsidRPr="00B14209">
        <w:rPr>
          <w:rFonts w:ascii="Verdana" w:hAnsi="Verdana"/>
          <w:iCs/>
          <w:color w:val="000000" w:themeColor="text1"/>
          <w:kern w:val="0"/>
          <w:sz w:val="21"/>
          <w:szCs w:val="21"/>
          <w:lang w:val="fr-FR" w:bidi="fr-FR"/>
          <w14:ligatures w14:val="none"/>
        </w:rPr>
        <w:t xml:space="preserve"> </w:t>
      </w:r>
      <w:proofErr w:type="spellStart"/>
      <w:r w:rsidRPr="00B14209">
        <w:rPr>
          <w:rFonts w:ascii="Verdana" w:hAnsi="Verdana"/>
          <w:iCs/>
          <w:color w:val="000000" w:themeColor="text1"/>
          <w:kern w:val="0"/>
          <w:sz w:val="21"/>
          <w:szCs w:val="21"/>
          <w:lang w:val="fr-FR" w:bidi="fr-FR"/>
          <w14:ligatures w14:val="none"/>
        </w:rPr>
        <w:t>supervisão</w:t>
      </w:r>
      <w:proofErr w:type="spellEnd"/>
      <w:r w:rsidRPr="00B14209">
        <w:rPr>
          <w:rFonts w:ascii="Verdana" w:hAnsi="Verdana"/>
          <w:iCs/>
          <w:color w:val="000000" w:themeColor="text1"/>
          <w:kern w:val="0"/>
          <w:sz w:val="21"/>
          <w:szCs w:val="21"/>
          <w:lang w:val="fr-FR" w:bidi="fr-FR"/>
          <w14:ligatures w14:val="none"/>
        </w:rPr>
        <w:t xml:space="preserve"> do </w:t>
      </w:r>
      <w:proofErr w:type="spellStart"/>
      <w:r w:rsidRPr="00B14209">
        <w:rPr>
          <w:rFonts w:ascii="Verdana" w:hAnsi="Verdana"/>
          <w:iCs/>
          <w:color w:val="000000" w:themeColor="text1"/>
          <w:kern w:val="0"/>
          <w:sz w:val="21"/>
          <w:szCs w:val="21"/>
          <w:lang w:val="fr-FR" w:bidi="fr-FR"/>
          <w14:ligatures w14:val="none"/>
        </w:rPr>
        <w:t>Ministério</w:t>
      </w:r>
      <w:proofErr w:type="spellEnd"/>
      <w:r w:rsidRPr="00B14209">
        <w:rPr>
          <w:rFonts w:ascii="Verdana" w:hAnsi="Verdana"/>
          <w:iCs/>
          <w:color w:val="000000" w:themeColor="text1"/>
          <w:kern w:val="0"/>
          <w:sz w:val="21"/>
          <w:szCs w:val="21"/>
          <w:lang w:val="fr-FR" w:bidi="fr-FR"/>
          <w14:ligatures w14:val="none"/>
        </w:rPr>
        <w:t xml:space="preserve"> do Mar, </w:t>
      </w:r>
      <w:proofErr w:type="spellStart"/>
      <w:r w:rsidRPr="00B14209">
        <w:rPr>
          <w:rFonts w:ascii="Verdana" w:hAnsi="Verdana"/>
          <w:iCs/>
          <w:color w:val="000000" w:themeColor="text1"/>
          <w:kern w:val="0"/>
          <w:sz w:val="21"/>
          <w:szCs w:val="21"/>
          <w:lang w:val="fr-FR" w:bidi="fr-FR"/>
          <w14:ligatures w14:val="none"/>
        </w:rPr>
        <w:t>Aguas</w:t>
      </w:r>
      <w:proofErr w:type="spellEnd"/>
      <w:r w:rsidRPr="00B14209">
        <w:rPr>
          <w:rFonts w:ascii="Verdana" w:hAnsi="Verdana"/>
          <w:iCs/>
          <w:color w:val="000000" w:themeColor="text1"/>
          <w:kern w:val="0"/>
          <w:sz w:val="21"/>
          <w:szCs w:val="21"/>
          <w:lang w:val="fr-FR" w:bidi="fr-FR"/>
          <w14:ligatures w14:val="none"/>
        </w:rPr>
        <w:t xml:space="preserve"> </w:t>
      </w:r>
      <w:proofErr w:type="spellStart"/>
      <w:r w:rsidRPr="00B14209">
        <w:rPr>
          <w:rFonts w:ascii="Verdana" w:hAnsi="Verdana"/>
          <w:iCs/>
          <w:color w:val="000000" w:themeColor="text1"/>
          <w:kern w:val="0"/>
          <w:sz w:val="21"/>
          <w:szCs w:val="21"/>
          <w:lang w:val="fr-FR" w:bidi="fr-FR"/>
          <w14:ligatures w14:val="none"/>
        </w:rPr>
        <w:t>Interiores</w:t>
      </w:r>
      <w:proofErr w:type="spellEnd"/>
      <w:r w:rsidRPr="00B14209">
        <w:rPr>
          <w:rFonts w:ascii="Verdana" w:hAnsi="Verdana"/>
          <w:iCs/>
          <w:color w:val="000000" w:themeColor="text1"/>
          <w:kern w:val="0"/>
          <w:sz w:val="21"/>
          <w:szCs w:val="21"/>
          <w:lang w:val="fr-FR" w:bidi="fr-FR"/>
          <w14:ligatures w14:val="none"/>
        </w:rPr>
        <w:t xml:space="preserve"> e </w:t>
      </w:r>
      <w:proofErr w:type="spellStart"/>
      <w:r w:rsidRPr="00B14209">
        <w:rPr>
          <w:rFonts w:ascii="Verdana" w:hAnsi="Verdana"/>
          <w:iCs/>
          <w:color w:val="000000" w:themeColor="text1"/>
          <w:kern w:val="0"/>
          <w:sz w:val="21"/>
          <w:szCs w:val="21"/>
          <w:lang w:val="fr-FR" w:bidi="fr-FR"/>
          <w14:ligatures w14:val="none"/>
        </w:rPr>
        <w:t>Pescas</w:t>
      </w:r>
      <w:proofErr w:type="spellEnd"/>
      <w:r w:rsidRPr="00B14209">
        <w:rPr>
          <w:rFonts w:ascii="Verdana" w:hAnsi="Verdana"/>
          <w:iCs/>
          <w:color w:val="000000" w:themeColor="text1"/>
          <w:kern w:val="0"/>
          <w:sz w:val="21"/>
          <w:szCs w:val="21"/>
          <w:lang w:val="fr-FR" w:bidi="fr-FR"/>
          <w14:ligatures w14:val="none"/>
        </w:rPr>
        <w:t>).</w:t>
      </w:r>
    </w:p>
    <w:p w14:paraId="46C7139F"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République des Seychelles</w:t>
      </w:r>
    </w:p>
    <w:p w14:paraId="5E489BB8"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L’</w:t>
      </w:r>
      <w:r w:rsidRPr="00B14209">
        <w:rPr>
          <w:rFonts w:ascii="Verdana" w:hAnsi="Verdana"/>
          <w:b/>
          <w:iCs/>
          <w:color w:val="000000" w:themeColor="text1"/>
          <w:kern w:val="0"/>
          <w:sz w:val="21"/>
          <w:szCs w:val="21"/>
          <w:lang w:val="fr-FR" w:bidi="fr-FR"/>
          <w14:ligatures w14:val="none"/>
        </w:rPr>
        <w:t>Autorité de pêche des Seychelles (SFA)</w:t>
      </w:r>
      <w:r w:rsidRPr="00B14209">
        <w:rPr>
          <w:rFonts w:ascii="Verdana" w:hAnsi="Verdana"/>
          <w:iCs/>
          <w:color w:val="000000" w:themeColor="text1"/>
          <w:kern w:val="0"/>
          <w:sz w:val="21"/>
          <w:szCs w:val="21"/>
          <w:lang w:val="fr-FR" w:bidi="fr-FR"/>
          <w14:ligatures w14:val="none"/>
        </w:rPr>
        <w:t xml:space="preserve">, sous la supervision du </w:t>
      </w:r>
      <w:proofErr w:type="gramStart"/>
      <w:r w:rsidRPr="00B14209">
        <w:rPr>
          <w:rFonts w:ascii="Verdana" w:hAnsi="Verdana"/>
          <w:iCs/>
          <w:color w:val="000000" w:themeColor="text1"/>
          <w:kern w:val="0"/>
          <w:sz w:val="21"/>
          <w:szCs w:val="21"/>
          <w:lang w:val="fr-FR" w:bidi="fr-FR"/>
          <w14:ligatures w14:val="none"/>
        </w:rPr>
        <w:t>Ministère de la pêche</w:t>
      </w:r>
      <w:proofErr w:type="gramEnd"/>
      <w:r w:rsidRPr="00B14209">
        <w:rPr>
          <w:rFonts w:ascii="Verdana" w:hAnsi="Verdana"/>
          <w:iCs/>
          <w:color w:val="000000" w:themeColor="text1"/>
          <w:kern w:val="0"/>
          <w:sz w:val="21"/>
          <w:szCs w:val="21"/>
          <w:lang w:val="fr-FR" w:bidi="fr-FR"/>
          <w14:ligatures w14:val="none"/>
        </w:rPr>
        <w:t xml:space="preserve"> et de l’économie bleue.</w:t>
      </w:r>
    </w:p>
    <w:p w14:paraId="228ABD55"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Somalie</w:t>
      </w:r>
    </w:p>
    <w:p w14:paraId="3F8E3767"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w:t>
      </w:r>
      <w:r w:rsidRPr="00B14209">
        <w:rPr>
          <w:rFonts w:ascii="Verdana" w:hAnsi="Verdana"/>
          <w:b/>
          <w:iCs/>
          <w:color w:val="000000" w:themeColor="text1"/>
          <w:kern w:val="0"/>
          <w:sz w:val="21"/>
          <w:szCs w:val="21"/>
          <w:lang w:val="fr-FR" w:bidi="fr-FR"/>
          <w14:ligatures w14:val="none"/>
        </w:rPr>
        <w:t>Département de gestion des pêches,</w:t>
      </w:r>
      <w:r w:rsidRPr="00B14209">
        <w:rPr>
          <w:rFonts w:ascii="Verdana" w:hAnsi="Verdana"/>
          <w:iCs/>
          <w:color w:val="000000" w:themeColor="text1"/>
          <w:kern w:val="0"/>
          <w:sz w:val="21"/>
          <w:szCs w:val="21"/>
          <w:lang w:val="fr-FR" w:bidi="fr-FR"/>
          <w14:ligatures w14:val="none"/>
        </w:rPr>
        <w:t xml:space="preserve"> sous la supervision du Ministère fédéral des pêches et de l’économie bleue.</w:t>
      </w:r>
    </w:p>
    <w:p w14:paraId="4DF035DF"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République-Unie de Tanzanie</w:t>
      </w:r>
    </w:p>
    <w:p w14:paraId="134F827B"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w:t>
      </w:r>
      <w:r w:rsidRPr="00B14209">
        <w:rPr>
          <w:rFonts w:ascii="Verdana" w:hAnsi="Verdana"/>
          <w:b/>
          <w:iCs/>
          <w:color w:val="000000" w:themeColor="text1"/>
          <w:kern w:val="0"/>
          <w:sz w:val="21"/>
          <w:szCs w:val="21"/>
          <w:lang w:val="fr-FR" w:bidi="fr-FR"/>
          <w14:ligatures w14:val="none"/>
        </w:rPr>
        <w:t>Autorité de la pêche en eaux profondes (DSFA)</w:t>
      </w:r>
      <w:r w:rsidRPr="00B14209">
        <w:rPr>
          <w:rFonts w:ascii="Verdana" w:hAnsi="Verdana"/>
          <w:iCs/>
          <w:color w:val="000000" w:themeColor="text1"/>
          <w:kern w:val="0"/>
          <w:sz w:val="21"/>
          <w:szCs w:val="21"/>
          <w:lang w:val="fr-FR" w:bidi="fr-FR"/>
          <w14:ligatures w14:val="none"/>
        </w:rPr>
        <w:t>, sous la supervision des ministères chargés des pêches.</w:t>
      </w:r>
    </w:p>
    <w:p w14:paraId="6C4D73AF" w14:textId="77777777" w:rsidR="00B14209" w:rsidRPr="00B14209" w:rsidRDefault="00B14209" w:rsidP="00B14209">
      <w:pPr>
        <w:spacing w:after="0" w:line="240" w:lineRule="auto"/>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br w:type="page"/>
      </w:r>
    </w:p>
    <w:p w14:paraId="725BF9F5"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6" w:name="_Toc138165806"/>
      <w:r w:rsidRPr="00B14209">
        <w:rPr>
          <w:rFonts w:ascii="Verdana" w:eastAsia="Times New Roman" w:hAnsi="Verdana" w:cs="Calibri Light"/>
          <w:b/>
          <w:bCs/>
          <w:iCs/>
          <w:color w:val="004171"/>
          <w:kern w:val="0"/>
          <w:sz w:val="40"/>
          <w:szCs w:val="40"/>
          <w:lang w:val="fr-FR" w:bidi="fr-FR"/>
          <w14:ligatures w14:val="none"/>
        </w:rPr>
        <w:lastRenderedPageBreak/>
        <w:t>ANNEXE 2 – Zone de coopération</w:t>
      </w:r>
      <w:r w:rsidRPr="00B14209">
        <w:rPr>
          <w:rFonts w:ascii="Verdana" w:eastAsia="Times New Roman" w:hAnsi="Verdana" w:cs="Calibri Light"/>
          <w:b/>
          <w:bCs/>
          <w:iCs/>
          <w:color w:val="004171"/>
          <w:kern w:val="0"/>
          <w:sz w:val="24"/>
          <w:szCs w:val="24"/>
          <w:vertAlign w:val="superscript"/>
          <w:lang w:val="fr-FR" w:bidi="fr-FR"/>
          <w14:ligatures w14:val="none"/>
        </w:rPr>
        <w:footnoteReference w:id="1"/>
      </w:r>
      <w:bookmarkEnd w:id="6"/>
    </w:p>
    <w:p w14:paraId="4D910FBC" w14:textId="77777777" w:rsidR="00B14209" w:rsidRPr="00B14209" w:rsidRDefault="00B14209" w:rsidP="00B14209">
      <w:pPr>
        <w:spacing w:after="120" w:line="276" w:lineRule="auto"/>
        <w:jc w:val="both"/>
        <w:rPr>
          <w:rFonts w:ascii="Verdana" w:hAnsi="Verdana"/>
          <w:b/>
          <w:bCs/>
          <w:iCs/>
          <w:color w:val="000000" w:themeColor="text1"/>
          <w:kern w:val="0"/>
          <w:sz w:val="21"/>
          <w:szCs w:val="21"/>
          <w:lang w:val="fr-FR"/>
          <w14:ligatures w14:val="none"/>
        </w:rPr>
      </w:pPr>
    </w:p>
    <w:p w14:paraId="51157025" w14:textId="77777777" w:rsidR="00B14209" w:rsidRPr="00B14209" w:rsidRDefault="00B14209" w:rsidP="00B14209">
      <w:pPr>
        <w:spacing w:after="120" w:line="276" w:lineRule="auto"/>
        <w:ind w:left="-142" w:right="-147"/>
        <w:jc w:val="both"/>
        <w:rPr>
          <w:rFonts w:ascii="Verdana" w:hAnsi="Verdana"/>
          <w:b/>
          <w:bCs/>
          <w:iCs/>
          <w:color w:val="000000" w:themeColor="text1"/>
          <w:kern w:val="0"/>
          <w:sz w:val="21"/>
          <w:szCs w:val="21"/>
          <w:lang w:val="fr-FR"/>
          <w14:ligatures w14:val="none"/>
        </w:rPr>
      </w:pPr>
      <w:r w:rsidRPr="00B14209">
        <w:rPr>
          <w:rFonts w:ascii="Verdana" w:hAnsi="Verdana"/>
          <w:b/>
          <w:iCs/>
          <w:color w:val="000000" w:themeColor="text1"/>
          <w:kern w:val="0"/>
          <w:sz w:val="21"/>
          <w:szCs w:val="21"/>
          <w:lang w:val="fr-FR" w:bidi="fr-FR"/>
          <w14:ligatures w14:val="none"/>
        </w:rPr>
        <w:t>La zone de coopération comprend les zones économiques exclusives officiellement délimitées des États participants et exclut les zones contestées.</w:t>
      </w:r>
    </w:p>
    <w:p w14:paraId="3E7C14E8" w14:textId="77777777" w:rsidR="00B14209" w:rsidRPr="00B14209" w:rsidRDefault="00B14209" w:rsidP="00B14209">
      <w:pPr>
        <w:spacing w:after="120" w:line="276" w:lineRule="auto"/>
        <w:ind w:left="-142" w:right="-147"/>
        <w:jc w:val="both"/>
        <w:rPr>
          <w:rFonts w:ascii="Verdana" w:hAnsi="Verdana"/>
          <w:b/>
          <w:bCs/>
          <w:iCs/>
          <w:color w:val="000000" w:themeColor="text1"/>
          <w:kern w:val="0"/>
          <w:sz w:val="21"/>
          <w:szCs w:val="21"/>
          <w:lang w:val="fr-FR"/>
          <w14:ligatures w14:val="none"/>
        </w:rPr>
      </w:pPr>
    </w:p>
    <w:p w14:paraId="393ADD7A" w14:textId="77777777" w:rsidR="00B14209" w:rsidRPr="00B14209" w:rsidRDefault="00B14209" w:rsidP="00B14209">
      <w:pPr>
        <w:spacing w:after="120" w:line="276" w:lineRule="auto"/>
        <w:jc w:val="both"/>
        <w:rPr>
          <w:rFonts w:ascii="Verdana" w:hAnsi="Verdana"/>
          <w:bCs/>
          <w:iCs/>
          <w:color w:val="000000" w:themeColor="text1"/>
          <w:kern w:val="0"/>
          <w:sz w:val="21"/>
          <w:szCs w:val="21"/>
          <w14:ligatures w14:val="none"/>
        </w:rPr>
      </w:pPr>
      <w:r w:rsidRPr="00B14209">
        <w:rPr>
          <w:rFonts w:ascii="Verdana" w:hAnsi="Verdana"/>
          <w:iCs/>
          <w:noProof/>
          <w:color w:val="000000" w:themeColor="text1"/>
          <w:kern w:val="0"/>
          <w:sz w:val="21"/>
          <w:szCs w:val="21"/>
          <w14:ligatures w14:val="none"/>
        </w:rPr>
        <w:drawing>
          <wp:inline distT="0" distB="0" distL="0" distR="0" wp14:anchorId="2E452BEC" wp14:editId="2EB2BE5F">
            <wp:extent cx="6012815" cy="5503545"/>
            <wp:effectExtent l="0" t="0" r="6985" b="1905"/>
            <wp:docPr id="647189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2815" cy="5503545"/>
                    </a:xfrm>
                    <a:prstGeom prst="rect">
                      <a:avLst/>
                    </a:prstGeom>
                    <a:noFill/>
                    <a:ln>
                      <a:noFill/>
                    </a:ln>
                  </pic:spPr>
                </pic:pic>
              </a:graphicData>
            </a:graphic>
          </wp:inline>
        </w:drawing>
      </w:r>
    </w:p>
    <w:p w14:paraId="224F58F4"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r w:rsidRPr="00B14209">
        <w:rPr>
          <w:rFonts w:ascii="Verdana" w:eastAsia="Times New Roman" w:hAnsi="Verdana" w:cs="Calibri Light"/>
          <w:b/>
          <w:bCs/>
          <w:iCs/>
          <w:color w:val="004171"/>
          <w:kern w:val="0"/>
          <w:sz w:val="40"/>
          <w:szCs w:val="40"/>
          <w:lang w:val="fr-FR" w:bidi="fr-FR"/>
          <w14:ligatures w14:val="none"/>
        </w:rPr>
        <w:br w:type="page"/>
      </w:r>
      <w:bookmarkStart w:id="7" w:name="_Toc138165807"/>
      <w:r w:rsidRPr="00B14209">
        <w:rPr>
          <w:rFonts w:ascii="Verdana" w:eastAsia="Times New Roman" w:hAnsi="Verdana" w:cs="Calibri Light"/>
          <w:b/>
          <w:bCs/>
          <w:iCs/>
          <w:color w:val="004171"/>
          <w:kern w:val="0"/>
          <w:sz w:val="40"/>
          <w:szCs w:val="40"/>
          <w:lang w:val="fr-FR" w:bidi="fr-FR"/>
          <w14:ligatures w14:val="none"/>
        </w:rPr>
        <w:lastRenderedPageBreak/>
        <w:t>ANNEXE 3 – Procédures et outils pour le partage des données collectées dans le cadre des missions d’observation en coopération</w:t>
      </w:r>
      <w:bookmarkEnd w:id="7"/>
      <w:r w:rsidRPr="00B14209">
        <w:rPr>
          <w:rFonts w:ascii="Verdana" w:eastAsia="Times New Roman" w:hAnsi="Verdana" w:cs="Calibri Light"/>
          <w:b/>
          <w:bCs/>
          <w:iCs/>
          <w:color w:val="004171"/>
          <w:kern w:val="0"/>
          <w:sz w:val="40"/>
          <w:szCs w:val="40"/>
          <w:lang w:val="fr-FR" w:bidi="fr-FR"/>
          <w14:ligatures w14:val="none"/>
        </w:rPr>
        <w:t xml:space="preserve">  </w:t>
      </w:r>
    </w:p>
    <w:p w14:paraId="591454FE" w14:textId="77777777" w:rsidR="00B14209" w:rsidRPr="00B14209" w:rsidRDefault="00B14209" w:rsidP="00B14209">
      <w:pPr>
        <w:spacing w:after="120" w:line="276" w:lineRule="auto"/>
        <w:jc w:val="both"/>
        <w:rPr>
          <w:rFonts w:ascii="Verdana" w:hAnsi="Verdana"/>
          <w:b/>
          <w:iCs/>
          <w:color w:val="000000" w:themeColor="text1"/>
          <w:kern w:val="0"/>
          <w:sz w:val="21"/>
          <w:szCs w:val="21"/>
          <w:lang w:val="fr-FR"/>
          <w14:ligatures w14:val="none"/>
        </w:rPr>
      </w:pPr>
    </w:p>
    <w:p w14:paraId="7C0D71A1" w14:textId="77777777" w:rsidR="00B14209" w:rsidRPr="00B14209" w:rsidRDefault="00B14209" w:rsidP="00B14209">
      <w:pPr>
        <w:numPr>
          <w:ilvl w:val="0"/>
          <w:numId w:val="16"/>
        </w:numPr>
        <w:spacing w:after="120" w:line="276" w:lineRule="auto"/>
        <w:jc w:val="both"/>
        <w:rPr>
          <w:rFonts w:ascii="Verdana" w:hAnsi="Verdana"/>
          <w:b/>
          <w:iCs/>
          <w:color w:val="000000" w:themeColor="text1"/>
          <w:kern w:val="0"/>
          <w:sz w:val="21"/>
          <w:szCs w:val="21"/>
          <w14:ligatures w14:val="none"/>
        </w:rPr>
      </w:pPr>
      <w:r w:rsidRPr="00B14209">
        <w:rPr>
          <w:rFonts w:ascii="Verdana" w:hAnsi="Verdana"/>
          <w:b/>
          <w:iCs/>
          <w:color w:val="000000" w:themeColor="text1"/>
          <w:kern w:val="0"/>
          <w:sz w:val="21"/>
          <w:szCs w:val="21"/>
          <w:lang w:val="fr-FR" w:bidi="fr-FR"/>
          <w14:ligatures w14:val="none"/>
        </w:rPr>
        <w:t>Objectif</w:t>
      </w:r>
    </w:p>
    <w:p w14:paraId="2ACD3A21"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partage des données d’observation collectées dans le cadre des missions d’observation en coopération vise à fournir aux Parties des informations sur les captures effectuées dans les eaux de la Zone de coopération relevant de leur juridiction nationale, en ce qui concerne tant les espèces cibles que les prises accessoires, notamment :</w:t>
      </w:r>
    </w:p>
    <w:p w14:paraId="1E3BDB95" w14:textId="77777777" w:rsidR="00B14209" w:rsidRPr="00B14209" w:rsidRDefault="00B14209" w:rsidP="00B14209">
      <w:pPr>
        <w:numPr>
          <w:ilvl w:val="0"/>
          <w:numId w:val="20"/>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données brutes collectées, conformément aux spécifications du manuel du programme régional d’observateurs de la CTOI</w:t>
      </w:r>
      <w:r w:rsidRPr="00B14209">
        <w:rPr>
          <w:rFonts w:ascii="Verdana" w:hAnsi="Verdana"/>
          <w:iCs/>
          <w:color w:val="000000" w:themeColor="text1"/>
          <w:kern w:val="0"/>
          <w:sz w:val="21"/>
          <w:szCs w:val="21"/>
          <w:vertAlign w:val="superscript"/>
          <w:lang w:val="fr-FR" w:bidi="fr-FR"/>
          <w14:ligatures w14:val="none"/>
        </w:rPr>
        <w:footnoteReference w:id="2"/>
      </w:r>
      <w:r w:rsidRPr="00B14209">
        <w:rPr>
          <w:rFonts w:ascii="Verdana" w:hAnsi="Verdana"/>
          <w:iCs/>
          <w:color w:val="000000" w:themeColor="text1"/>
          <w:kern w:val="0"/>
          <w:sz w:val="21"/>
          <w:szCs w:val="21"/>
          <w:lang w:val="fr-FR" w:bidi="fr-FR"/>
          <w14:ligatures w14:val="none"/>
        </w:rPr>
        <w:t> ;</w:t>
      </w:r>
    </w:p>
    <w:p w14:paraId="7963A390" w14:textId="77777777" w:rsidR="00B14209" w:rsidRPr="00B14209" w:rsidRDefault="00B14209" w:rsidP="00B14209">
      <w:pPr>
        <w:numPr>
          <w:ilvl w:val="0"/>
          <w:numId w:val="20"/>
        </w:numPr>
        <w:spacing w:after="120" w:line="276" w:lineRule="auto"/>
        <w:ind w:left="851" w:hanging="567"/>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des</w:t>
      </w:r>
      <w:proofErr w:type="gramEnd"/>
      <w:r w:rsidRPr="00B14209">
        <w:rPr>
          <w:rFonts w:ascii="Verdana" w:hAnsi="Verdana"/>
          <w:iCs/>
          <w:color w:val="000000" w:themeColor="text1"/>
          <w:kern w:val="0"/>
          <w:sz w:val="21"/>
          <w:szCs w:val="21"/>
          <w:lang w:val="fr-FR" w:bidi="fr-FR"/>
          <w14:ligatures w14:val="none"/>
        </w:rPr>
        <w:t xml:space="preserve"> données agrégées sur :</w:t>
      </w:r>
    </w:p>
    <w:p w14:paraId="7E86D39B" w14:textId="77777777" w:rsidR="00B14209" w:rsidRPr="00B14209" w:rsidRDefault="00B14209" w:rsidP="00B14209">
      <w:pPr>
        <w:numPr>
          <w:ilvl w:val="1"/>
          <w:numId w:val="17"/>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captures d’espèces cibles (nombre ou tonnes) par : espèce (code FAO), devenir (conservées, rejetées, etc.), date de pêche, ZEE et pavillon du navire de pêche, banc, et type d’association, le cas échéant ;</w:t>
      </w:r>
    </w:p>
    <w:p w14:paraId="1570CABC" w14:textId="77777777" w:rsidR="00B14209" w:rsidRPr="00B14209" w:rsidRDefault="00B14209" w:rsidP="00B14209">
      <w:pPr>
        <w:numPr>
          <w:ilvl w:val="1"/>
          <w:numId w:val="17"/>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prises accessoires (nombre ou tonnes) par : espèce (code FAO), devenir (conservées, rejetées, remises à l’eau, etc.), date de pêche, ZEE et pavillon du navire de pêche, banc et type d’association, le cas échéant, et état de santé au moment de la remise à l’eau (vivant, mort, inconnu, etc.).</w:t>
      </w:r>
    </w:p>
    <w:p w14:paraId="231E57A7" w14:textId="77777777" w:rsidR="00B14209" w:rsidRPr="00B14209" w:rsidRDefault="00B14209" w:rsidP="00B14209">
      <w:pPr>
        <w:numPr>
          <w:ilvl w:val="0"/>
          <w:numId w:val="16"/>
        </w:numPr>
        <w:spacing w:after="120" w:line="276" w:lineRule="auto"/>
        <w:jc w:val="both"/>
        <w:rPr>
          <w:rFonts w:ascii="Verdana" w:hAnsi="Verdana"/>
          <w:b/>
          <w:iCs/>
          <w:color w:val="000000" w:themeColor="text1"/>
          <w:kern w:val="0"/>
          <w:sz w:val="21"/>
          <w:szCs w:val="21"/>
          <w14:ligatures w14:val="none"/>
        </w:rPr>
      </w:pPr>
      <w:r w:rsidRPr="00B14209">
        <w:rPr>
          <w:rFonts w:ascii="Verdana" w:hAnsi="Verdana"/>
          <w:b/>
          <w:iCs/>
          <w:color w:val="000000" w:themeColor="text1"/>
          <w:kern w:val="0"/>
          <w:sz w:val="21"/>
          <w:szCs w:val="21"/>
          <w:lang w:val="fr-FR" w:bidi="fr-FR"/>
          <w14:ligatures w14:val="none"/>
        </w:rPr>
        <w:t>Procédures</w:t>
      </w:r>
    </w:p>
    <w:p w14:paraId="5E1574D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Parties se conforment aux procédures suivantes relatives à la collecte des données par les observateurs certifiés au niveau sous-régional, ainsi qu’à leur accès, à leur transmission et à leur échange, et veillent à ce que leurs responsables de programmes nationaux d’observateurs et leurs observateurs se conforment à ces procédures : </w:t>
      </w:r>
    </w:p>
    <w:p w14:paraId="78302768"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toutes</w:t>
      </w:r>
      <w:proofErr w:type="gramEnd"/>
      <w:r w:rsidRPr="00B14209">
        <w:rPr>
          <w:rFonts w:ascii="Verdana" w:hAnsi="Verdana"/>
          <w:iCs/>
          <w:color w:val="000000" w:themeColor="text1"/>
          <w:kern w:val="0"/>
          <w:sz w:val="21"/>
          <w:szCs w:val="21"/>
          <w:lang w:val="fr-FR" w:bidi="fr-FR"/>
          <w14:ligatures w14:val="none"/>
        </w:rPr>
        <w:t xml:space="preserve"> les données agrégées collectées sont intégrées directement dans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w:t>
      </w:r>
    </w:p>
    <w:p w14:paraId="6A64AFAC"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avant</w:t>
      </w:r>
      <w:proofErr w:type="gramEnd"/>
      <w:r w:rsidRPr="00B14209">
        <w:rPr>
          <w:rFonts w:ascii="Verdana" w:hAnsi="Verdana"/>
          <w:iCs/>
          <w:color w:val="000000" w:themeColor="text1"/>
          <w:kern w:val="0"/>
          <w:sz w:val="21"/>
          <w:szCs w:val="21"/>
          <w:lang w:val="fr-FR" w:bidi="fr-FR"/>
          <w14:ligatures w14:val="none"/>
        </w:rPr>
        <w:t xml:space="preserve"> d’être partagées, les données sont regroupées par ZEE, triées par mois et par pavillon du navire ; </w:t>
      </w:r>
    </w:p>
    <w:p w14:paraId="33B45318"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aucune</w:t>
      </w:r>
      <w:proofErr w:type="gramEnd"/>
      <w:r w:rsidRPr="00B14209">
        <w:rPr>
          <w:rFonts w:ascii="Verdana" w:hAnsi="Verdana"/>
          <w:iCs/>
          <w:color w:val="000000" w:themeColor="text1"/>
          <w:kern w:val="0"/>
          <w:sz w:val="21"/>
          <w:szCs w:val="21"/>
          <w:lang w:val="fr-FR" w:bidi="fr-FR"/>
          <w14:ligatures w14:val="none"/>
        </w:rPr>
        <w:t xml:space="preserve"> des données partagées ne fournit d’informations sur la date, l’heure ou la position (lat./long.) des activités ou des captures d’un navire ;</w:t>
      </w:r>
    </w:p>
    <w:p w14:paraId="27E491FE"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chacune</w:t>
      </w:r>
      <w:proofErr w:type="gramEnd"/>
      <w:r w:rsidRPr="00B14209">
        <w:rPr>
          <w:rFonts w:ascii="Verdana" w:hAnsi="Verdana"/>
          <w:iCs/>
          <w:color w:val="000000" w:themeColor="text1"/>
          <w:kern w:val="0"/>
          <w:sz w:val="21"/>
          <w:szCs w:val="21"/>
          <w:lang w:val="fr-FR" w:bidi="fr-FR"/>
          <w14:ligatures w14:val="none"/>
        </w:rPr>
        <w:t xml:space="preserve"> des Parties a uniquement accès aux données collectées dans sa propre ZEE ;</w:t>
      </w:r>
    </w:p>
    <w:p w14:paraId="06C181B0"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données brutes sont la propriété de l’État qui en assure ou en dirige la collecte ; </w:t>
      </w:r>
    </w:p>
    <w:p w14:paraId="4898EA32"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lastRenderedPageBreak/>
        <w:t>les</w:t>
      </w:r>
      <w:proofErr w:type="gramEnd"/>
      <w:r w:rsidRPr="00B14209">
        <w:rPr>
          <w:rFonts w:ascii="Verdana" w:hAnsi="Verdana"/>
          <w:iCs/>
          <w:color w:val="000000" w:themeColor="text1"/>
          <w:kern w:val="0"/>
          <w:sz w:val="21"/>
          <w:szCs w:val="21"/>
          <w:lang w:val="fr-FR" w:bidi="fr-FR"/>
          <w14:ligatures w14:val="none"/>
        </w:rPr>
        <w:t xml:space="preserve"> données collectées par un observateur d’une Partie qui concernent les eaux relevant de la juridiction d’une autre Partie sont transmises à cette dernière, regroupées conformément aux exigences de la résolution 15/02 de la CTOI </w:t>
      </w:r>
      <w:r w:rsidRPr="00B14209">
        <w:rPr>
          <w:rFonts w:ascii="Verdana" w:hAnsi="Verdana"/>
          <w:i/>
          <w:iCs/>
          <w:color w:val="000000" w:themeColor="text1"/>
          <w:kern w:val="0"/>
          <w:sz w:val="21"/>
          <w:szCs w:val="21"/>
          <w:lang w:val="fr-FR" w:bidi="fr-FR"/>
          <w14:ligatures w14:val="none"/>
        </w:rPr>
        <w:t>Exigences statistiques pour les Membres et les Parties Coopérantes non-Contractantes de la CTOI (CPC</w:t>
      </w:r>
      <w:r w:rsidRPr="00B14209">
        <w:rPr>
          <w:rFonts w:ascii="Verdana" w:hAnsi="Verdana"/>
          <w:iCs/>
          <w:color w:val="000000" w:themeColor="text1"/>
          <w:kern w:val="0"/>
          <w:sz w:val="21"/>
          <w:szCs w:val="21"/>
          <w:lang w:val="fr-FR" w:bidi="fr-FR"/>
          <w14:ligatures w14:val="none"/>
        </w:rPr>
        <w:t>) ou de toute résolution qui la remplace, et suffisamment détaillées pour permettre leur utilisation dans le cadre des rapports à la CTOI ou à des fins scientifiques.</w:t>
      </w:r>
    </w:p>
    <w:p w14:paraId="2D5D4EEA"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l’échange</w:t>
      </w:r>
      <w:proofErr w:type="gramEnd"/>
      <w:r w:rsidRPr="00B14209">
        <w:rPr>
          <w:rFonts w:ascii="Verdana" w:hAnsi="Verdana"/>
          <w:iCs/>
          <w:color w:val="000000" w:themeColor="text1"/>
          <w:kern w:val="0"/>
          <w:sz w:val="21"/>
          <w:szCs w:val="21"/>
          <w:lang w:val="fr-FR" w:bidi="fr-FR"/>
          <w14:ligatures w14:val="none"/>
        </w:rPr>
        <w:t xml:space="preserve"> de données agrégées devrait nécessiter un minimum d’efforts de la part des observateurs ou des équipes de gestion des programmes nationaux d’observateurs ;</w:t>
      </w:r>
    </w:p>
    <w:p w14:paraId="6FA93D2C" w14:textId="2798A159"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Parties transmettent à la COI/au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toutes les données relatives aux activités d’observation en coopération dans un format numérique déterminé par la CTOI ;</w:t>
      </w:r>
    </w:p>
    <w:p w14:paraId="4A9CBCD7"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Parties procèdent à l’échange de données conformément aux normes de confidentialité énoncées dans la résolution 12/02 de la CTOI </w:t>
      </w:r>
      <w:r w:rsidRPr="00B14209">
        <w:rPr>
          <w:rFonts w:ascii="Verdana" w:hAnsi="Verdana"/>
          <w:i/>
          <w:iCs/>
          <w:color w:val="000000" w:themeColor="text1"/>
          <w:kern w:val="0"/>
          <w:sz w:val="21"/>
          <w:szCs w:val="21"/>
          <w:lang w:val="fr-FR" w:bidi="fr-FR"/>
          <w14:ligatures w14:val="none"/>
        </w:rPr>
        <w:t>Politique et procédures de confidentialité des données statistiques</w:t>
      </w:r>
      <w:r w:rsidRPr="00B14209">
        <w:rPr>
          <w:rFonts w:ascii="Verdana" w:hAnsi="Verdana"/>
          <w:iCs/>
          <w:color w:val="000000" w:themeColor="text1"/>
          <w:kern w:val="0"/>
          <w:sz w:val="21"/>
          <w:szCs w:val="21"/>
          <w:lang w:val="fr-FR" w:bidi="fr-FR"/>
          <w14:ligatures w14:val="none"/>
        </w:rPr>
        <w:t>, ou dans les résolutions qui la remplacent.</w:t>
      </w:r>
    </w:p>
    <w:p w14:paraId="7A0567AF" w14:textId="77777777" w:rsidR="00B14209" w:rsidRPr="00B14209" w:rsidRDefault="00B14209" w:rsidP="00B14209">
      <w:pPr>
        <w:numPr>
          <w:ilvl w:val="0"/>
          <w:numId w:val="16"/>
        </w:numPr>
        <w:spacing w:after="120" w:line="276" w:lineRule="auto"/>
        <w:jc w:val="both"/>
        <w:rPr>
          <w:rFonts w:ascii="Verdana" w:hAnsi="Verdana"/>
          <w:b/>
          <w:iCs/>
          <w:color w:val="000000" w:themeColor="text1"/>
          <w:kern w:val="0"/>
          <w:sz w:val="21"/>
          <w:szCs w:val="21"/>
          <w14:ligatures w14:val="none"/>
        </w:rPr>
      </w:pPr>
      <w:r w:rsidRPr="00B14209">
        <w:rPr>
          <w:rFonts w:ascii="Verdana" w:hAnsi="Verdana"/>
          <w:b/>
          <w:iCs/>
          <w:color w:val="000000" w:themeColor="text1"/>
          <w:kern w:val="0"/>
          <w:sz w:val="21"/>
          <w:szCs w:val="21"/>
          <w:lang w:val="fr-FR" w:bidi="fr-FR"/>
          <w14:ligatures w14:val="none"/>
        </w:rPr>
        <w:t>Outils</w:t>
      </w:r>
    </w:p>
    <w:p w14:paraId="3C678DC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Parties stockent les données d’observation collectées conformément à la présente annexe dans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et veillent à ce que ce système : </w:t>
      </w:r>
    </w:p>
    <w:p w14:paraId="6BB6BFAA"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garantisse</w:t>
      </w:r>
      <w:proofErr w:type="gramEnd"/>
      <w:r w:rsidRPr="00B14209">
        <w:rPr>
          <w:rFonts w:ascii="Verdana" w:hAnsi="Verdana"/>
          <w:iCs/>
          <w:color w:val="000000" w:themeColor="text1"/>
          <w:kern w:val="0"/>
          <w:sz w:val="21"/>
          <w:szCs w:val="21"/>
          <w:lang w:val="fr-FR" w:bidi="fr-FR"/>
          <w14:ligatures w14:val="none"/>
        </w:rPr>
        <w:t xml:space="preserve"> différents niveaux d’utilisation des données par différents utilisateurs et groupes ainsi que différents niveaux d’accès à celles-ci ;</w:t>
      </w:r>
    </w:p>
    <w:p w14:paraId="5CE3DBAF"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garantisse</w:t>
      </w:r>
      <w:proofErr w:type="gramEnd"/>
      <w:r w:rsidRPr="00B14209">
        <w:rPr>
          <w:rFonts w:ascii="Verdana" w:hAnsi="Verdana"/>
          <w:iCs/>
          <w:color w:val="000000" w:themeColor="text1"/>
          <w:kern w:val="0"/>
          <w:sz w:val="21"/>
          <w:szCs w:val="21"/>
          <w:lang w:val="fr-FR" w:bidi="fr-FR"/>
          <w14:ligatures w14:val="none"/>
        </w:rPr>
        <w:t xml:space="preserve"> la traçabilité, la sécurité et la confidentialité des données partagées ;</w:t>
      </w:r>
    </w:p>
    <w:p w14:paraId="2C6FBD64"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permette</w:t>
      </w:r>
      <w:proofErr w:type="gramEnd"/>
      <w:r w:rsidRPr="00B14209">
        <w:rPr>
          <w:rFonts w:ascii="Verdana" w:hAnsi="Verdana"/>
          <w:iCs/>
          <w:color w:val="000000" w:themeColor="text1"/>
          <w:kern w:val="0"/>
          <w:sz w:val="21"/>
          <w:szCs w:val="21"/>
          <w:lang w:val="fr-FR" w:bidi="fr-FR"/>
          <w14:ligatures w14:val="none"/>
        </w:rPr>
        <w:t xml:space="preserve"> l’exportation des données d’observation brutes ou agrégées vers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à partir des bases de données utilisées par les Parties ;</w:t>
      </w:r>
    </w:p>
    <w:p w14:paraId="55C15F9F"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traite</w:t>
      </w:r>
      <w:proofErr w:type="gramEnd"/>
      <w:r w:rsidRPr="00B14209">
        <w:rPr>
          <w:rFonts w:ascii="Verdana" w:hAnsi="Verdana"/>
          <w:iCs/>
          <w:color w:val="000000" w:themeColor="text1"/>
          <w:kern w:val="0"/>
          <w:sz w:val="21"/>
          <w:szCs w:val="21"/>
          <w:lang w:val="fr-FR" w:bidi="fr-FR"/>
          <w14:ligatures w14:val="none"/>
        </w:rPr>
        <w:t xml:space="preserve"> les données d’observation brutes du système d’information géographique (SIG) afin de regrouper ces données par ZEE et de les stratifier par pavillon de navire, conformément à un processus de coopération entre le programme national d’observateurs concerné et l’administrateur de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 </w:t>
      </w:r>
    </w:p>
    <w:p w14:paraId="767E3CBC"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intègre</w:t>
      </w:r>
      <w:proofErr w:type="gramEnd"/>
      <w:r w:rsidRPr="00B14209">
        <w:rPr>
          <w:rFonts w:ascii="Verdana" w:hAnsi="Verdana"/>
          <w:iCs/>
          <w:color w:val="000000" w:themeColor="text1"/>
          <w:kern w:val="0"/>
          <w:sz w:val="21"/>
          <w:szCs w:val="21"/>
          <w:lang w:val="fr-FR" w:bidi="fr-FR"/>
          <w14:ligatures w14:val="none"/>
        </w:rPr>
        <w:t xml:space="preserve"> et stocke toutes les données d’observation agrégées dans le module d’observation de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de façon à permettre aux Parties d’accéder aux données collectées dans leur ZEE et limitant l’accès aux données collectées dans la ZEE d’autres Parties ;</w:t>
      </w:r>
    </w:p>
    <w:p w14:paraId="63ED00AA"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élabore</w:t>
      </w:r>
      <w:proofErr w:type="gramEnd"/>
      <w:r w:rsidRPr="00B14209">
        <w:rPr>
          <w:rFonts w:ascii="Verdana" w:hAnsi="Verdana"/>
          <w:iCs/>
          <w:color w:val="000000" w:themeColor="text1"/>
          <w:kern w:val="0"/>
          <w:sz w:val="21"/>
          <w:szCs w:val="21"/>
          <w:lang w:val="fr-FR" w:bidi="fr-FR"/>
          <w14:ligatures w14:val="none"/>
        </w:rPr>
        <w:t xml:space="preserve"> des filtres permettant à chaque Partie d’accéder aux captures observées dans sa ZEE par :</w:t>
      </w:r>
    </w:p>
    <w:p w14:paraId="163F6A14"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pavillon</w:t>
      </w:r>
      <w:proofErr w:type="gramEnd"/>
      <w:r w:rsidRPr="00B14209">
        <w:rPr>
          <w:rFonts w:ascii="Verdana" w:hAnsi="Verdana"/>
          <w:iCs/>
          <w:color w:val="000000" w:themeColor="text1"/>
          <w:kern w:val="0"/>
          <w:sz w:val="21"/>
          <w:szCs w:val="21"/>
          <w:lang w:val="fr-FR" w:bidi="fr-FR"/>
          <w14:ligatures w14:val="none"/>
        </w:rPr>
        <w:t>,</w:t>
      </w:r>
    </w:p>
    <w:p w14:paraId="19D53F75"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période</w:t>
      </w:r>
      <w:proofErr w:type="gramEnd"/>
      <w:r w:rsidRPr="00B14209">
        <w:rPr>
          <w:rFonts w:ascii="Verdana" w:hAnsi="Verdana"/>
          <w:iCs/>
          <w:color w:val="000000" w:themeColor="text1"/>
          <w:kern w:val="0"/>
          <w:sz w:val="21"/>
          <w:szCs w:val="21"/>
          <w:lang w:val="fr-FR" w:bidi="fr-FR"/>
          <w14:ligatures w14:val="none"/>
        </w:rPr>
        <w:t xml:space="preserve"> (mois, trimestre ou année),</w:t>
      </w:r>
    </w:p>
    <w:p w14:paraId="24F03C34"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espèce</w:t>
      </w:r>
      <w:proofErr w:type="gramEnd"/>
      <w:r w:rsidRPr="00B14209">
        <w:rPr>
          <w:rFonts w:ascii="Verdana" w:hAnsi="Verdana"/>
          <w:iCs/>
          <w:color w:val="000000" w:themeColor="text1"/>
          <w:kern w:val="0"/>
          <w:sz w:val="21"/>
          <w:szCs w:val="21"/>
          <w:lang w:val="fr-FR" w:bidi="fr-FR"/>
          <w14:ligatures w14:val="none"/>
        </w:rPr>
        <w:t>,</w:t>
      </w:r>
    </w:p>
    <w:p w14:paraId="2F42626B"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devenir</w:t>
      </w:r>
      <w:proofErr w:type="gramEnd"/>
      <w:r w:rsidRPr="00B14209">
        <w:rPr>
          <w:rFonts w:ascii="Verdana" w:hAnsi="Verdana"/>
          <w:iCs/>
          <w:color w:val="000000" w:themeColor="text1"/>
          <w:kern w:val="0"/>
          <w:sz w:val="21"/>
          <w:szCs w:val="21"/>
          <w:lang w:val="fr-FR" w:bidi="fr-FR"/>
          <w14:ligatures w14:val="none"/>
        </w:rPr>
        <w:t>,</w:t>
      </w:r>
    </w:p>
    <w:p w14:paraId="20C6804F"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lastRenderedPageBreak/>
        <w:t>quantité</w:t>
      </w:r>
      <w:proofErr w:type="gramEnd"/>
      <w:r w:rsidRPr="00B14209">
        <w:rPr>
          <w:rFonts w:ascii="Verdana" w:hAnsi="Verdana"/>
          <w:iCs/>
          <w:color w:val="000000" w:themeColor="text1"/>
          <w:kern w:val="0"/>
          <w:sz w:val="21"/>
          <w:szCs w:val="21"/>
          <w:lang w:val="fr-FR" w:bidi="fr-FR"/>
          <w14:ligatures w14:val="none"/>
        </w:rPr>
        <w:t xml:space="preserve"> (tonnes, nombre),</w:t>
      </w:r>
    </w:p>
    <w:p w14:paraId="7A351D94"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autres</w:t>
      </w:r>
      <w:proofErr w:type="gramEnd"/>
      <w:r w:rsidRPr="00B14209">
        <w:rPr>
          <w:rFonts w:ascii="Verdana" w:hAnsi="Verdana"/>
          <w:iCs/>
          <w:color w:val="000000" w:themeColor="text1"/>
          <w:kern w:val="0"/>
          <w:sz w:val="21"/>
          <w:szCs w:val="21"/>
          <w:lang w:val="fr-FR" w:bidi="fr-FR"/>
          <w14:ligatures w14:val="none"/>
        </w:rPr>
        <w:t> ;</w:t>
      </w:r>
    </w:p>
    <w:p w14:paraId="62BCB086"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transmette</w:t>
      </w:r>
      <w:proofErr w:type="gramEnd"/>
      <w:r w:rsidRPr="00B14209">
        <w:rPr>
          <w:rFonts w:ascii="Verdana" w:hAnsi="Verdana"/>
          <w:iCs/>
          <w:color w:val="000000" w:themeColor="text1"/>
          <w:kern w:val="0"/>
          <w:sz w:val="21"/>
          <w:szCs w:val="21"/>
          <w:lang w:val="fr-FR" w:bidi="fr-FR"/>
          <w14:ligatures w14:val="none"/>
        </w:rPr>
        <w:t xml:space="preserve"> aux Parties des informations relatives, entre autres, à ce qui suit :</w:t>
      </w:r>
    </w:p>
    <w:p w14:paraId="7BCCE4F6" w14:textId="77777777" w:rsidR="00B14209" w:rsidRPr="00B14209" w:rsidRDefault="00B14209" w:rsidP="00B14209">
      <w:pPr>
        <w:numPr>
          <w:ilvl w:val="2"/>
          <w:numId w:val="18"/>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l’observateur</w:t>
      </w:r>
      <w:proofErr w:type="gramEnd"/>
      <w:r w:rsidRPr="00B14209">
        <w:rPr>
          <w:rFonts w:ascii="Verdana" w:hAnsi="Verdana"/>
          <w:iCs/>
          <w:color w:val="000000" w:themeColor="text1"/>
          <w:kern w:val="0"/>
          <w:sz w:val="21"/>
          <w:szCs w:val="21"/>
          <w:lang w:val="fr-FR" w:bidi="fr-FR"/>
          <w14:ligatures w14:val="none"/>
        </w:rPr>
        <w:t>,</w:t>
      </w:r>
    </w:p>
    <w:p w14:paraId="7E789ADD" w14:textId="77777777" w:rsidR="00B14209" w:rsidRPr="00B14209" w:rsidRDefault="00B14209" w:rsidP="00B14209">
      <w:pPr>
        <w:numPr>
          <w:ilvl w:val="2"/>
          <w:numId w:val="18"/>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l’itinéraire</w:t>
      </w:r>
      <w:proofErr w:type="gramEnd"/>
      <w:r w:rsidRPr="00B14209">
        <w:rPr>
          <w:rFonts w:ascii="Verdana" w:hAnsi="Verdana"/>
          <w:iCs/>
          <w:color w:val="000000" w:themeColor="text1"/>
          <w:kern w:val="0"/>
          <w:sz w:val="21"/>
          <w:szCs w:val="21"/>
          <w:lang w:val="fr-FR" w:bidi="fr-FR"/>
          <w14:ligatures w14:val="none"/>
        </w:rPr>
        <w:t xml:space="preserve"> du navire,</w:t>
      </w:r>
    </w:p>
    <w:p w14:paraId="73DA06E5" w14:textId="77777777" w:rsidR="00B14209" w:rsidRPr="00B14209" w:rsidRDefault="00B14209" w:rsidP="00B14209">
      <w:pPr>
        <w:numPr>
          <w:ilvl w:val="2"/>
          <w:numId w:val="18"/>
        </w:numPr>
        <w:spacing w:after="80" w:line="276" w:lineRule="auto"/>
        <w:ind w:left="1418" w:hanging="284"/>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sortie (nombre de jours dans la zone de pêche, nombre de jours de navigation, nombre de jours de pêche, nombre de jours perdus, nombre total de calées) ;</w:t>
      </w:r>
    </w:p>
    <w:p w14:paraId="0E476DB7" w14:textId="77777777" w:rsidR="00B14209" w:rsidRPr="00B14209" w:rsidRDefault="00B14209" w:rsidP="00B14209">
      <w:pPr>
        <w:numPr>
          <w:ilvl w:val="2"/>
          <w:numId w:val="18"/>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repérages d’autres navires.</w:t>
      </w:r>
    </w:p>
    <w:p w14:paraId="6548B5F5" w14:textId="77777777" w:rsidR="00B14209" w:rsidRPr="00B14209" w:rsidRDefault="00B14209" w:rsidP="00B14209">
      <w:pPr>
        <w:spacing w:after="0" w:line="240" w:lineRule="auto"/>
        <w:rPr>
          <w:rFonts w:ascii="Verdana" w:hAnsi="Verdana"/>
          <w:iCs/>
          <w:color w:val="000000" w:themeColor="text1"/>
          <w:kern w:val="0"/>
          <w:sz w:val="21"/>
          <w:szCs w:val="21"/>
          <w14:ligatures w14:val="none"/>
        </w:rPr>
      </w:pPr>
      <w:r w:rsidRPr="00B14209">
        <w:rPr>
          <w:rFonts w:ascii="Verdana" w:hAnsi="Verdana"/>
          <w:iCs/>
          <w:color w:val="000000" w:themeColor="text1"/>
          <w:kern w:val="0"/>
          <w:sz w:val="21"/>
          <w:szCs w:val="21"/>
          <w:lang w:val="fr-FR" w:bidi="fr-FR"/>
          <w14:ligatures w14:val="none"/>
        </w:rPr>
        <w:br w:type="page"/>
      </w:r>
    </w:p>
    <w:p w14:paraId="317965DA"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8" w:name="_Toc138165808"/>
      <w:r w:rsidRPr="00B14209">
        <w:rPr>
          <w:rFonts w:ascii="Verdana" w:eastAsia="Times New Roman" w:hAnsi="Verdana" w:cs="Calibri Light"/>
          <w:b/>
          <w:bCs/>
          <w:iCs/>
          <w:color w:val="004171"/>
          <w:kern w:val="0"/>
          <w:sz w:val="40"/>
          <w:szCs w:val="40"/>
          <w:lang w:val="fr-FR" w:bidi="fr-FR"/>
          <w14:ligatures w14:val="none"/>
        </w:rPr>
        <w:lastRenderedPageBreak/>
        <w:t>ANNEXE 4 – Outils de planification et de coordination en ligne des déploiements d’observateurs</w:t>
      </w:r>
      <w:bookmarkEnd w:id="8"/>
    </w:p>
    <w:p w14:paraId="19451A9D"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0B1AB847"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observateurs doivent être titulaires d’un certificat sous-régional en cours de validité délivré conformément aux procédures convenues.</w:t>
      </w:r>
    </w:p>
    <w:p w14:paraId="1B1C3AF6"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module des observateurs de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doit comporter un calendrier de déploiement des observateurs applicable au présent Accord et établi en coopération avec tout navire ou État du pavillon demandant l’embarquement d’observateurs, afin de permettre le suivi et la coordination des déploiements d’observateurs.</w:t>
      </w:r>
    </w:p>
    <w:p w14:paraId="250EA791"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accords relatifs aux observateurs conclus par l’une des Parties doivent prévoir :</w:t>
      </w:r>
    </w:p>
    <w:p w14:paraId="3E3F21FE" w14:textId="77777777" w:rsidR="00B14209" w:rsidRPr="00B14209" w:rsidRDefault="00B14209" w:rsidP="00B14209">
      <w:pPr>
        <w:numPr>
          <w:ilvl w:val="1"/>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 </w:t>
      </w: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possibilité de désigner des observateurs issus de tout programme d’observateurs existant, à condition que l’observateur soit habilité au niveau sous-régional à mener des missions d’observation en coopération ;</w:t>
      </w:r>
    </w:p>
    <w:p w14:paraId="1707EF95" w14:textId="77777777" w:rsidR="00B14209" w:rsidRPr="00B14209" w:rsidRDefault="00B14209" w:rsidP="00B14209">
      <w:pPr>
        <w:numPr>
          <w:ilvl w:val="1"/>
          <w:numId w:val="2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w:t>
      </w:r>
      <w:proofErr w:type="gramEnd"/>
      <w:r w:rsidRPr="00B14209">
        <w:rPr>
          <w:rFonts w:ascii="Verdana" w:hAnsi="Verdana"/>
          <w:iCs/>
          <w:color w:val="000000" w:themeColor="text1"/>
          <w:kern w:val="0"/>
          <w:sz w:val="21"/>
          <w:szCs w:val="21"/>
          <w:lang w:val="fr-FR" w:bidi="fr-FR"/>
          <w14:ligatures w14:val="none"/>
        </w:rPr>
        <w:t xml:space="preserve"> partage des données d’observation recueillies par les observateurs au cours des missions d’observation en coopération avec les Parties signataires du présent Accord, conformément à l’</w:t>
      </w:r>
      <w:hyperlink r:id="rId8" w:anchor="_Annexe_2_-" w:history="1">
        <w:r w:rsidRPr="00B14209">
          <w:rPr>
            <w:rFonts w:ascii="Verdana" w:hAnsi="Verdana"/>
            <w:iCs/>
            <w:color w:val="00B0F0"/>
            <w:kern w:val="0"/>
            <w:sz w:val="21"/>
            <w:szCs w:val="21"/>
            <w:u w:val="single"/>
            <w:lang w:val="fr-FR" w:bidi="fr-FR"/>
            <w14:ligatures w14:val="none"/>
          </w:rPr>
          <w:t>annexe 3</w:t>
        </w:r>
      </w:hyperlink>
      <w:r w:rsidRPr="00B14209">
        <w:rPr>
          <w:rFonts w:ascii="Verdana" w:hAnsi="Verdana"/>
          <w:iCs/>
          <w:color w:val="000000" w:themeColor="text1"/>
          <w:kern w:val="0"/>
          <w:sz w:val="21"/>
          <w:szCs w:val="21"/>
          <w:lang w:val="fr-FR" w:bidi="fr-FR"/>
          <w14:ligatures w14:val="none"/>
        </w:rPr>
        <w:t>.</w:t>
      </w:r>
    </w:p>
    <w:p w14:paraId="267EE698"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coordonnent le déploiement des observateurs :</w:t>
      </w:r>
    </w:p>
    <w:p w14:paraId="6D612949" w14:textId="77777777" w:rsidR="00B14209" w:rsidRPr="00B14209" w:rsidRDefault="00B14209" w:rsidP="00B14209">
      <w:pPr>
        <w:numPr>
          <w:ilvl w:val="1"/>
          <w:numId w:val="24"/>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lors</w:t>
      </w:r>
      <w:proofErr w:type="gramEnd"/>
      <w:r w:rsidRPr="00B14209">
        <w:rPr>
          <w:rFonts w:ascii="Verdana" w:hAnsi="Verdana"/>
          <w:iCs/>
          <w:color w:val="000000" w:themeColor="text1"/>
          <w:kern w:val="0"/>
          <w:sz w:val="21"/>
          <w:szCs w:val="21"/>
          <w:lang w:val="fr-FR" w:bidi="fr-FR"/>
          <w14:ligatures w14:val="none"/>
        </w:rPr>
        <w:t xml:space="preserve"> de la première réunion annuelle du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 </w:t>
      </w:r>
    </w:p>
    <w:p w14:paraId="4379CE14" w14:textId="77777777" w:rsidR="00B14209" w:rsidRPr="00B14209" w:rsidRDefault="00B14209" w:rsidP="00B14209">
      <w:pPr>
        <w:numPr>
          <w:ilvl w:val="1"/>
          <w:numId w:val="24"/>
        </w:numPr>
        <w:spacing w:after="120" w:line="276" w:lineRule="auto"/>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par</w:t>
      </w:r>
      <w:proofErr w:type="gramEnd"/>
      <w:r w:rsidRPr="00B14209">
        <w:rPr>
          <w:rFonts w:ascii="Verdana" w:hAnsi="Verdana"/>
          <w:iCs/>
          <w:color w:val="000000" w:themeColor="text1"/>
          <w:kern w:val="0"/>
          <w:sz w:val="21"/>
          <w:szCs w:val="21"/>
          <w:lang w:val="fr-FR" w:bidi="fr-FR"/>
          <w14:ligatures w14:val="none"/>
        </w:rPr>
        <w:t xml:space="preserve"> des communications électroniques ;</w:t>
      </w:r>
    </w:p>
    <w:p w14:paraId="32E3B925" w14:textId="77777777" w:rsidR="00B14209" w:rsidRPr="00B14209" w:rsidRDefault="00B14209" w:rsidP="00B14209">
      <w:pPr>
        <w:numPr>
          <w:ilvl w:val="1"/>
          <w:numId w:val="24"/>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au</w:t>
      </w:r>
      <w:proofErr w:type="gramEnd"/>
      <w:r w:rsidRPr="00B14209">
        <w:rPr>
          <w:rFonts w:ascii="Verdana" w:hAnsi="Verdana"/>
          <w:iCs/>
          <w:color w:val="000000" w:themeColor="text1"/>
          <w:kern w:val="0"/>
          <w:sz w:val="21"/>
          <w:szCs w:val="21"/>
          <w:lang w:val="fr-FR" w:bidi="fr-FR"/>
          <w14:ligatures w14:val="none"/>
        </w:rPr>
        <w:t xml:space="preserve"> moyen d’un calendrier intégré à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w:t>
      </w:r>
    </w:p>
    <w:p w14:paraId="65429F26"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responsables des programmes nationaux d’observateurs des Parties doivent mettre à jour le calendrier commun de déploiement des observateurs au moins une fois par semaine afin d’assurer les opérations de coopération.  </w:t>
      </w:r>
    </w:p>
    <w:p w14:paraId="47E0656C"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déploiement d’un observateur par une Partie dans un port national d’une autre Partie doit être soutenu par le responsable du programme national d’observateurs du pays où l’observateur est censé embarquer/débarquer.</w:t>
      </w:r>
    </w:p>
    <w:p w14:paraId="069FBA4D"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conviennent d’échanger des observateurs en tant que de besoin, afin de remplir leurs obligations nationales et internationales, auquel cas les frais d’observation sont convenus par les Parties.</w:t>
      </w:r>
      <w:bookmarkStart w:id="9" w:name="_Annexe_4_-"/>
      <w:bookmarkEnd w:id="9"/>
    </w:p>
    <w:p w14:paraId="38BADC30" w14:textId="77777777" w:rsidR="00B14209" w:rsidRPr="00B14209" w:rsidRDefault="00B14209" w:rsidP="00B14209">
      <w:pPr>
        <w:spacing w:after="0" w:line="240" w:lineRule="auto"/>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br w:type="page"/>
      </w:r>
    </w:p>
    <w:p w14:paraId="739DEA76"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10" w:name="_Toc138165809"/>
      <w:r w:rsidRPr="00B14209">
        <w:rPr>
          <w:rFonts w:ascii="Verdana" w:eastAsia="Times New Roman" w:hAnsi="Verdana" w:cs="Calibri Light"/>
          <w:b/>
          <w:bCs/>
          <w:iCs/>
          <w:color w:val="004171"/>
          <w:kern w:val="0"/>
          <w:sz w:val="40"/>
          <w:szCs w:val="40"/>
          <w:lang w:val="fr-FR" w:bidi="fr-FR"/>
          <w14:ligatures w14:val="none"/>
        </w:rPr>
        <w:lastRenderedPageBreak/>
        <w:t>ANNEXE 5 – Critères minimaux pour la certification des observateurs au niveau sous-régional</w:t>
      </w:r>
      <w:bookmarkEnd w:id="10"/>
    </w:p>
    <w:p w14:paraId="0C38A695" w14:textId="77777777" w:rsidR="00B14209" w:rsidRPr="00B14209" w:rsidRDefault="00B14209" w:rsidP="00B14209">
      <w:pPr>
        <w:spacing w:after="0" w:line="276" w:lineRule="auto"/>
        <w:jc w:val="both"/>
        <w:rPr>
          <w:rFonts w:ascii="Verdana" w:hAnsi="Verdana"/>
          <w:iCs/>
          <w:color w:val="000000" w:themeColor="text1"/>
          <w:kern w:val="0"/>
          <w:sz w:val="6"/>
          <w:szCs w:val="6"/>
          <w:lang w:val="fr-FR"/>
          <w14:ligatures w14:val="none"/>
        </w:rPr>
      </w:pPr>
    </w:p>
    <w:p w14:paraId="745B6363"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critères minimaux pour la certification des observateurs au niveau sous-régional comprennent les exigences suivantes.</w:t>
      </w:r>
    </w:p>
    <w:tbl>
      <w:tblPr>
        <w:tblW w:w="10240" w:type="dxa"/>
        <w:tblLook w:val="04A0" w:firstRow="1" w:lastRow="0" w:firstColumn="1" w:lastColumn="0" w:noHBand="0" w:noVBand="1"/>
      </w:tblPr>
      <w:tblGrid>
        <w:gridCol w:w="1741"/>
        <w:gridCol w:w="8499"/>
      </w:tblGrid>
      <w:tr w:rsidR="00B14209" w:rsidRPr="006171E7" w14:paraId="287764C1" w14:textId="77777777" w:rsidTr="00711F7B">
        <w:tc>
          <w:tcPr>
            <w:tcW w:w="1741" w:type="dxa"/>
            <w:shd w:val="clear" w:color="auto" w:fill="auto"/>
            <w:hideMark/>
          </w:tcPr>
          <w:p w14:paraId="7100D52F"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bookmarkStart w:id="11" w:name="_Hlk97897323"/>
            <w:r w:rsidRPr="00B14209">
              <w:rPr>
                <w:rFonts w:ascii="Verdana" w:hAnsi="Verdana"/>
                <w:b/>
                <w:iCs/>
                <w:color w:val="000000" w:themeColor="text1"/>
                <w:kern w:val="0"/>
                <w:sz w:val="19"/>
                <w:szCs w:val="19"/>
                <w:lang w:val="fr-FR" w:bidi="fr-FR"/>
                <w14:ligatures w14:val="none"/>
              </w:rPr>
              <w:t>Éducation</w:t>
            </w:r>
          </w:p>
        </w:tc>
        <w:tc>
          <w:tcPr>
            <w:tcW w:w="8499" w:type="dxa"/>
            <w:shd w:val="clear" w:color="auto" w:fill="auto"/>
            <w:hideMark/>
          </w:tcPr>
          <w:p w14:paraId="47FF4E9B" w14:textId="77777777" w:rsidR="00B14209" w:rsidRPr="00B14209" w:rsidRDefault="00B14209" w:rsidP="00B14209">
            <w:pPr>
              <w:spacing w:after="100" w:line="264" w:lineRule="auto"/>
              <w:jc w:val="both"/>
              <w:rPr>
                <w:rFonts w:ascii="Verdana" w:hAnsi="Verdana"/>
                <w:bCs/>
                <w:iCs/>
                <w:color w:val="000000" w:themeColor="text1"/>
                <w:kern w:val="0"/>
                <w:sz w:val="19"/>
                <w:szCs w:val="19"/>
                <w:lang w:val="fr-FR"/>
                <w14:ligatures w14:val="none"/>
              </w:rPr>
            </w:pPr>
            <w:r w:rsidRPr="00B14209">
              <w:rPr>
                <w:rFonts w:ascii="Verdana" w:hAnsi="Verdana"/>
                <w:b/>
                <w:iCs/>
                <w:color w:val="000000" w:themeColor="text1"/>
                <w:kern w:val="0"/>
                <w:sz w:val="19"/>
                <w:szCs w:val="19"/>
                <w:lang w:val="fr-FR" w:bidi="fr-FR"/>
                <w14:ligatures w14:val="none"/>
              </w:rPr>
              <w:t xml:space="preserve">MINIMUM 10 ANS D’ÉTUDES, être titulaire d’un certificat d’études secondaires ou d’un diplôme équivalent, capacité à effectuer des calculs mathématiques et maîtrise des outils informatiques (Word et Excel). </w:t>
            </w:r>
          </w:p>
        </w:tc>
      </w:tr>
      <w:tr w:rsidR="00B14209" w:rsidRPr="00B14209" w14:paraId="434B6FBE" w14:textId="77777777" w:rsidTr="00711F7B">
        <w:tc>
          <w:tcPr>
            <w:tcW w:w="1741" w:type="dxa"/>
            <w:shd w:val="clear" w:color="auto" w:fill="auto"/>
            <w:hideMark/>
          </w:tcPr>
          <w:p w14:paraId="07610ECB"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Âge</w:t>
            </w:r>
          </w:p>
        </w:tc>
        <w:tc>
          <w:tcPr>
            <w:tcW w:w="8499" w:type="dxa"/>
            <w:shd w:val="clear" w:color="auto" w:fill="auto"/>
            <w:hideMark/>
          </w:tcPr>
          <w:p w14:paraId="31812A95" w14:textId="77777777" w:rsidR="00B14209" w:rsidRPr="00B14209" w:rsidRDefault="00B14209" w:rsidP="00B14209">
            <w:pPr>
              <w:spacing w:after="10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Au moins 21 ans.</w:t>
            </w:r>
          </w:p>
        </w:tc>
      </w:tr>
      <w:tr w:rsidR="00B14209" w:rsidRPr="006171E7" w14:paraId="75A33AD5" w14:textId="77777777" w:rsidTr="00711F7B">
        <w:tc>
          <w:tcPr>
            <w:tcW w:w="1741" w:type="dxa"/>
            <w:shd w:val="clear" w:color="auto" w:fill="auto"/>
            <w:hideMark/>
          </w:tcPr>
          <w:p w14:paraId="400AAF27"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Santé</w:t>
            </w:r>
          </w:p>
        </w:tc>
        <w:tc>
          <w:tcPr>
            <w:tcW w:w="8499" w:type="dxa"/>
            <w:shd w:val="clear" w:color="auto" w:fill="auto"/>
            <w:hideMark/>
          </w:tcPr>
          <w:p w14:paraId="74EE50EB" w14:textId="77777777" w:rsidR="00B14209" w:rsidRPr="00B14209" w:rsidRDefault="00B14209" w:rsidP="00B14209">
            <w:pPr>
              <w:spacing w:after="100" w:line="264" w:lineRule="auto"/>
              <w:jc w:val="both"/>
              <w:rPr>
                <w:rFonts w:ascii="Verdana" w:hAnsi="Verdana"/>
                <w:iCs/>
                <w:color w:val="000000" w:themeColor="text1"/>
                <w:spacing w:val="-4"/>
                <w:kern w:val="0"/>
                <w:sz w:val="19"/>
                <w:szCs w:val="19"/>
                <w:lang w:val="fr-FR"/>
                <w14:ligatures w14:val="none"/>
              </w:rPr>
            </w:pPr>
            <w:r w:rsidRPr="00B14209">
              <w:rPr>
                <w:rFonts w:ascii="Verdana" w:hAnsi="Verdana"/>
                <w:iCs/>
                <w:color w:val="000000" w:themeColor="text1"/>
                <w:spacing w:val="-4"/>
                <w:kern w:val="0"/>
                <w:sz w:val="19"/>
                <w:szCs w:val="19"/>
                <w:lang w:val="fr-FR" w:bidi="fr-FR"/>
                <w14:ligatures w14:val="none"/>
              </w:rPr>
              <w:t xml:space="preserve">Titulaire d’un certificat d’aptitude médicale en </w:t>
            </w:r>
            <w:r w:rsidRPr="00B14209">
              <w:rPr>
                <w:rFonts w:ascii="Verdana" w:hAnsi="Verdana"/>
                <w:iCs/>
                <w:color w:val="000000" w:themeColor="text1"/>
                <w:spacing w:val="-4"/>
                <w:kern w:val="0"/>
                <w:sz w:val="19"/>
                <w:szCs w:val="19"/>
                <w:u w:val="single"/>
                <w:lang w:val="fr-FR" w:bidi="fr-FR"/>
                <w14:ligatures w14:val="none"/>
              </w:rPr>
              <w:t>cours de validité</w:t>
            </w:r>
            <w:r w:rsidRPr="00B14209">
              <w:rPr>
                <w:rFonts w:ascii="Verdana" w:hAnsi="Verdana"/>
                <w:iCs/>
                <w:color w:val="000000" w:themeColor="text1"/>
                <w:spacing w:val="-4"/>
                <w:kern w:val="0"/>
                <w:sz w:val="19"/>
                <w:szCs w:val="19"/>
                <w:lang w:val="fr-FR" w:bidi="fr-FR"/>
                <w14:ligatures w14:val="none"/>
              </w:rPr>
              <w:t>, conforme aux normes de formation du personnel des navires de pêche, de délivrance des brevets et de veille (STCW-F) de l’Organisation maritime internationale (OMI)</w:t>
            </w:r>
            <w:r w:rsidRPr="00B14209">
              <w:rPr>
                <w:rFonts w:ascii="Verdana" w:hAnsi="Verdana"/>
                <w:iCs/>
                <w:color w:val="000000" w:themeColor="text1"/>
                <w:spacing w:val="-4"/>
                <w:kern w:val="0"/>
                <w:sz w:val="19"/>
                <w:szCs w:val="19"/>
                <w:vertAlign w:val="superscript"/>
                <w:lang w:val="fr-FR" w:bidi="fr-FR"/>
                <w14:ligatures w14:val="none"/>
              </w:rPr>
              <w:footnoteReference w:id="3"/>
            </w:r>
            <w:r w:rsidRPr="00B14209">
              <w:rPr>
                <w:rFonts w:ascii="Verdana" w:hAnsi="Verdana"/>
                <w:iCs/>
                <w:color w:val="000000" w:themeColor="text1"/>
                <w:spacing w:val="-4"/>
                <w:kern w:val="0"/>
                <w:sz w:val="19"/>
                <w:szCs w:val="19"/>
                <w:lang w:val="fr-FR" w:bidi="fr-FR"/>
                <w14:ligatures w14:val="none"/>
              </w:rPr>
              <w:t>, délivré par un médecin agréé.</w:t>
            </w:r>
          </w:p>
        </w:tc>
      </w:tr>
      <w:tr w:rsidR="00B14209" w:rsidRPr="006171E7" w14:paraId="520D80C3" w14:textId="77777777" w:rsidTr="00711F7B">
        <w:tc>
          <w:tcPr>
            <w:tcW w:w="1741" w:type="dxa"/>
            <w:shd w:val="clear" w:color="auto" w:fill="auto"/>
            <w:hideMark/>
          </w:tcPr>
          <w:p w14:paraId="1214FA23"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Aptitudes</w:t>
            </w:r>
          </w:p>
        </w:tc>
        <w:tc>
          <w:tcPr>
            <w:tcW w:w="8499" w:type="dxa"/>
            <w:shd w:val="clear" w:color="auto" w:fill="auto"/>
            <w:hideMark/>
          </w:tcPr>
          <w:p w14:paraId="49CCD4D3" w14:textId="77777777" w:rsidR="00B14209" w:rsidRPr="00B14209" w:rsidRDefault="00B14209" w:rsidP="00B14209">
            <w:pPr>
              <w:spacing w:after="10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Preuve de la maîtrise de la lecture et de l’écriture dans au moins une des langues suivantes : anglais, français, portugais. Capacité à communiquer avec le capitaine et à rédiger des rapports détaillés sur les activités à bord d’un navire.</w:t>
            </w:r>
          </w:p>
        </w:tc>
      </w:tr>
      <w:tr w:rsidR="00B14209" w:rsidRPr="00B14209" w14:paraId="021E25F9" w14:textId="77777777" w:rsidTr="00711F7B">
        <w:tc>
          <w:tcPr>
            <w:tcW w:w="1741" w:type="dxa"/>
            <w:shd w:val="clear" w:color="auto" w:fill="auto"/>
            <w:hideMark/>
          </w:tcPr>
          <w:p w14:paraId="6B119812" w14:textId="77777777" w:rsidR="00B14209" w:rsidRPr="00B14209" w:rsidRDefault="00B14209" w:rsidP="00B14209">
            <w:pPr>
              <w:numPr>
                <w:ilvl w:val="0"/>
                <w:numId w:val="26"/>
              </w:numPr>
              <w:spacing w:after="12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Sécurité</w:t>
            </w:r>
          </w:p>
        </w:tc>
        <w:tc>
          <w:tcPr>
            <w:tcW w:w="8499" w:type="dxa"/>
            <w:shd w:val="clear" w:color="auto" w:fill="auto"/>
            <w:hideMark/>
          </w:tcPr>
          <w:p w14:paraId="1D03E593" w14:textId="77777777" w:rsidR="00B14209" w:rsidRPr="00B14209" w:rsidRDefault="00B14209" w:rsidP="00B14209">
            <w:pPr>
              <w:spacing w:after="12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Titulaire d’un certificat de formation de base à la sécurité STCW</w:t>
            </w:r>
            <w:r w:rsidRPr="00B14209">
              <w:rPr>
                <w:rFonts w:ascii="Verdana" w:hAnsi="Verdana"/>
                <w:iCs/>
                <w:color w:val="000000" w:themeColor="text1"/>
                <w:kern w:val="0"/>
                <w:sz w:val="19"/>
                <w:szCs w:val="19"/>
                <w:vertAlign w:val="subscript"/>
                <w:lang w:val="fr-FR" w:bidi="fr-FR"/>
                <w14:ligatures w14:val="none"/>
              </w:rPr>
              <w:t xml:space="preserve">2010 </w:t>
            </w:r>
            <w:r w:rsidRPr="00B14209">
              <w:rPr>
                <w:rFonts w:ascii="Verdana" w:hAnsi="Verdana"/>
                <w:iCs/>
                <w:color w:val="000000" w:themeColor="text1"/>
                <w:kern w:val="0"/>
                <w:sz w:val="19"/>
                <w:szCs w:val="19"/>
                <w:u w:val="single"/>
                <w:lang w:val="fr-FR" w:bidi="fr-FR"/>
                <w14:ligatures w14:val="none"/>
              </w:rPr>
              <w:t>en cours de validité</w:t>
            </w:r>
            <w:r w:rsidRPr="00B14209">
              <w:rPr>
                <w:rFonts w:ascii="Verdana" w:hAnsi="Verdana"/>
                <w:iCs/>
                <w:color w:val="000000" w:themeColor="text1"/>
                <w:kern w:val="0"/>
                <w:sz w:val="19"/>
                <w:szCs w:val="19"/>
                <w:vertAlign w:val="superscript"/>
                <w:lang w:val="fr-FR" w:bidi="fr-FR"/>
                <w14:ligatures w14:val="none"/>
              </w:rPr>
              <w:footnoteReference w:id="4"/>
            </w:r>
          </w:p>
          <w:p w14:paraId="398AF5C5" w14:textId="77777777" w:rsidR="00B14209" w:rsidRPr="00B14209" w:rsidRDefault="00B14209" w:rsidP="00B14209">
            <w:pPr>
              <w:spacing w:after="12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 xml:space="preserve">Modules de formation obligatoires : </w:t>
            </w:r>
          </w:p>
          <w:p w14:paraId="23035757" w14:textId="77777777" w:rsidR="00B14209" w:rsidRPr="00B14209" w:rsidRDefault="00B14209" w:rsidP="00B14209">
            <w:pPr>
              <w:numPr>
                <w:ilvl w:val="0"/>
                <w:numId w:val="25"/>
              </w:numPr>
              <w:spacing w:after="6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 xml:space="preserve">Techniques individuelles de survie   </w:t>
            </w:r>
          </w:p>
          <w:p w14:paraId="523A771A" w14:textId="77777777" w:rsidR="00B14209" w:rsidRPr="00B14209" w:rsidRDefault="00B14209" w:rsidP="00B14209">
            <w:pPr>
              <w:numPr>
                <w:ilvl w:val="0"/>
                <w:numId w:val="25"/>
              </w:numPr>
              <w:spacing w:after="6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 xml:space="preserve">Sécurité individuelle et responsabilités sociales </w:t>
            </w:r>
          </w:p>
          <w:p w14:paraId="27F7F9C3" w14:textId="77777777" w:rsidR="00B14209" w:rsidRPr="00B14209" w:rsidRDefault="00B14209" w:rsidP="00B14209">
            <w:pPr>
              <w:spacing w:after="6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Modules de formation recommandés :</w:t>
            </w:r>
          </w:p>
          <w:p w14:paraId="6F357518" w14:textId="77777777" w:rsidR="00B14209" w:rsidRPr="00B14209" w:rsidRDefault="00B14209" w:rsidP="00B14209">
            <w:pPr>
              <w:numPr>
                <w:ilvl w:val="0"/>
                <w:numId w:val="25"/>
              </w:numPr>
              <w:spacing w:after="6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 xml:space="preserve">Enseignement médical de niveau 1 (premiers secours civiques de niveau 1, hygiène et prévention des risques, aide médicale en mer) </w:t>
            </w:r>
          </w:p>
          <w:p w14:paraId="70DA0FF4" w14:textId="77777777" w:rsidR="00B14209" w:rsidRPr="00B14209" w:rsidRDefault="00B14209" w:rsidP="00B14209">
            <w:pPr>
              <w:numPr>
                <w:ilvl w:val="0"/>
                <w:numId w:val="25"/>
              </w:numPr>
              <w:spacing w:after="6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 xml:space="preserve">Prévention de base et lutte contre l’incendie en mer </w:t>
            </w:r>
          </w:p>
          <w:p w14:paraId="78A2F5C1" w14:textId="77777777" w:rsidR="00B14209" w:rsidRPr="00B14209" w:rsidRDefault="00B14209" w:rsidP="00B14209">
            <w:pPr>
              <w:spacing w:after="6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Modules de formation facultatifs :</w:t>
            </w:r>
          </w:p>
          <w:p w14:paraId="1EBADF88" w14:textId="77777777" w:rsidR="00B14209" w:rsidRPr="00B14209" w:rsidRDefault="00B14209" w:rsidP="00B14209">
            <w:pPr>
              <w:numPr>
                <w:ilvl w:val="0"/>
                <w:numId w:val="25"/>
              </w:numPr>
              <w:spacing w:after="6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Certificat d’opérateur de radiotéléphonie</w:t>
            </w:r>
          </w:p>
        </w:tc>
      </w:tr>
      <w:tr w:rsidR="00B14209" w:rsidRPr="006171E7" w14:paraId="16BD4024" w14:textId="77777777" w:rsidTr="00711F7B">
        <w:tc>
          <w:tcPr>
            <w:tcW w:w="1741" w:type="dxa"/>
            <w:shd w:val="clear" w:color="auto" w:fill="auto"/>
            <w:hideMark/>
          </w:tcPr>
          <w:p w14:paraId="59A37275"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Éthique</w:t>
            </w:r>
          </w:p>
        </w:tc>
        <w:tc>
          <w:tcPr>
            <w:tcW w:w="8499" w:type="dxa"/>
            <w:shd w:val="clear" w:color="auto" w:fill="auto"/>
            <w:hideMark/>
          </w:tcPr>
          <w:p w14:paraId="6E6AEAC3" w14:textId="77777777" w:rsidR="00B14209" w:rsidRPr="00B14209" w:rsidRDefault="00B14209" w:rsidP="00B14209">
            <w:pPr>
              <w:spacing w:after="10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 xml:space="preserve">Casier judiciaire vierge et antécédents de normes éthiques socialement acceptables en matière d’honnêteté et de comportement public. L’observateur doit être impartial et n’avoir aucun lien financier avec des entreprises de pêche. </w:t>
            </w:r>
          </w:p>
        </w:tc>
      </w:tr>
      <w:tr w:rsidR="00B14209" w:rsidRPr="006171E7" w14:paraId="1A9CB2A5" w14:textId="77777777" w:rsidTr="00711F7B">
        <w:tc>
          <w:tcPr>
            <w:tcW w:w="1741" w:type="dxa"/>
            <w:shd w:val="clear" w:color="auto" w:fill="auto"/>
            <w:hideMark/>
          </w:tcPr>
          <w:p w14:paraId="75525DF2"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Expérience</w:t>
            </w:r>
          </w:p>
        </w:tc>
        <w:tc>
          <w:tcPr>
            <w:tcW w:w="8499" w:type="dxa"/>
            <w:shd w:val="clear" w:color="auto" w:fill="auto"/>
            <w:hideMark/>
          </w:tcPr>
          <w:p w14:paraId="73EB07F2" w14:textId="77777777" w:rsidR="00B14209" w:rsidRPr="00B14209" w:rsidRDefault="00B14209" w:rsidP="00B14209">
            <w:pPr>
              <w:spacing w:after="10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 xml:space="preserve">Une expérience en mer, ainsi qu’une expérience en matière de pêche, de collecte de données et/ou en rapport avec la législation en matière de pêche est essentielle. </w:t>
            </w:r>
          </w:p>
        </w:tc>
      </w:tr>
      <w:tr w:rsidR="00B14209" w:rsidRPr="006171E7" w14:paraId="03C61408" w14:textId="77777777" w:rsidTr="00711F7B">
        <w:tc>
          <w:tcPr>
            <w:tcW w:w="1741" w:type="dxa"/>
            <w:shd w:val="clear" w:color="auto" w:fill="auto"/>
            <w:hideMark/>
          </w:tcPr>
          <w:p w14:paraId="087E34CB"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Formation</w:t>
            </w:r>
          </w:p>
        </w:tc>
        <w:tc>
          <w:tcPr>
            <w:tcW w:w="8499" w:type="dxa"/>
            <w:shd w:val="clear" w:color="auto" w:fill="auto"/>
            <w:hideMark/>
          </w:tcPr>
          <w:p w14:paraId="6CBC02D8" w14:textId="77777777" w:rsidR="00B14209" w:rsidRPr="00B14209" w:rsidRDefault="00B14209" w:rsidP="00B14209">
            <w:pPr>
              <w:spacing w:after="100" w:line="264" w:lineRule="auto"/>
              <w:jc w:val="both"/>
              <w:rPr>
                <w:rFonts w:ascii="Verdana" w:hAnsi="Verdana"/>
                <w:iCs/>
                <w:color w:val="000000" w:themeColor="text1"/>
                <w:spacing w:val="-4"/>
                <w:kern w:val="0"/>
                <w:sz w:val="19"/>
                <w:szCs w:val="19"/>
                <w:lang w:val="fr-FR"/>
                <w14:ligatures w14:val="none"/>
              </w:rPr>
            </w:pPr>
            <w:r w:rsidRPr="00B14209">
              <w:rPr>
                <w:rFonts w:ascii="Verdana" w:hAnsi="Verdana"/>
                <w:iCs/>
                <w:color w:val="000000" w:themeColor="text1"/>
                <w:spacing w:val="-4"/>
                <w:kern w:val="0"/>
                <w:sz w:val="19"/>
                <w:szCs w:val="19"/>
                <w:lang w:val="fr-FR" w:bidi="fr-FR"/>
                <w14:ligatures w14:val="none"/>
              </w:rPr>
              <w:t xml:space="preserve">Titulaire d’un certificat de formation de base des observateurs </w:t>
            </w:r>
            <w:r w:rsidRPr="00B14209">
              <w:rPr>
                <w:rFonts w:ascii="Verdana" w:hAnsi="Verdana"/>
                <w:i/>
                <w:iCs/>
                <w:color w:val="000000" w:themeColor="text1"/>
                <w:spacing w:val="-4"/>
                <w:kern w:val="0"/>
                <w:sz w:val="19"/>
                <w:szCs w:val="19"/>
                <w:lang w:val="fr-FR" w:bidi="fr-FR"/>
                <w14:ligatures w14:val="none"/>
              </w:rPr>
              <w:t>en cours de validité</w:t>
            </w:r>
            <w:r w:rsidRPr="00B14209">
              <w:rPr>
                <w:rFonts w:ascii="Verdana" w:hAnsi="Verdana"/>
                <w:iCs/>
                <w:color w:val="000000" w:themeColor="text1"/>
                <w:spacing w:val="-4"/>
                <w:kern w:val="0"/>
                <w:sz w:val="19"/>
                <w:szCs w:val="19"/>
                <w:vertAlign w:val="superscript"/>
                <w:lang w:val="fr-FR" w:bidi="fr-FR"/>
                <w14:ligatures w14:val="none"/>
              </w:rPr>
              <w:footnoteReference w:id="5"/>
            </w:r>
            <w:r w:rsidRPr="00B14209">
              <w:rPr>
                <w:rFonts w:ascii="Verdana" w:hAnsi="Verdana"/>
                <w:iCs/>
                <w:color w:val="000000" w:themeColor="text1"/>
                <w:spacing w:val="-4"/>
                <w:kern w:val="0"/>
                <w:sz w:val="19"/>
                <w:szCs w:val="19"/>
                <w:lang w:val="fr-FR" w:bidi="fr-FR"/>
                <w14:ligatures w14:val="none"/>
              </w:rPr>
              <w:t xml:space="preserve"> (ou équivalent) conformément aux normes du Mécanisme régional d’observateurs de la CTOI</w:t>
            </w:r>
            <w:r w:rsidRPr="00B14209">
              <w:rPr>
                <w:rFonts w:ascii="Verdana" w:hAnsi="Verdana"/>
                <w:iCs/>
                <w:color w:val="000000" w:themeColor="text1"/>
                <w:spacing w:val="-4"/>
                <w:kern w:val="0"/>
                <w:sz w:val="19"/>
                <w:szCs w:val="19"/>
                <w:vertAlign w:val="superscript"/>
                <w:lang w:val="fr-FR" w:bidi="fr-FR"/>
                <w14:ligatures w14:val="none"/>
              </w:rPr>
              <w:footnoteReference w:id="6"/>
            </w:r>
            <w:r w:rsidRPr="00B14209">
              <w:rPr>
                <w:rFonts w:ascii="Verdana" w:hAnsi="Verdana"/>
                <w:iCs/>
                <w:color w:val="000000" w:themeColor="text1"/>
                <w:spacing w:val="-4"/>
                <w:kern w:val="0"/>
                <w:sz w:val="19"/>
                <w:szCs w:val="19"/>
                <w:lang w:val="fr-FR" w:bidi="fr-FR"/>
                <w14:ligatures w14:val="none"/>
              </w:rPr>
              <w:t>.</w:t>
            </w:r>
          </w:p>
        </w:tc>
      </w:tr>
    </w:tbl>
    <w:p w14:paraId="60FB183F"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13" w:name="_Toc138165810"/>
      <w:bookmarkEnd w:id="11"/>
      <w:r w:rsidRPr="00B14209">
        <w:rPr>
          <w:rFonts w:ascii="Verdana" w:eastAsia="Times New Roman" w:hAnsi="Verdana" w:cs="Calibri Light"/>
          <w:b/>
          <w:bCs/>
          <w:iCs/>
          <w:color w:val="004171"/>
          <w:kern w:val="0"/>
          <w:sz w:val="40"/>
          <w:szCs w:val="40"/>
          <w:lang w:val="fr-FR" w:bidi="fr-FR"/>
          <w14:ligatures w14:val="none"/>
        </w:rPr>
        <w:lastRenderedPageBreak/>
        <w:t>ANNEXE 6 – Processus de certification des observateurs</w:t>
      </w:r>
      <w:bookmarkEnd w:id="13"/>
    </w:p>
    <w:p w14:paraId="1BDE2293"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33E11448"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supervisera le processus de certification des observateurs au niveau sous-régional, y compris l’obtention de la certification, le maintien de la certification, le retrait de la certification et le renouvellement de la certification, comme décrit ci-dessous.</w:t>
      </w:r>
    </w:p>
    <w:p w14:paraId="5CD3CE71"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responsable du programme national d’observateurs de chaque Partie soumet au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une liste de candidats à la certification d’observateur sous-régional.</w:t>
      </w:r>
    </w:p>
    <w:p w14:paraId="44A3BF69"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déterminera les candidats répondant aux « Critères minimaux pour la certification des observateurs au niveau sous-régional » de l’annexe 5 qui peuvent suivre une formation de remise à niveau et qui, s’ils le terminent avec succès, seront pris en considération pour la certification. </w:t>
      </w:r>
    </w:p>
    <w:p w14:paraId="58F2EA5F"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Nonobstant le paragraphe 2, les candidats qui répondent aux « Critères minimaux pour la certification des observateurs au niveau sous-régional » de l’annexe 5 et qui ont suivi avec succès une formation de remise à niveau équivalente au cours des deux années civiles précédentes seront directement pris en considération pour la certification.</w:t>
      </w:r>
    </w:p>
    <w:p w14:paraId="7A16266F"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candidats retenus seront certifiés au niveau sous-régional par la COI et recevront une carte de certification nominative reconnue attestant de leur niveau de formation.</w:t>
      </w:r>
    </w:p>
    <w:p w14:paraId="3ECD6E0E"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spacing w:val="-4"/>
          <w:kern w:val="0"/>
          <w:sz w:val="21"/>
          <w:szCs w:val="21"/>
          <w:lang w:val="fr-FR"/>
          <w14:ligatures w14:val="none"/>
        </w:rPr>
      </w:pPr>
      <w:r w:rsidRPr="00B14209">
        <w:rPr>
          <w:rFonts w:ascii="Verdana" w:hAnsi="Verdana"/>
          <w:iCs/>
          <w:color w:val="000000" w:themeColor="text1"/>
          <w:spacing w:val="-4"/>
          <w:kern w:val="0"/>
          <w:sz w:val="21"/>
          <w:szCs w:val="21"/>
          <w:lang w:val="fr-FR" w:bidi="fr-FR"/>
          <w14:ligatures w14:val="none"/>
        </w:rPr>
        <w:t>La certification et la formation des observateurs au niveau sous-régional seront spécifiques à chaque type d’engin, les observateurs étant certifiés de façon distincte pour chaque type d’engin.</w:t>
      </w:r>
    </w:p>
    <w:p w14:paraId="6A03E121"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observateurs certifiés auront la possibilité de mener des missions d’observation en coopération et de collecter des données d’observation dans la zone de coopération.</w:t>
      </w:r>
    </w:p>
    <w:p w14:paraId="31E0AB38"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spacing w:val="-4"/>
          <w:kern w:val="0"/>
          <w:sz w:val="21"/>
          <w:szCs w:val="21"/>
          <w:lang w:val="fr-FR"/>
          <w14:ligatures w14:val="none"/>
        </w:rPr>
      </w:pPr>
      <w:r w:rsidRPr="00B14209">
        <w:rPr>
          <w:rFonts w:ascii="Verdana" w:hAnsi="Verdana"/>
          <w:iCs/>
          <w:color w:val="000000" w:themeColor="text1"/>
          <w:spacing w:val="-4"/>
          <w:kern w:val="0"/>
          <w:sz w:val="21"/>
          <w:szCs w:val="21"/>
          <w:lang w:val="fr-FR" w:bidi="fr-FR"/>
          <w14:ligatures w14:val="none"/>
        </w:rPr>
        <w:t>Les observateurs certifiés sont placés sous la responsabilité directe de l’autorité déléguée d’une Partie chargée de la coordination et de la gestion du programme national d’observateurs qui les a proposés pour la certification et dans le cadre duquel ils sont employés.</w:t>
      </w:r>
    </w:p>
    <w:p w14:paraId="13156354"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L’équipe de gestion du programme national d’observateurs est chargée de faire des briefings/débriefings rigoureux et réguliers, d’effectuer des évaluations des compétences des observateurs et de veiller à ce que les données collectées par ses observateurs certifiés répondent pleinement aux objectifs communs des parties, aux exigences de la CTOI et à des normes élevées et constantes. </w:t>
      </w:r>
    </w:p>
    <w:p w14:paraId="36905B24"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informations recueillies par l’équipe de gestion d’un programme national d’observateurs au cours du débriefing régulier de l’observateur relatif à un engin, un formulaire de débriefing rempli et un formulaire d’évaluation de la sortie de l’observateur peuvent être utilisées à trois fins principales : </w:t>
      </w:r>
    </w:p>
    <w:p w14:paraId="5B0554CF" w14:textId="77777777" w:rsidR="00B14209" w:rsidRPr="00B14209" w:rsidRDefault="00B14209" w:rsidP="00B14209">
      <w:pPr>
        <w:numPr>
          <w:ilvl w:val="2"/>
          <w:numId w:val="27"/>
        </w:numPr>
        <w:spacing w:after="80" w:line="276" w:lineRule="auto"/>
        <w:ind w:left="1445" w:hanging="181"/>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lastRenderedPageBreak/>
        <w:t>à</w:t>
      </w:r>
      <w:proofErr w:type="gramEnd"/>
      <w:r w:rsidRPr="00B14209">
        <w:rPr>
          <w:rFonts w:ascii="Verdana" w:hAnsi="Verdana"/>
          <w:iCs/>
          <w:color w:val="000000" w:themeColor="text1"/>
          <w:kern w:val="0"/>
          <w:sz w:val="21"/>
          <w:szCs w:val="21"/>
          <w:lang w:val="fr-FR" w:bidi="fr-FR"/>
          <w14:ligatures w14:val="none"/>
        </w:rPr>
        <w:t xml:space="preserve"> des fins de diagnostic, afin de recenser les besoins en matière d’éducation ou de formation ;</w:t>
      </w:r>
    </w:p>
    <w:p w14:paraId="76937624" w14:textId="77777777" w:rsidR="00B14209" w:rsidRPr="00B14209" w:rsidRDefault="00B14209" w:rsidP="00B14209">
      <w:pPr>
        <w:numPr>
          <w:ilvl w:val="2"/>
          <w:numId w:val="27"/>
        </w:numPr>
        <w:spacing w:after="80" w:line="276" w:lineRule="auto"/>
        <w:ind w:left="1445" w:hanging="181"/>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des fins d’information, afin de fournir aux autres Parties un retour d’information sur le travail de l’observateur ;</w:t>
      </w:r>
    </w:p>
    <w:p w14:paraId="3F8B486A" w14:textId="12284754" w:rsidR="00E76B19" w:rsidRPr="006171E7" w:rsidRDefault="00B14209" w:rsidP="00B14209">
      <w:pPr>
        <w:rPr>
          <w:lang w:val="fr-FR"/>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des fins d’évaluation, afin d’évaluer la performance de l’observateur.</w:t>
      </w:r>
    </w:p>
    <w:sectPr w:rsidR="00E76B19" w:rsidRPr="006171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C097" w14:textId="77777777" w:rsidR="00630289" w:rsidRDefault="00630289" w:rsidP="00B14209">
      <w:pPr>
        <w:spacing w:after="0" w:line="240" w:lineRule="auto"/>
      </w:pPr>
      <w:r>
        <w:separator/>
      </w:r>
    </w:p>
  </w:endnote>
  <w:endnote w:type="continuationSeparator" w:id="0">
    <w:p w14:paraId="14210A98" w14:textId="77777777" w:rsidR="00630289" w:rsidRDefault="00630289" w:rsidP="00B1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E8E6" w14:textId="77777777" w:rsidR="006171E7" w:rsidRDefault="006171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0B3" w14:textId="77777777" w:rsidR="006171E7" w:rsidRDefault="006171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A663" w14:textId="77777777" w:rsidR="006171E7" w:rsidRDefault="006171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E432" w14:textId="77777777" w:rsidR="00630289" w:rsidRDefault="00630289" w:rsidP="00B14209">
      <w:pPr>
        <w:spacing w:after="0" w:line="240" w:lineRule="auto"/>
      </w:pPr>
      <w:r>
        <w:separator/>
      </w:r>
    </w:p>
  </w:footnote>
  <w:footnote w:type="continuationSeparator" w:id="0">
    <w:p w14:paraId="71779F53" w14:textId="77777777" w:rsidR="00630289" w:rsidRDefault="00630289" w:rsidP="00B14209">
      <w:pPr>
        <w:spacing w:after="0" w:line="240" w:lineRule="auto"/>
      </w:pPr>
      <w:r>
        <w:continuationSeparator/>
      </w:r>
    </w:p>
  </w:footnote>
  <w:footnote w:id="1">
    <w:p w14:paraId="1A3E20D9" w14:textId="209FA3F8" w:rsidR="00B14209" w:rsidRPr="00371C9A" w:rsidRDefault="00B14209" w:rsidP="00B14209">
      <w:pPr>
        <w:pStyle w:val="Notedebasdepage"/>
        <w:ind w:left="227" w:hanging="227"/>
        <w:rPr>
          <w:lang w:val="fr-FR"/>
        </w:rPr>
      </w:pPr>
      <w:r>
        <w:rPr>
          <w:rStyle w:val="Appelnotedebasdep"/>
          <w:lang w:val="fr-FR" w:bidi="fr-FR"/>
        </w:rPr>
        <w:footnoteRef/>
      </w:r>
      <w:r w:rsidRPr="00C43A03">
        <w:rPr>
          <w:lang w:val="fr-FR" w:bidi="fr-FR"/>
        </w:rPr>
        <w:t xml:space="preserve"> </w:t>
      </w:r>
      <w:r>
        <w:rPr>
          <w:lang w:val="fr-FR" w:bidi="fr-FR"/>
        </w:rPr>
        <w:tab/>
      </w:r>
      <w:r w:rsidRPr="00C43A03">
        <w:rPr>
          <w:lang w:val="fr-FR" w:bidi="fr-FR"/>
        </w:rPr>
        <w:t xml:space="preserve">Zone de coopération provisoire avec inclusion de l’archipel des Chagos et de la zone de gestion commune, pour approbation par </w:t>
      </w:r>
      <w:r w:rsidR="002423E1">
        <w:rPr>
          <w:lang w:val="fr-FR" w:bidi="fr-FR"/>
        </w:rPr>
        <w:t>Comité de pilotage</w:t>
      </w:r>
      <w:r w:rsidRPr="00C43A03">
        <w:rPr>
          <w:lang w:val="fr-FR" w:bidi="fr-FR"/>
        </w:rPr>
        <w:t xml:space="preserve"> et le Conseil des ministres de la COI en vue d’intégrer ces deux zones dans une zone de coopération à part entière.</w:t>
      </w:r>
    </w:p>
  </w:footnote>
  <w:footnote w:id="2">
    <w:p w14:paraId="5C7EF29B" w14:textId="77777777" w:rsidR="00B14209" w:rsidRPr="00371C9A" w:rsidRDefault="00B14209" w:rsidP="00B14209">
      <w:pPr>
        <w:pStyle w:val="Notedebasdepage"/>
        <w:ind w:left="227" w:hanging="227"/>
        <w:rPr>
          <w:lang w:val="fr-FR"/>
        </w:rPr>
      </w:pPr>
      <w:r>
        <w:rPr>
          <w:rStyle w:val="Appelnotedebasdep"/>
          <w:lang w:val="fr-FR" w:bidi="fr-FR"/>
        </w:rPr>
        <w:footnoteRef/>
      </w:r>
      <w:r w:rsidRPr="00CE6B39">
        <w:rPr>
          <w:lang w:val="fr-FR" w:bidi="fr-FR"/>
        </w:rPr>
        <w:t xml:space="preserve"> </w:t>
      </w:r>
      <w:r>
        <w:rPr>
          <w:lang w:val="fr-FR" w:bidi="fr-FR"/>
        </w:rPr>
        <w:tab/>
      </w:r>
      <w:r w:rsidRPr="00CE6B39">
        <w:rPr>
          <w:lang w:val="fr-FR" w:bidi="fr-FR"/>
        </w:rPr>
        <w:t>https://iotc.org/documents/iotc-regional-observer-programme-manual</w:t>
      </w:r>
    </w:p>
  </w:footnote>
  <w:footnote w:id="3">
    <w:p w14:paraId="0D2E12FB" w14:textId="77777777" w:rsidR="00B14209" w:rsidRPr="00371C9A" w:rsidRDefault="00B14209" w:rsidP="00B14209">
      <w:pPr>
        <w:pStyle w:val="Footer1"/>
        <w:ind w:left="227" w:hanging="227"/>
        <w:rPr>
          <w:lang w:val="fr-FR"/>
        </w:rPr>
      </w:pPr>
      <w:r>
        <w:rPr>
          <w:rStyle w:val="Appelnotedebasdep"/>
          <w:rFonts w:cs="Calibri"/>
          <w:lang w:val="fr-FR" w:bidi="fr-FR"/>
        </w:rPr>
        <w:footnoteRef/>
      </w:r>
      <w:r>
        <w:rPr>
          <w:lang w:val="fr-FR" w:bidi="fr-FR"/>
        </w:rPr>
        <w:t xml:space="preserve"> </w:t>
      </w:r>
      <w:r>
        <w:rPr>
          <w:lang w:val="fr-FR" w:bidi="fr-FR"/>
        </w:rPr>
        <w:tab/>
        <w:t>Garantit que l’observateur est capable de supporter les conditions normales de la vie en mer et que son état de santé ne mettra pas en danger la santé et la sécurité des autres personnes à bord. Valable deux ans.</w:t>
      </w:r>
    </w:p>
  </w:footnote>
  <w:footnote w:id="4">
    <w:p w14:paraId="3B9AE586" w14:textId="77777777" w:rsidR="00B14209" w:rsidRPr="00371C9A" w:rsidRDefault="00B14209" w:rsidP="00B14209">
      <w:pPr>
        <w:pStyle w:val="Footer1"/>
        <w:ind w:left="227" w:hanging="227"/>
        <w:rPr>
          <w:lang w:val="fr-FR"/>
        </w:rPr>
      </w:pPr>
      <w:r>
        <w:rPr>
          <w:rStyle w:val="Appelnotedebasdep"/>
          <w:rFonts w:cs="Calibri"/>
          <w:lang w:val="fr-FR" w:bidi="fr-FR"/>
        </w:rPr>
        <w:footnoteRef/>
      </w:r>
      <w:r>
        <w:rPr>
          <w:lang w:val="fr-FR" w:bidi="fr-FR"/>
        </w:rPr>
        <w:t xml:space="preserve"> </w:t>
      </w:r>
      <w:r>
        <w:rPr>
          <w:lang w:val="fr-FR" w:bidi="fr-FR"/>
        </w:rPr>
        <w:tab/>
        <w:t>Pour se conformer aux normes internationales de sécurité applicables à la marine marchande et aux navire de pêche, les observateurs doivent suivre un certain nombre de cours certifiés STCW</w:t>
      </w:r>
      <w:r>
        <w:rPr>
          <w:vertAlign w:val="subscript"/>
          <w:lang w:val="fr-FR" w:bidi="fr-FR"/>
        </w:rPr>
        <w:t xml:space="preserve">2010 </w:t>
      </w:r>
      <w:r>
        <w:rPr>
          <w:lang w:val="fr-FR" w:bidi="fr-FR"/>
        </w:rPr>
        <w:t>avant d’embarquer sur un navire de pêche commercial. Valable cinq ans.</w:t>
      </w:r>
    </w:p>
  </w:footnote>
  <w:footnote w:id="5">
    <w:p w14:paraId="40642450" w14:textId="77777777" w:rsidR="00B14209" w:rsidRPr="00371C9A" w:rsidRDefault="00B14209" w:rsidP="00B14209">
      <w:pPr>
        <w:pStyle w:val="Footer1"/>
        <w:ind w:left="227" w:hanging="227"/>
        <w:rPr>
          <w:rFonts w:cs="Times New Roman"/>
          <w:lang w:val="fr-FR"/>
        </w:rPr>
      </w:pPr>
      <w:r>
        <w:rPr>
          <w:rStyle w:val="Appelnotedebasdep"/>
          <w:rFonts w:cs="Calibri"/>
          <w:lang w:val="fr-FR" w:bidi="fr-FR"/>
        </w:rPr>
        <w:footnoteRef/>
      </w:r>
      <w:r>
        <w:rPr>
          <w:lang w:val="fr-FR" w:bidi="fr-FR"/>
        </w:rPr>
        <w:tab/>
        <w:t xml:space="preserve">Document attestant que l’observateur a suivi avec succès une « formation de base des observateurs » conformément aux normes du Mécanisme régional d’observateurs de la CTOI et énumérant les engins sur lesquels l’observateur a été formé. Valable cinq ans pour les observateurs </w:t>
      </w:r>
      <w:bookmarkStart w:id="12" w:name="_Hlk98228937"/>
      <w:r>
        <w:rPr>
          <w:lang w:val="fr-FR" w:bidi="fr-FR"/>
        </w:rPr>
        <w:t>qui effectuent au moins une sortie en mer par an et par engin répertorié</w:t>
      </w:r>
      <w:bookmarkEnd w:id="12"/>
      <w:r>
        <w:rPr>
          <w:lang w:val="fr-FR" w:bidi="fr-FR"/>
        </w:rPr>
        <w:t>. Valable deux ans pour les observateurs qui n’ont pas effectué au moins une sortie en mer par an et par engin répertorié.</w:t>
      </w:r>
    </w:p>
  </w:footnote>
  <w:footnote w:id="6">
    <w:p w14:paraId="5CD1FAB6" w14:textId="77777777" w:rsidR="00B14209" w:rsidRPr="00413E04" w:rsidRDefault="00B14209" w:rsidP="00B14209">
      <w:pPr>
        <w:pStyle w:val="Footer1"/>
        <w:ind w:left="227" w:hanging="227"/>
        <w:rPr>
          <w:szCs w:val="20"/>
          <w:lang w:val="fr-FR"/>
        </w:rPr>
      </w:pPr>
      <w:r>
        <w:rPr>
          <w:rStyle w:val="Appelnotedebasdep"/>
          <w:szCs w:val="20"/>
          <w:lang w:val="fr-FR" w:bidi="fr-FR"/>
        </w:rPr>
        <w:footnoteRef/>
      </w:r>
      <w:r>
        <w:rPr>
          <w:szCs w:val="20"/>
          <w:lang w:val="fr-FR" w:bidi="fr-FR"/>
        </w:rPr>
        <w:tab/>
        <w:t xml:space="preserve">Voir « Directives pour aider à la mise en œuvre des normes du Mécanisme Régional d’Observateurs de la CTOI », section C « Programme de formation de base des observateurs », dans </w:t>
      </w:r>
      <w:r>
        <w:rPr>
          <w:i/>
          <w:szCs w:val="20"/>
          <w:lang w:val="fr-FR" w:bidi="fr-FR"/>
        </w:rPr>
        <w:t>Mécanisme régional d’observateurs – projets de normes du programme</w:t>
      </w:r>
      <w:r>
        <w:rPr>
          <w:szCs w:val="20"/>
          <w:lang w:val="fr-FR" w:bidi="fr-FR"/>
        </w:rPr>
        <w:t xml:space="preserve"> : </w:t>
      </w:r>
      <w:r w:rsidR="006171E7">
        <w:fldChar w:fldCharType="begin"/>
      </w:r>
      <w:r w:rsidR="006171E7" w:rsidRPr="006171E7">
        <w:rPr>
          <w:lang w:val="fr-FR"/>
        </w:rPr>
        <w:instrText>HYPERLINK "https://iotc.org/documents/regional-observer-scheme-programme-standards"</w:instrText>
      </w:r>
      <w:r w:rsidR="006171E7">
        <w:fldChar w:fldCharType="separate"/>
      </w:r>
      <w:r>
        <w:rPr>
          <w:rStyle w:val="Lienhypertexte"/>
          <w:szCs w:val="20"/>
          <w:lang w:val="fr-FR" w:bidi="fr-FR"/>
        </w:rPr>
        <w:t>IOTC-2019-S23-10_rev1F — Mécanisme régional d’observateurs – projets de normes du programme</w:t>
      </w:r>
      <w:r w:rsidR="006171E7">
        <w:rPr>
          <w:rStyle w:val="Lienhypertexte"/>
          <w:szCs w:val="20"/>
          <w:lang w:val="fr-FR" w:bidi="fr-FR"/>
        </w:rPr>
        <w:fldChar w:fldCharType="end"/>
      </w:r>
      <w:r>
        <w:rPr>
          <w:szCs w:val="20"/>
          <w:lang w:val="fr-FR" w:bidi="fr-FR"/>
        </w:rPr>
        <w:t>, page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48B9" w14:textId="77777777" w:rsidR="006171E7" w:rsidRDefault="006171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B35E" w14:textId="7B29D037" w:rsidR="006171E7" w:rsidRPr="006171E7" w:rsidRDefault="006171E7" w:rsidP="006171E7">
    <w:pPr>
      <w:pStyle w:val="En-tte"/>
      <w:jc w:val="right"/>
      <w:rPr>
        <w:sz w:val="28"/>
        <w:szCs w:val="28"/>
        <w:lang w:val="fr-FR"/>
      </w:rPr>
    </w:pPr>
    <w:r w:rsidRPr="006171E7">
      <w:rPr>
        <w:sz w:val="28"/>
        <w:szCs w:val="28"/>
        <w:lang w:val="fr-FR"/>
      </w:rPr>
      <w:t>2.9. Annexe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2028" w14:textId="77777777" w:rsidR="006171E7" w:rsidRDefault="006171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6DB"/>
    <w:multiLevelType w:val="hybridMultilevel"/>
    <w:tmpl w:val="4C92F1B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246E4E"/>
    <w:multiLevelType w:val="hybridMultilevel"/>
    <w:tmpl w:val="068A2478"/>
    <w:lvl w:ilvl="0" w:tplc="1494F37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4066B"/>
    <w:multiLevelType w:val="hybridMultilevel"/>
    <w:tmpl w:val="D842E938"/>
    <w:lvl w:ilvl="0" w:tplc="1494F37C">
      <w:start w:val="1"/>
      <w:numFmt w:val="decimal"/>
      <w:lvlText w:val="%1"/>
      <w:lvlJc w:val="left"/>
      <w:pPr>
        <w:ind w:left="-106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3" w15:restartNumberingAfterBreak="0">
    <w:nsid w:val="1B332539"/>
    <w:multiLevelType w:val="hybridMultilevel"/>
    <w:tmpl w:val="B900DEAA"/>
    <w:lvl w:ilvl="0" w:tplc="FFFFFFFF">
      <w:start w:val="1"/>
      <w:numFmt w:val="decimal"/>
      <w:lvlText w:val="%1"/>
      <w:lvlJc w:val="left"/>
      <w:pPr>
        <w:ind w:left="360" w:hanging="360"/>
      </w:pPr>
      <w:rPr>
        <w:rFonts w:hint="default"/>
        <w:i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2663A3"/>
    <w:multiLevelType w:val="hybridMultilevel"/>
    <w:tmpl w:val="49C6B0BE"/>
    <w:lvl w:ilvl="0" w:tplc="3A648776">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E4665"/>
    <w:multiLevelType w:val="hybridMultilevel"/>
    <w:tmpl w:val="8C96F7B4"/>
    <w:lvl w:ilvl="0" w:tplc="D14C0514">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548CF"/>
    <w:multiLevelType w:val="multilevel"/>
    <w:tmpl w:val="5DAC0846"/>
    <w:lvl w:ilvl="0">
      <w:start w:val="1"/>
      <w:numFmt w:val="decimal"/>
      <w:lvlText w:val="%1."/>
      <w:lvlJc w:val="left"/>
      <w:pPr>
        <w:ind w:left="360" w:hanging="360"/>
      </w:p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137944"/>
    <w:multiLevelType w:val="multilevel"/>
    <w:tmpl w:val="80BC0E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F2450"/>
    <w:multiLevelType w:val="hybridMultilevel"/>
    <w:tmpl w:val="A6245506"/>
    <w:lvl w:ilvl="0" w:tplc="67D84584">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C5A57"/>
    <w:multiLevelType w:val="hybridMultilevel"/>
    <w:tmpl w:val="6964AC9E"/>
    <w:lvl w:ilvl="0" w:tplc="FFFFFFFF">
      <w:start w:val="1"/>
      <w:numFmt w:val="lowerLetter"/>
      <w:lvlText w:val="%1"/>
      <w:lvlJc w:val="left"/>
      <w:pPr>
        <w:ind w:left="73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B7EC7314">
      <w:start w:val="1"/>
      <w:numFmt w:val="lowerRoman"/>
      <w:lvlText w:val="%2."/>
      <w:lvlJc w:val="right"/>
      <w:pPr>
        <w:ind w:left="1102" w:hanging="360"/>
      </w:pPr>
      <w:rPr>
        <w:rFonts w:hint="default"/>
      </w:r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0" w15:restartNumberingAfterBreak="0">
    <w:nsid w:val="3838739F"/>
    <w:multiLevelType w:val="hybridMultilevel"/>
    <w:tmpl w:val="6A3E66EA"/>
    <w:lvl w:ilvl="0" w:tplc="9030F8E2">
      <w:start w:val="1"/>
      <w:numFmt w:val="decimal"/>
      <w:lvlText w:val="%1"/>
      <w:lvlJc w:val="left"/>
      <w:pPr>
        <w:ind w:left="360" w:hanging="360"/>
      </w:pPr>
      <w:rPr>
        <w:rFonts w:eastAsia="Times New Roman" w:hint="default"/>
        <w:sz w:val="19"/>
        <w:szCs w:val="19"/>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2C40F0B"/>
    <w:multiLevelType w:val="hybridMultilevel"/>
    <w:tmpl w:val="6F8849BE"/>
    <w:lvl w:ilvl="0" w:tplc="FFFFFFFF">
      <w:start w:val="1"/>
      <w:numFmt w:val="decimal"/>
      <w:lvlText w:val="%1"/>
      <w:lvlJc w:val="left"/>
      <w:pPr>
        <w:ind w:left="360" w:hanging="360"/>
      </w:pPr>
      <w:rPr>
        <w:rFonts w:hint="default"/>
        <w:i w:val="0"/>
        <w:u w:val="none"/>
      </w:rPr>
    </w:lvl>
    <w:lvl w:ilvl="1" w:tplc="FFFFFFFF">
      <w:start w:val="200"/>
      <w:numFmt w:val="bullet"/>
      <w:lvlText w:val="-"/>
      <w:lvlJc w:val="left"/>
      <w:pPr>
        <w:ind w:left="1425" w:hanging="705"/>
      </w:pPr>
      <w:rPr>
        <w:rFonts w:ascii="Cambria" w:eastAsia="MS Mincho" w:hAnsi="Cambria"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D075A60"/>
    <w:multiLevelType w:val="hybridMultilevel"/>
    <w:tmpl w:val="C9D810EC"/>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DCD04FB"/>
    <w:multiLevelType w:val="hybridMultilevel"/>
    <w:tmpl w:val="9C20227C"/>
    <w:lvl w:ilvl="0" w:tplc="DCA08A26">
      <w:start w:val="1"/>
      <w:numFmt w:val="lowerLetter"/>
      <w:lvlText w:val="%1"/>
      <w:lvlJc w:val="left"/>
      <w:pPr>
        <w:ind w:left="73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FFFFFFFF">
      <w:start w:val="1"/>
      <w:numFmt w:val="lowerLetter"/>
      <w:lvlText w:val="%2."/>
      <w:lvlJc w:val="left"/>
      <w:pPr>
        <w:ind w:left="1102" w:hanging="360"/>
      </w:p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4" w15:restartNumberingAfterBreak="0">
    <w:nsid w:val="535B20A5"/>
    <w:multiLevelType w:val="hybridMultilevel"/>
    <w:tmpl w:val="3ECC6604"/>
    <w:lvl w:ilvl="0" w:tplc="2C787374">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6519CF"/>
    <w:multiLevelType w:val="multilevel"/>
    <w:tmpl w:val="43800B52"/>
    <w:lvl w:ilvl="0">
      <w:start w:val="1"/>
      <w:numFmt w:val="decimal"/>
      <w:lvlText w:val="%1."/>
      <w:lvlJc w:val="left"/>
      <w:pPr>
        <w:ind w:left="360" w:hanging="360"/>
      </w:p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E245CC9"/>
    <w:multiLevelType w:val="hybridMultilevel"/>
    <w:tmpl w:val="1E24A712"/>
    <w:lvl w:ilvl="0" w:tplc="FFFFFFFF">
      <w:start w:val="1"/>
      <w:numFmt w:val="lowerLetter"/>
      <w:lvlText w:val="%1."/>
      <w:lvlJc w:val="left"/>
      <w:pPr>
        <w:ind w:left="1080" w:hanging="360"/>
      </w:pPr>
      <w:rPr>
        <w:rFonts w:hint="default"/>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7" w15:restartNumberingAfterBreak="0">
    <w:nsid w:val="5EAA5CD2"/>
    <w:multiLevelType w:val="hybridMultilevel"/>
    <w:tmpl w:val="4F48F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CE2A1B"/>
    <w:multiLevelType w:val="multilevel"/>
    <w:tmpl w:val="40F0B456"/>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hint="default"/>
      </w:rPr>
    </w:lvl>
    <w:lvl w:ilvl="2">
      <w:start w:val="1"/>
      <w:numFmt w:val="lowerRoman"/>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667BCC"/>
    <w:multiLevelType w:val="hybridMultilevel"/>
    <w:tmpl w:val="3FA03D22"/>
    <w:lvl w:ilvl="0" w:tplc="2C787374">
      <w:start w:val="1"/>
      <w:numFmt w:val="decimal"/>
      <w:lvlText w:val="%1"/>
      <w:lvlJc w:val="left"/>
      <w:pPr>
        <w:ind w:left="6" w:hanging="360"/>
      </w:pPr>
      <w:rPr>
        <w:rFonts w:eastAsia="Times New Roman" w:hint="default"/>
      </w:r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0" w15:restartNumberingAfterBreak="0">
    <w:nsid w:val="68BF292C"/>
    <w:multiLevelType w:val="hybridMultilevel"/>
    <w:tmpl w:val="5B66C170"/>
    <w:lvl w:ilvl="0" w:tplc="9FC6041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0B28F5"/>
    <w:multiLevelType w:val="hybridMultilevel"/>
    <w:tmpl w:val="CD6425D0"/>
    <w:lvl w:ilvl="0" w:tplc="1494F37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5175AB"/>
    <w:multiLevelType w:val="hybridMultilevel"/>
    <w:tmpl w:val="4C92F1B4"/>
    <w:lvl w:ilvl="0" w:tplc="89B0C1C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F15FB"/>
    <w:multiLevelType w:val="multilevel"/>
    <w:tmpl w:val="D34242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1790F9B"/>
    <w:multiLevelType w:val="hybridMultilevel"/>
    <w:tmpl w:val="E640E20A"/>
    <w:lvl w:ilvl="0" w:tplc="B7EC7314">
      <w:start w:val="1"/>
      <w:numFmt w:val="lowerRoman"/>
      <w:lvlText w:val="%1."/>
      <w:lvlJc w:val="right"/>
      <w:pPr>
        <w:ind w:left="11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5E51F1"/>
    <w:multiLevelType w:val="hybridMultilevel"/>
    <w:tmpl w:val="94B45BEC"/>
    <w:lvl w:ilvl="0" w:tplc="DAB01B2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B2E55A4"/>
    <w:multiLevelType w:val="hybridMultilevel"/>
    <w:tmpl w:val="9A7E42EE"/>
    <w:lvl w:ilvl="0" w:tplc="CE38CCD4">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num w:numId="1" w16cid:durableId="1640377083">
    <w:abstractNumId w:val="2"/>
  </w:num>
  <w:num w:numId="2" w16cid:durableId="2126847864">
    <w:abstractNumId w:val="16"/>
  </w:num>
  <w:num w:numId="3" w16cid:durableId="1784886913">
    <w:abstractNumId w:val="5"/>
  </w:num>
  <w:num w:numId="4" w16cid:durableId="934944106">
    <w:abstractNumId w:val="12"/>
  </w:num>
  <w:num w:numId="5" w16cid:durableId="1652247127">
    <w:abstractNumId w:val="13"/>
  </w:num>
  <w:num w:numId="6" w16cid:durableId="1487208868">
    <w:abstractNumId w:val="9"/>
  </w:num>
  <w:num w:numId="7" w16cid:durableId="185680571">
    <w:abstractNumId w:val="24"/>
  </w:num>
  <w:num w:numId="8" w16cid:durableId="269239843">
    <w:abstractNumId w:val="26"/>
  </w:num>
  <w:num w:numId="9" w16cid:durableId="1337802001">
    <w:abstractNumId w:val="1"/>
  </w:num>
  <w:num w:numId="10" w16cid:durableId="112485050">
    <w:abstractNumId w:val="4"/>
  </w:num>
  <w:num w:numId="11" w16cid:durableId="1054426005">
    <w:abstractNumId w:val="21"/>
  </w:num>
  <w:num w:numId="12" w16cid:durableId="197394976">
    <w:abstractNumId w:val="17"/>
  </w:num>
  <w:num w:numId="13" w16cid:durableId="1727535053">
    <w:abstractNumId w:val="8"/>
  </w:num>
  <w:num w:numId="14" w16cid:durableId="1304578058">
    <w:abstractNumId w:val="11"/>
  </w:num>
  <w:num w:numId="15" w16cid:durableId="350961981">
    <w:abstractNumId w:val="3"/>
  </w:num>
  <w:num w:numId="16" w16cid:durableId="341780253">
    <w:abstractNumId w:val="14"/>
  </w:num>
  <w:num w:numId="17" w16cid:durableId="2079595008">
    <w:abstractNumId w:val="18"/>
  </w:num>
  <w:num w:numId="18" w16cid:durableId="212620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61338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7546563">
    <w:abstractNumId w:val="22"/>
  </w:num>
  <w:num w:numId="21" w16cid:durableId="438527418">
    <w:abstractNumId w:val="0"/>
  </w:num>
  <w:num w:numId="22" w16cid:durableId="150412762">
    <w:abstractNumId w:val="20"/>
  </w:num>
  <w:num w:numId="23" w16cid:durableId="2111466119">
    <w:abstractNumId w:val="15"/>
  </w:num>
  <w:num w:numId="24" w16cid:durableId="1495105096">
    <w:abstractNumId w:val="6"/>
  </w:num>
  <w:num w:numId="25" w16cid:durableId="1549341727">
    <w:abstractNumId w:val="25"/>
  </w:num>
  <w:num w:numId="26" w16cid:durableId="948314168">
    <w:abstractNumId w:val="10"/>
  </w:num>
  <w:num w:numId="27" w16cid:durableId="16458867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09"/>
    <w:rsid w:val="002423E1"/>
    <w:rsid w:val="00314020"/>
    <w:rsid w:val="00413DF0"/>
    <w:rsid w:val="004C3C80"/>
    <w:rsid w:val="004E6A8A"/>
    <w:rsid w:val="0052257F"/>
    <w:rsid w:val="006171E7"/>
    <w:rsid w:val="00630289"/>
    <w:rsid w:val="00B14209"/>
    <w:rsid w:val="00CB6361"/>
    <w:rsid w:val="00E76B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2361"/>
  <w15:chartTrackingRefBased/>
  <w15:docId w15:val="{77541511-7BD0-419F-B204-114A3DB0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142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14209"/>
    <w:rPr>
      <w:sz w:val="20"/>
      <w:szCs w:val="20"/>
      <w:lang w:val="en-GB"/>
    </w:rPr>
  </w:style>
  <w:style w:type="character" w:styleId="Appelnotedebasdep">
    <w:name w:val="footnote reference"/>
    <w:aliases w:val="FO,16 Point,Superscript 6 Point,ftref,footnote ref,BVI fnr, BVI fnr,fr,Ref,de nota al pie,Footnote,Char Char1,FOOTNOTES Char1,fn Char1,single space Char1,ft Char1,Fodnotetekst Tegn Char1,Footnote Text Char2 Char Char1,SUPERS"/>
    <w:basedOn w:val="Policepardfaut"/>
    <w:uiPriority w:val="99"/>
    <w:unhideWhenUsed/>
    <w:qFormat/>
    <w:rsid w:val="00B14209"/>
    <w:rPr>
      <w:sz w:val="16"/>
      <w:vertAlign w:val="superscript"/>
    </w:rPr>
  </w:style>
  <w:style w:type="character" w:styleId="Lienhypertexte">
    <w:name w:val="Hyperlink"/>
    <w:basedOn w:val="Policepardfaut"/>
    <w:uiPriority w:val="99"/>
    <w:unhideWhenUsed/>
    <w:rsid w:val="00B14209"/>
    <w:rPr>
      <w:color w:val="00B0F0"/>
      <w:u w:val="single"/>
    </w:rPr>
  </w:style>
  <w:style w:type="table" w:styleId="Grilledutableau">
    <w:name w:val="Table Grid"/>
    <w:aliases w:val="MRAG Table Style"/>
    <w:basedOn w:val="TableauNormal"/>
    <w:uiPriority w:val="59"/>
    <w:rsid w:val="00B1420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tedebasdepage"/>
    <w:qFormat/>
    <w:rsid w:val="00B14209"/>
    <w:pPr>
      <w:ind w:left="142" w:hanging="142"/>
      <w:jc w:val="both"/>
    </w:pPr>
    <w:rPr>
      <w:rFonts w:ascii="Verdana" w:hAnsi="Verdana" w:cs="Calibri Light"/>
      <w:color w:val="000000" w:themeColor="text1"/>
      <w:kern w:val="0"/>
      <w:sz w:val="16"/>
      <w:szCs w:val="16"/>
      <w14:ligatures w14:val="none"/>
    </w:rPr>
  </w:style>
  <w:style w:type="paragraph" w:styleId="En-tte">
    <w:name w:val="header"/>
    <w:basedOn w:val="Normal"/>
    <w:link w:val="En-tteCar"/>
    <w:uiPriority w:val="99"/>
    <w:unhideWhenUsed/>
    <w:rsid w:val="006171E7"/>
    <w:pPr>
      <w:tabs>
        <w:tab w:val="center" w:pos="4513"/>
        <w:tab w:val="right" w:pos="9026"/>
      </w:tabs>
      <w:spacing w:after="0" w:line="240" w:lineRule="auto"/>
    </w:pPr>
  </w:style>
  <w:style w:type="character" w:customStyle="1" w:styleId="En-tteCar">
    <w:name w:val="En-tête Car"/>
    <w:basedOn w:val="Policepardfaut"/>
    <w:link w:val="En-tte"/>
    <w:uiPriority w:val="99"/>
    <w:rsid w:val="006171E7"/>
    <w:rPr>
      <w:lang w:val="en-GB"/>
    </w:rPr>
  </w:style>
  <w:style w:type="paragraph" w:styleId="Pieddepage">
    <w:name w:val="footer"/>
    <w:basedOn w:val="Normal"/>
    <w:link w:val="PieddepageCar"/>
    <w:uiPriority w:val="99"/>
    <w:unhideWhenUsed/>
    <w:rsid w:val="006171E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171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bc1ab9a13f0bf9de/Documents/Ecofish%20PRSP/Zanzibar%20documents/Annex%204.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6279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3</cp:revision>
  <dcterms:created xsi:type="dcterms:W3CDTF">2024-03-26T04:54:00Z</dcterms:created>
  <dcterms:modified xsi:type="dcterms:W3CDTF">2024-04-04T05:59:00Z</dcterms:modified>
</cp:coreProperties>
</file>