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60" w:type="dxa"/>
        <w:tblLook w:val="04A0" w:firstRow="1" w:lastRow="0" w:firstColumn="1" w:lastColumn="0" w:noHBand="0" w:noVBand="1"/>
      </w:tblPr>
      <w:tblGrid>
        <w:gridCol w:w="7225"/>
        <w:gridCol w:w="2835"/>
      </w:tblGrid>
      <w:tr w:rsidR="00EC22CC" w:rsidRPr="00F7050A" w14:paraId="51109D41" w14:textId="77777777" w:rsidTr="001D531C">
        <w:tc>
          <w:tcPr>
            <w:tcW w:w="10060" w:type="dxa"/>
            <w:gridSpan w:val="2"/>
          </w:tcPr>
          <w:p w14:paraId="6FC76F95" w14:textId="5C5B8811" w:rsidR="00EC22CC" w:rsidRPr="00134792" w:rsidRDefault="001D531C" w:rsidP="00854EEA">
            <w:pPr>
              <w:jc w:val="center"/>
              <w:rPr>
                <w:rFonts w:ascii="Roboto" w:hAnsi="Roboto"/>
                <w:b/>
                <w:bCs/>
                <w:sz w:val="24"/>
                <w:szCs w:val="24"/>
              </w:rPr>
            </w:pPr>
            <w:r w:rsidRPr="00134792">
              <w:rPr>
                <w:rFonts w:ascii="Verdana" w:eastAsia="Times New Roman" w:hAnsi="Verdana"/>
                <w:b/>
                <w:bCs/>
                <w:sz w:val="20"/>
                <w:szCs w:val="20"/>
              </w:rPr>
              <w:t xml:space="preserve">Réduction et gestion des déchets – </w:t>
            </w:r>
            <w:r w:rsidR="00134792">
              <w:rPr>
                <w:rFonts w:ascii="Verdana" w:eastAsia="Times New Roman" w:hAnsi="Verdana"/>
                <w:b/>
                <w:bCs/>
                <w:sz w:val="20"/>
                <w:szCs w:val="20"/>
              </w:rPr>
              <w:t>P</w:t>
            </w:r>
            <w:r w:rsidRPr="00134792">
              <w:rPr>
                <w:rFonts w:ascii="Verdana" w:eastAsia="Times New Roman" w:hAnsi="Verdana"/>
                <w:b/>
                <w:bCs/>
                <w:sz w:val="20"/>
                <w:szCs w:val="20"/>
              </w:rPr>
              <w:t>rojets TWENex et ExPLOI</w:t>
            </w:r>
          </w:p>
        </w:tc>
      </w:tr>
      <w:tr w:rsidR="001D531C" w:rsidRPr="00F7050A" w14:paraId="7F1B63D2" w14:textId="77777777" w:rsidTr="001D531C">
        <w:tc>
          <w:tcPr>
            <w:tcW w:w="7225" w:type="dxa"/>
          </w:tcPr>
          <w:p w14:paraId="056D9B10" w14:textId="229483CC" w:rsidR="001D531C" w:rsidRPr="00F7050A" w:rsidRDefault="001D531C" w:rsidP="001D531C">
            <w:pPr>
              <w:rPr>
                <w:rFonts w:ascii="Roboto" w:hAnsi="Roboto"/>
                <w:sz w:val="24"/>
                <w:szCs w:val="24"/>
              </w:rPr>
            </w:pPr>
            <w:r>
              <w:rPr>
                <w:rFonts w:ascii="Verdana" w:hAnsi="Verdana"/>
                <w:sz w:val="20"/>
                <w:szCs w:val="20"/>
              </w:rPr>
              <w:t>Comité des OPL n°01/24 | 22 et 23 avril 2024</w:t>
            </w:r>
          </w:p>
        </w:tc>
        <w:tc>
          <w:tcPr>
            <w:tcW w:w="2835" w:type="dxa"/>
          </w:tcPr>
          <w:p w14:paraId="58E25D1F" w14:textId="0ABF1E93" w:rsidR="001D531C" w:rsidRPr="00F7050A" w:rsidRDefault="001D531C" w:rsidP="001D531C">
            <w:pPr>
              <w:jc w:val="center"/>
              <w:rPr>
                <w:rFonts w:ascii="Roboto" w:hAnsi="Roboto"/>
                <w:sz w:val="24"/>
                <w:szCs w:val="24"/>
              </w:rPr>
            </w:pPr>
            <w:r w:rsidRPr="00F7050A">
              <w:rPr>
                <w:rFonts w:ascii="Roboto" w:hAnsi="Roboto"/>
                <w:sz w:val="24"/>
                <w:szCs w:val="24"/>
              </w:rPr>
              <w:t xml:space="preserve">Point </w:t>
            </w:r>
            <w:r w:rsidR="003D21F8">
              <w:rPr>
                <w:rFonts w:ascii="Roboto" w:hAnsi="Roboto"/>
                <w:sz w:val="24"/>
                <w:szCs w:val="24"/>
              </w:rPr>
              <w:t>2.4</w:t>
            </w:r>
          </w:p>
        </w:tc>
      </w:tr>
      <w:tr w:rsidR="001D531C" w:rsidRPr="00F7050A" w14:paraId="537D1DE5" w14:textId="77777777" w:rsidTr="001D531C">
        <w:tc>
          <w:tcPr>
            <w:tcW w:w="7225" w:type="dxa"/>
          </w:tcPr>
          <w:p w14:paraId="43DEF09E" w14:textId="72B546C2" w:rsidR="001D531C" w:rsidRPr="00F7050A" w:rsidRDefault="001D531C" w:rsidP="001D531C">
            <w:pPr>
              <w:rPr>
                <w:rFonts w:ascii="Roboto" w:hAnsi="Roboto"/>
                <w:sz w:val="24"/>
                <w:szCs w:val="24"/>
              </w:rPr>
            </w:pPr>
            <w:r w:rsidRPr="00A148A1">
              <w:rPr>
                <w:rFonts w:ascii="Verdana" w:hAnsi="Verdana"/>
                <w:i/>
                <w:iCs/>
                <w:sz w:val="20"/>
                <w:szCs w:val="20"/>
              </w:rPr>
              <w:t>Dossier suivi par :</w:t>
            </w:r>
            <w:r>
              <w:rPr>
                <w:rFonts w:ascii="Verdana" w:hAnsi="Verdana"/>
                <w:sz w:val="20"/>
                <w:szCs w:val="20"/>
              </w:rPr>
              <w:t xml:space="preserve"> Anfani MSOILI, Chargé de mission</w:t>
            </w:r>
          </w:p>
        </w:tc>
        <w:tc>
          <w:tcPr>
            <w:tcW w:w="2835" w:type="dxa"/>
          </w:tcPr>
          <w:p w14:paraId="5AC1AFAB" w14:textId="3AD11892" w:rsidR="001D531C" w:rsidRPr="00F7050A" w:rsidRDefault="00042846" w:rsidP="001D531C">
            <w:pPr>
              <w:jc w:val="center"/>
              <w:rPr>
                <w:rFonts w:ascii="Roboto" w:hAnsi="Roboto"/>
                <w:sz w:val="24"/>
                <w:szCs w:val="24"/>
              </w:rPr>
            </w:pPr>
            <w:r>
              <w:rPr>
                <w:rFonts w:ascii="Roboto" w:hAnsi="Roboto"/>
                <w:sz w:val="24"/>
                <w:szCs w:val="24"/>
              </w:rPr>
              <w:t>Décision</w:t>
            </w:r>
          </w:p>
        </w:tc>
      </w:tr>
      <w:tr w:rsidR="001D531C" w:rsidRPr="00F7050A" w14:paraId="6896DB30" w14:textId="77777777" w:rsidTr="001D531C">
        <w:tc>
          <w:tcPr>
            <w:tcW w:w="10060" w:type="dxa"/>
            <w:gridSpan w:val="2"/>
          </w:tcPr>
          <w:p w14:paraId="0495241B" w14:textId="3B516ED2" w:rsidR="001D531C" w:rsidRPr="00F7050A" w:rsidRDefault="001D531C" w:rsidP="001D531C">
            <w:pPr>
              <w:rPr>
                <w:rFonts w:ascii="Roboto" w:hAnsi="Roboto"/>
                <w:sz w:val="24"/>
                <w:szCs w:val="24"/>
              </w:rPr>
            </w:pPr>
            <w:r w:rsidRPr="00F7050A">
              <w:rPr>
                <w:rFonts w:ascii="Roboto" w:hAnsi="Roboto"/>
                <w:i/>
                <w:iCs/>
                <w:sz w:val="24"/>
                <w:szCs w:val="24"/>
              </w:rPr>
              <w:t>Version du</w:t>
            </w:r>
            <w:r>
              <w:rPr>
                <w:rFonts w:ascii="Roboto" w:hAnsi="Roboto"/>
                <w:i/>
                <w:iCs/>
                <w:sz w:val="24"/>
                <w:szCs w:val="24"/>
              </w:rPr>
              <w:t xml:space="preserve"> 1</w:t>
            </w:r>
            <w:r w:rsidR="003D21F8" w:rsidRPr="003D21F8">
              <w:rPr>
                <w:rFonts w:ascii="Roboto" w:hAnsi="Roboto"/>
                <w:i/>
                <w:iCs/>
                <w:sz w:val="24"/>
                <w:szCs w:val="24"/>
                <w:vertAlign w:val="superscript"/>
              </w:rPr>
              <w:t>er</w:t>
            </w:r>
            <w:r w:rsidR="003D21F8">
              <w:rPr>
                <w:rFonts w:ascii="Roboto" w:hAnsi="Roboto"/>
                <w:i/>
                <w:iCs/>
                <w:sz w:val="24"/>
                <w:szCs w:val="24"/>
              </w:rPr>
              <w:t xml:space="preserve"> </w:t>
            </w:r>
            <w:r>
              <w:rPr>
                <w:rFonts w:ascii="Roboto" w:hAnsi="Roboto"/>
                <w:i/>
                <w:iCs/>
                <w:sz w:val="24"/>
                <w:szCs w:val="24"/>
              </w:rPr>
              <w:t>avril 2024</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p w14:paraId="3D01EB40" w14:textId="2FD7A3A4" w:rsidR="001D531C" w:rsidRPr="00042846" w:rsidRDefault="00C91BD0" w:rsidP="00A06670">
      <w:pPr>
        <w:pStyle w:val="Titrepartie"/>
        <w:rPr>
          <w:sz w:val="20"/>
        </w:rPr>
      </w:pPr>
      <w:r w:rsidRPr="00042846">
        <w:rPr>
          <w:sz w:val="20"/>
        </w:rPr>
        <w:t>Présentation générale</w:t>
      </w:r>
      <w:r w:rsidR="001D531C" w:rsidRPr="00042846">
        <w:rPr>
          <w:sz w:val="20"/>
        </w:rPr>
        <w:t xml:space="preserve"> </w:t>
      </w:r>
    </w:p>
    <w:p w14:paraId="03E844F8" w14:textId="77777777" w:rsidR="00015AB8" w:rsidRPr="00042846" w:rsidRDefault="00015AB8" w:rsidP="007C4850">
      <w:pPr>
        <w:pStyle w:val="Titrepartie"/>
        <w:numPr>
          <w:ilvl w:val="0"/>
          <w:numId w:val="0"/>
        </w:numPr>
        <w:ind w:left="360"/>
        <w:rPr>
          <w:rFonts w:cstheme="minorBidi"/>
          <w:b w:val="0"/>
          <w:bCs w:val="0"/>
          <w:color w:val="auto"/>
          <w:sz w:val="20"/>
        </w:rPr>
      </w:pPr>
    </w:p>
    <w:p w14:paraId="7B555E05" w14:textId="32233EFC" w:rsidR="007C4850" w:rsidRPr="00042846" w:rsidRDefault="00A06670" w:rsidP="00A06670">
      <w:pPr>
        <w:pStyle w:val="Titrepartie"/>
        <w:numPr>
          <w:ilvl w:val="0"/>
          <w:numId w:val="0"/>
        </w:numPr>
        <w:ind w:left="360"/>
        <w:rPr>
          <w:rFonts w:cstheme="minorBidi"/>
          <w:b w:val="0"/>
          <w:bCs w:val="0"/>
          <w:color w:val="auto"/>
          <w:sz w:val="20"/>
        </w:rPr>
      </w:pPr>
      <w:r w:rsidRPr="00042846">
        <w:rPr>
          <w:rFonts w:cstheme="minorBidi"/>
          <w:b w:val="0"/>
          <w:bCs w:val="0"/>
          <w:color w:val="auto"/>
          <w:sz w:val="20"/>
        </w:rPr>
        <w:t>L</w:t>
      </w:r>
      <w:r w:rsidR="0076047F" w:rsidRPr="00042846">
        <w:rPr>
          <w:rFonts w:cstheme="minorBidi"/>
          <w:b w:val="0"/>
          <w:bCs w:val="0"/>
          <w:color w:val="auto"/>
          <w:sz w:val="20"/>
        </w:rPr>
        <w:t xml:space="preserve">e </w:t>
      </w:r>
      <w:r w:rsidRPr="00042846">
        <w:rPr>
          <w:rFonts w:cstheme="minorBidi"/>
          <w:b w:val="0"/>
          <w:bCs w:val="0"/>
          <w:color w:val="auto"/>
          <w:sz w:val="20"/>
        </w:rPr>
        <w:t>S</w:t>
      </w:r>
      <w:r w:rsidR="0076047F" w:rsidRPr="00042846">
        <w:rPr>
          <w:rFonts w:cstheme="minorBidi"/>
          <w:b w:val="0"/>
          <w:bCs w:val="0"/>
          <w:color w:val="auto"/>
          <w:sz w:val="20"/>
        </w:rPr>
        <w:t>ecrétariat général de la COI s’est doté d’un document cadre stratégique, le Plan de Développement Stratégique</w:t>
      </w:r>
      <w:r w:rsidR="00015AB8" w:rsidRPr="00042846">
        <w:rPr>
          <w:rFonts w:cstheme="minorBidi"/>
          <w:b w:val="0"/>
          <w:bCs w:val="0"/>
          <w:color w:val="auto"/>
          <w:sz w:val="20"/>
        </w:rPr>
        <w:t xml:space="preserve"> 2022-2033</w:t>
      </w:r>
      <w:r w:rsidR="0076047F" w:rsidRPr="00042846">
        <w:rPr>
          <w:rFonts w:cstheme="minorBidi"/>
          <w:b w:val="0"/>
          <w:bCs w:val="0"/>
          <w:color w:val="auto"/>
          <w:sz w:val="20"/>
        </w:rPr>
        <w:t xml:space="preserve"> (PDS), dans une dynamique d’action collective devant permettre aux Etats membres de relever les défis du développement.</w:t>
      </w:r>
      <w:r w:rsidRPr="00042846">
        <w:rPr>
          <w:rFonts w:cstheme="minorBidi"/>
          <w:b w:val="0"/>
          <w:bCs w:val="0"/>
          <w:color w:val="auto"/>
          <w:sz w:val="20"/>
        </w:rPr>
        <w:t xml:space="preserve"> L</w:t>
      </w:r>
      <w:r w:rsidR="00CD7C2F" w:rsidRPr="00042846">
        <w:rPr>
          <w:rFonts w:cstheme="minorBidi"/>
          <w:b w:val="0"/>
          <w:bCs w:val="0"/>
          <w:color w:val="auto"/>
          <w:sz w:val="20"/>
        </w:rPr>
        <w:t xml:space="preserve">’axe 1 </w:t>
      </w:r>
      <w:r w:rsidR="00CD7C2F" w:rsidRPr="00042846">
        <w:rPr>
          <w:rFonts w:cstheme="minorBidi"/>
          <w:b w:val="0"/>
          <w:bCs w:val="0"/>
          <w:i/>
          <w:iCs/>
          <w:color w:val="auto"/>
          <w:sz w:val="20"/>
        </w:rPr>
        <w:t xml:space="preserve">« Une </w:t>
      </w:r>
      <w:r w:rsidRPr="00042846">
        <w:rPr>
          <w:rFonts w:cstheme="minorBidi"/>
          <w:b w:val="0"/>
          <w:bCs w:val="0"/>
          <w:i/>
          <w:iCs/>
          <w:color w:val="auto"/>
          <w:sz w:val="20"/>
        </w:rPr>
        <w:t>Indianocéanie</w:t>
      </w:r>
      <w:r w:rsidR="00CD7C2F" w:rsidRPr="00042846">
        <w:rPr>
          <w:rFonts w:cstheme="minorBidi"/>
          <w:b w:val="0"/>
          <w:bCs w:val="0"/>
          <w:i/>
          <w:iCs/>
          <w:color w:val="auto"/>
          <w:sz w:val="20"/>
        </w:rPr>
        <w:t xml:space="preserve"> de résilience, de paix et de solidarité </w:t>
      </w:r>
      <w:r w:rsidR="00CD7C2F" w:rsidRPr="00042846">
        <w:rPr>
          <w:rFonts w:cstheme="minorBidi"/>
          <w:b w:val="0"/>
          <w:bCs w:val="0"/>
          <w:color w:val="auto"/>
          <w:sz w:val="20"/>
        </w:rPr>
        <w:t xml:space="preserve">», </w:t>
      </w:r>
      <w:r w:rsidRPr="00042846">
        <w:rPr>
          <w:rFonts w:cstheme="minorBidi"/>
          <w:b w:val="0"/>
          <w:bCs w:val="0"/>
          <w:color w:val="auto"/>
          <w:sz w:val="20"/>
        </w:rPr>
        <w:t>vise à</w:t>
      </w:r>
      <w:r w:rsidR="00CD7C2F" w:rsidRPr="00042846">
        <w:rPr>
          <w:rFonts w:cstheme="minorBidi"/>
          <w:b w:val="0"/>
          <w:bCs w:val="0"/>
          <w:color w:val="auto"/>
          <w:sz w:val="20"/>
        </w:rPr>
        <w:t xml:space="preserve"> œuvrer à la résilience des populations et des écosystèmes en promouvant les biens publics régionaux</w:t>
      </w:r>
      <w:r w:rsidR="00C16FA7" w:rsidRPr="00042846">
        <w:rPr>
          <w:rFonts w:cstheme="minorBidi"/>
          <w:b w:val="0"/>
          <w:bCs w:val="0"/>
          <w:color w:val="auto"/>
          <w:sz w:val="20"/>
        </w:rPr>
        <w:t xml:space="preserve"> et </w:t>
      </w:r>
      <w:r w:rsidRPr="00042846">
        <w:rPr>
          <w:rFonts w:cstheme="minorBidi"/>
          <w:b w:val="0"/>
          <w:bCs w:val="0"/>
          <w:color w:val="auto"/>
          <w:sz w:val="20"/>
        </w:rPr>
        <w:t xml:space="preserve">à </w:t>
      </w:r>
      <w:r w:rsidR="00C16FA7" w:rsidRPr="00042846">
        <w:rPr>
          <w:rFonts w:cstheme="minorBidi"/>
          <w:b w:val="0"/>
          <w:bCs w:val="0"/>
          <w:color w:val="auto"/>
          <w:sz w:val="20"/>
        </w:rPr>
        <w:t>promouvoir une gestion responsable des écosystèmes et des ressources naturelles.</w:t>
      </w:r>
      <w:r w:rsidRPr="00042846">
        <w:rPr>
          <w:rFonts w:cstheme="minorBidi"/>
          <w:b w:val="0"/>
          <w:bCs w:val="0"/>
          <w:color w:val="auto"/>
          <w:sz w:val="20"/>
        </w:rPr>
        <w:t xml:space="preserve"> La lutte contre la pollution plastique, qui donne lieu à une de nombreux acteurs publics et privés, s’inscrit dans cet axe stratégique avec une focale sur la prévention et la réduction de la pollution plastique marine. Et pour cause : </w:t>
      </w:r>
      <w:r w:rsidR="007C4850" w:rsidRPr="00042846">
        <w:rPr>
          <w:rFonts w:cstheme="minorBidi"/>
          <w:b w:val="0"/>
          <w:bCs w:val="0"/>
          <w:color w:val="auto"/>
          <w:sz w:val="20"/>
        </w:rPr>
        <w:t>80% de</w:t>
      </w:r>
      <w:r w:rsidRPr="00042846">
        <w:rPr>
          <w:rFonts w:cstheme="minorBidi"/>
          <w:b w:val="0"/>
          <w:bCs w:val="0"/>
          <w:color w:val="auto"/>
          <w:sz w:val="20"/>
        </w:rPr>
        <w:t>s</w:t>
      </w:r>
      <w:r w:rsidR="007C4850" w:rsidRPr="00042846">
        <w:rPr>
          <w:rFonts w:cstheme="minorBidi"/>
          <w:b w:val="0"/>
          <w:bCs w:val="0"/>
          <w:color w:val="auto"/>
          <w:sz w:val="20"/>
        </w:rPr>
        <w:t xml:space="preserve"> déchets plastiques en mer proviennent de déchets générés à terre</w:t>
      </w:r>
      <w:r w:rsidR="00C16FA7" w:rsidRPr="00042846">
        <w:rPr>
          <w:rFonts w:cstheme="minorBidi"/>
          <w:b w:val="0"/>
          <w:bCs w:val="0"/>
          <w:color w:val="auto"/>
          <w:sz w:val="20"/>
        </w:rPr>
        <w:t xml:space="preserve"> par l’action humaine</w:t>
      </w:r>
      <w:r w:rsidR="007C4850" w:rsidRPr="00042846">
        <w:rPr>
          <w:rFonts w:cstheme="minorBidi"/>
          <w:b w:val="0"/>
          <w:bCs w:val="0"/>
          <w:color w:val="auto"/>
          <w:sz w:val="20"/>
        </w:rPr>
        <w:t xml:space="preserve">. Aujourd'hui, 8 à 15 millions de tonnes de plastiques sont déversées chaque année dans les océans sans que les conséquences directes de cette pollution sur la biodiversité marine et la chaîne trophique, ou indirectes sur la santé des animaux marins et des humains, ne soient </w:t>
      </w:r>
      <w:r w:rsidRPr="00042846">
        <w:rPr>
          <w:rFonts w:cstheme="minorBidi"/>
          <w:b w:val="0"/>
          <w:bCs w:val="0"/>
          <w:color w:val="auto"/>
          <w:sz w:val="20"/>
        </w:rPr>
        <w:t>pleinement</w:t>
      </w:r>
      <w:r w:rsidR="007C4850" w:rsidRPr="00042846">
        <w:rPr>
          <w:rFonts w:cstheme="minorBidi"/>
          <w:b w:val="0"/>
          <w:bCs w:val="0"/>
          <w:color w:val="auto"/>
          <w:sz w:val="20"/>
        </w:rPr>
        <w:t xml:space="preserve"> évaluées. </w:t>
      </w:r>
    </w:p>
    <w:p w14:paraId="2E11C8E9" w14:textId="77777777" w:rsidR="007C4850" w:rsidRPr="00042846" w:rsidRDefault="007C4850" w:rsidP="007C4850">
      <w:pPr>
        <w:pStyle w:val="Titrepartie"/>
        <w:numPr>
          <w:ilvl w:val="0"/>
          <w:numId w:val="0"/>
        </w:numPr>
        <w:ind w:left="360"/>
        <w:rPr>
          <w:rFonts w:cstheme="minorBidi"/>
          <w:b w:val="0"/>
          <w:bCs w:val="0"/>
          <w:color w:val="auto"/>
          <w:sz w:val="20"/>
        </w:rPr>
      </w:pPr>
    </w:p>
    <w:p w14:paraId="45DEF492" w14:textId="12E47CE1" w:rsidR="0022414F" w:rsidRPr="00042846" w:rsidRDefault="007C4850" w:rsidP="00C16FA7">
      <w:pPr>
        <w:pStyle w:val="Titrepartie"/>
        <w:numPr>
          <w:ilvl w:val="0"/>
          <w:numId w:val="0"/>
        </w:numPr>
        <w:ind w:left="360"/>
        <w:rPr>
          <w:rFonts w:cstheme="minorBidi"/>
          <w:b w:val="0"/>
          <w:bCs w:val="0"/>
          <w:color w:val="auto"/>
          <w:sz w:val="20"/>
        </w:rPr>
      </w:pPr>
      <w:r w:rsidRPr="00042846">
        <w:rPr>
          <w:rFonts w:cstheme="minorBidi"/>
          <w:b w:val="0"/>
          <w:bCs w:val="0"/>
          <w:color w:val="auto"/>
          <w:sz w:val="20"/>
        </w:rPr>
        <w:t xml:space="preserve">Le Secrétariat général bénéficie de l’intérêt renouvelé </w:t>
      </w:r>
      <w:r w:rsidR="00A06670" w:rsidRPr="00042846">
        <w:rPr>
          <w:rFonts w:cstheme="minorBidi"/>
          <w:b w:val="0"/>
          <w:bCs w:val="0"/>
          <w:color w:val="auto"/>
          <w:sz w:val="20"/>
        </w:rPr>
        <w:t>de ses</w:t>
      </w:r>
      <w:r w:rsidR="00C16FA7" w:rsidRPr="00042846">
        <w:rPr>
          <w:rFonts w:cstheme="minorBidi"/>
          <w:b w:val="0"/>
          <w:bCs w:val="0"/>
          <w:color w:val="auto"/>
          <w:sz w:val="20"/>
        </w:rPr>
        <w:t xml:space="preserve"> partenaires financiers comme l’AFD</w:t>
      </w:r>
      <w:r w:rsidRPr="00042846">
        <w:rPr>
          <w:rFonts w:cstheme="minorBidi"/>
          <w:b w:val="0"/>
          <w:bCs w:val="0"/>
          <w:color w:val="auto"/>
          <w:sz w:val="20"/>
        </w:rPr>
        <w:t xml:space="preserve"> et </w:t>
      </w:r>
      <w:r w:rsidR="00C16FA7" w:rsidRPr="00042846">
        <w:rPr>
          <w:rFonts w:cstheme="minorBidi"/>
          <w:b w:val="0"/>
          <w:bCs w:val="0"/>
          <w:color w:val="auto"/>
          <w:sz w:val="20"/>
        </w:rPr>
        <w:t>le</w:t>
      </w:r>
      <w:r w:rsidRPr="00042846">
        <w:rPr>
          <w:rFonts w:cstheme="minorBidi"/>
          <w:b w:val="0"/>
          <w:bCs w:val="0"/>
          <w:color w:val="auto"/>
          <w:sz w:val="20"/>
        </w:rPr>
        <w:t xml:space="preserve"> FFEM pour mettre</w:t>
      </w:r>
      <w:r w:rsidR="00C16FA7" w:rsidRPr="00042846">
        <w:rPr>
          <w:rFonts w:cstheme="minorBidi"/>
          <w:b w:val="0"/>
          <w:bCs w:val="0"/>
          <w:color w:val="auto"/>
          <w:sz w:val="20"/>
        </w:rPr>
        <w:t xml:space="preserve"> accompagner la mise</w:t>
      </w:r>
      <w:r w:rsidRPr="00042846">
        <w:rPr>
          <w:rFonts w:cstheme="minorBidi"/>
          <w:b w:val="0"/>
          <w:bCs w:val="0"/>
          <w:color w:val="auto"/>
          <w:sz w:val="20"/>
        </w:rPr>
        <w:t xml:space="preserve"> en œuvre </w:t>
      </w:r>
      <w:r w:rsidR="00C16FA7" w:rsidRPr="00042846">
        <w:rPr>
          <w:rFonts w:cstheme="minorBidi"/>
          <w:b w:val="0"/>
          <w:bCs w:val="0"/>
          <w:color w:val="auto"/>
          <w:sz w:val="20"/>
        </w:rPr>
        <w:t>d</w:t>
      </w:r>
      <w:r w:rsidRPr="00042846">
        <w:rPr>
          <w:rFonts w:cstheme="minorBidi"/>
          <w:b w:val="0"/>
          <w:bCs w:val="0"/>
          <w:color w:val="auto"/>
          <w:sz w:val="20"/>
        </w:rPr>
        <w:t>es décisions des 30</w:t>
      </w:r>
      <w:r w:rsidR="00C16FA7" w:rsidRPr="00042846">
        <w:rPr>
          <w:rFonts w:cstheme="minorBidi"/>
          <w:b w:val="0"/>
          <w:bCs w:val="0"/>
          <w:color w:val="auto"/>
          <w:sz w:val="20"/>
          <w:vertAlign w:val="superscript"/>
        </w:rPr>
        <w:t>ème</w:t>
      </w:r>
      <w:r w:rsidR="00C16FA7" w:rsidRPr="00042846">
        <w:rPr>
          <w:rFonts w:cstheme="minorBidi"/>
          <w:b w:val="0"/>
          <w:bCs w:val="0"/>
          <w:color w:val="auto"/>
          <w:sz w:val="20"/>
        </w:rPr>
        <w:t xml:space="preserve"> et</w:t>
      </w:r>
      <w:r w:rsidRPr="00042846">
        <w:rPr>
          <w:rFonts w:cstheme="minorBidi"/>
          <w:b w:val="0"/>
          <w:bCs w:val="0"/>
          <w:color w:val="auto"/>
          <w:sz w:val="20"/>
        </w:rPr>
        <w:t xml:space="preserve"> 32</w:t>
      </w:r>
      <w:r w:rsidR="00C16FA7" w:rsidRPr="00042846">
        <w:rPr>
          <w:rFonts w:cstheme="minorBidi"/>
          <w:b w:val="0"/>
          <w:bCs w:val="0"/>
          <w:color w:val="auto"/>
          <w:sz w:val="20"/>
          <w:vertAlign w:val="superscript"/>
        </w:rPr>
        <w:t>ème</w:t>
      </w:r>
      <w:r w:rsidR="00C16FA7" w:rsidRPr="00042846">
        <w:rPr>
          <w:rFonts w:cstheme="minorBidi"/>
          <w:b w:val="0"/>
          <w:bCs w:val="0"/>
          <w:color w:val="auto"/>
          <w:sz w:val="20"/>
        </w:rPr>
        <w:t xml:space="preserve"> Conseil</w:t>
      </w:r>
      <w:r w:rsidRPr="00042846">
        <w:rPr>
          <w:rFonts w:cstheme="minorBidi"/>
          <w:b w:val="0"/>
          <w:bCs w:val="0"/>
          <w:color w:val="auto"/>
          <w:sz w:val="20"/>
        </w:rPr>
        <w:t xml:space="preserve"> des ministres de la COI concernant la gestion et la valorisation des déchets dans les pays de la COI.</w:t>
      </w:r>
      <w:r w:rsidR="00C16FA7" w:rsidRPr="00042846">
        <w:rPr>
          <w:rFonts w:cstheme="minorBidi"/>
          <w:b w:val="0"/>
          <w:bCs w:val="0"/>
          <w:color w:val="auto"/>
          <w:sz w:val="20"/>
        </w:rPr>
        <w:t xml:space="preserve"> </w:t>
      </w:r>
    </w:p>
    <w:p w14:paraId="1E214BDD" w14:textId="77777777" w:rsidR="0022414F" w:rsidRPr="00042846" w:rsidRDefault="0022414F" w:rsidP="00C16FA7">
      <w:pPr>
        <w:pStyle w:val="Titrepartie"/>
        <w:numPr>
          <w:ilvl w:val="0"/>
          <w:numId w:val="0"/>
        </w:numPr>
        <w:ind w:left="360"/>
        <w:rPr>
          <w:rFonts w:cstheme="minorBidi"/>
          <w:b w:val="0"/>
          <w:bCs w:val="0"/>
          <w:color w:val="auto"/>
          <w:sz w:val="20"/>
        </w:rPr>
      </w:pPr>
    </w:p>
    <w:p w14:paraId="04B60B8F" w14:textId="15594E66" w:rsidR="007C4850" w:rsidRPr="00042846" w:rsidRDefault="007C4850" w:rsidP="00C16FA7">
      <w:pPr>
        <w:pStyle w:val="Titrepartie"/>
        <w:numPr>
          <w:ilvl w:val="0"/>
          <w:numId w:val="0"/>
        </w:numPr>
        <w:ind w:left="360"/>
        <w:rPr>
          <w:rFonts w:cstheme="minorBidi"/>
          <w:b w:val="0"/>
          <w:bCs w:val="0"/>
          <w:color w:val="auto"/>
          <w:sz w:val="20"/>
        </w:rPr>
      </w:pPr>
      <w:r w:rsidRPr="00042846">
        <w:rPr>
          <w:rFonts w:cstheme="minorBidi"/>
          <w:b w:val="0"/>
          <w:bCs w:val="0"/>
          <w:color w:val="auto"/>
          <w:sz w:val="20"/>
        </w:rPr>
        <w:t xml:space="preserve">Les actions entreprises par le Secrétariat concernent </w:t>
      </w:r>
      <w:r w:rsidR="00C16FA7" w:rsidRPr="00042846">
        <w:rPr>
          <w:rFonts w:cstheme="minorBidi"/>
          <w:b w:val="0"/>
          <w:bCs w:val="0"/>
          <w:color w:val="auto"/>
          <w:sz w:val="20"/>
        </w:rPr>
        <w:t>notamment</w:t>
      </w:r>
      <w:r w:rsidRPr="00042846">
        <w:rPr>
          <w:rFonts w:cstheme="minorBidi"/>
          <w:b w:val="0"/>
          <w:bCs w:val="0"/>
          <w:color w:val="auto"/>
          <w:sz w:val="20"/>
        </w:rPr>
        <w:t xml:space="preserve"> : </w:t>
      </w:r>
    </w:p>
    <w:p w14:paraId="23B12231" w14:textId="1C4F4B7E" w:rsidR="00C16FA7" w:rsidRPr="00042846" w:rsidRDefault="00C16FA7" w:rsidP="00C16FA7">
      <w:pPr>
        <w:pStyle w:val="Titrepartie"/>
        <w:numPr>
          <w:ilvl w:val="0"/>
          <w:numId w:val="27"/>
        </w:numPr>
        <w:rPr>
          <w:rFonts w:cstheme="minorBidi"/>
          <w:b w:val="0"/>
          <w:bCs w:val="0"/>
          <w:color w:val="auto"/>
          <w:sz w:val="20"/>
        </w:rPr>
      </w:pPr>
      <w:r w:rsidRPr="00042846">
        <w:rPr>
          <w:rFonts w:cstheme="minorBidi"/>
          <w:b w:val="0"/>
          <w:bCs w:val="0"/>
          <w:color w:val="auto"/>
          <w:sz w:val="20"/>
        </w:rPr>
        <w:t>Le diagnostic pour une gestion optimisée des déchets dans l’OI (2013-2014)</w:t>
      </w:r>
    </w:p>
    <w:p w14:paraId="3B0A92CE" w14:textId="0CE9BD6F" w:rsidR="007C4850" w:rsidRPr="00042846" w:rsidRDefault="007C4850" w:rsidP="00C16FA7">
      <w:pPr>
        <w:pStyle w:val="Titrepartie"/>
        <w:numPr>
          <w:ilvl w:val="0"/>
          <w:numId w:val="27"/>
        </w:numPr>
        <w:rPr>
          <w:rFonts w:cstheme="minorBidi"/>
          <w:b w:val="0"/>
          <w:bCs w:val="0"/>
          <w:color w:val="auto"/>
          <w:sz w:val="20"/>
        </w:rPr>
      </w:pPr>
      <w:r w:rsidRPr="00042846">
        <w:rPr>
          <w:rFonts w:cstheme="minorBidi"/>
          <w:b w:val="0"/>
          <w:bCs w:val="0"/>
          <w:color w:val="auto"/>
          <w:sz w:val="20"/>
        </w:rPr>
        <w:t>La mise en place du plan d’action régional de gestion et valorisation des déchets dans les pays de la COI</w:t>
      </w:r>
      <w:r w:rsidR="00C16FA7" w:rsidRPr="00042846">
        <w:rPr>
          <w:rFonts w:cstheme="minorBidi"/>
          <w:b w:val="0"/>
          <w:bCs w:val="0"/>
          <w:color w:val="auto"/>
          <w:sz w:val="20"/>
        </w:rPr>
        <w:t xml:space="preserve"> (2018-2019)</w:t>
      </w:r>
      <w:r w:rsidRPr="00042846">
        <w:rPr>
          <w:rFonts w:cstheme="minorBidi"/>
          <w:b w:val="0"/>
          <w:bCs w:val="0"/>
          <w:color w:val="auto"/>
          <w:sz w:val="20"/>
        </w:rPr>
        <w:t xml:space="preserve">. </w:t>
      </w:r>
    </w:p>
    <w:p w14:paraId="4CDD5467" w14:textId="62978E71" w:rsidR="0022414F" w:rsidRPr="00042846" w:rsidRDefault="007C4850" w:rsidP="0022414F">
      <w:pPr>
        <w:pStyle w:val="Titrepartie"/>
        <w:numPr>
          <w:ilvl w:val="0"/>
          <w:numId w:val="27"/>
        </w:numPr>
        <w:rPr>
          <w:rFonts w:cstheme="minorBidi"/>
          <w:b w:val="0"/>
          <w:bCs w:val="0"/>
          <w:color w:val="auto"/>
          <w:sz w:val="20"/>
        </w:rPr>
      </w:pPr>
      <w:r w:rsidRPr="00042846">
        <w:rPr>
          <w:rFonts w:cstheme="minorBidi"/>
          <w:b w:val="0"/>
          <w:bCs w:val="0"/>
          <w:color w:val="auto"/>
          <w:sz w:val="20"/>
        </w:rPr>
        <w:t xml:space="preserve">La mise en œuvre de trois projets qui traitent de la problématique </w:t>
      </w:r>
      <w:r w:rsidR="0022414F" w:rsidRPr="00042846">
        <w:rPr>
          <w:rFonts w:cstheme="minorBidi"/>
          <w:b w:val="0"/>
          <w:bCs w:val="0"/>
          <w:color w:val="auto"/>
          <w:sz w:val="20"/>
        </w:rPr>
        <w:t xml:space="preserve">de la gestion et la valorisation des déchets, à savoir : </w:t>
      </w:r>
    </w:p>
    <w:p w14:paraId="60B188CA" w14:textId="77777777" w:rsidR="0022414F" w:rsidRPr="00042846" w:rsidRDefault="0022414F" w:rsidP="0022414F">
      <w:pPr>
        <w:pStyle w:val="Titrepartie"/>
        <w:numPr>
          <w:ilvl w:val="0"/>
          <w:numId w:val="28"/>
        </w:numPr>
        <w:rPr>
          <w:rFonts w:cstheme="minorBidi"/>
          <w:b w:val="0"/>
          <w:bCs w:val="0"/>
          <w:color w:val="auto"/>
          <w:sz w:val="20"/>
        </w:rPr>
      </w:pPr>
      <w:r w:rsidRPr="00042846">
        <w:rPr>
          <w:rFonts w:cstheme="minorBidi"/>
          <w:b w:val="0"/>
          <w:bCs w:val="0"/>
          <w:color w:val="auto"/>
          <w:sz w:val="20"/>
        </w:rPr>
        <w:t>le</w:t>
      </w:r>
      <w:r w:rsidR="007C4850" w:rsidRPr="00042846">
        <w:rPr>
          <w:rFonts w:cstheme="minorBidi"/>
          <w:b w:val="0"/>
          <w:bCs w:val="0"/>
          <w:color w:val="auto"/>
          <w:sz w:val="20"/>
        </w:rPr>
        <w:t xml:space="preserve"> projet EXPLOI sur financement de l’AFD et du FFEM à hauteur de 6.5M € qui se focalise sur la réduction de l’utilisation des plastiques par l’innovation, la recherche et l’éducation ;</w:t>
      </w:r>
    </w:p>
    <w:p w14:paraId="591C19BA" w14:textId="77777777" w:rsidR="0022414F" w:rsidRPr="00042846" w:rsidRDefault="007C4850" w:rsidP="0022414F">
      <w:pPr>
        <w:pStyle w:val="Titrepartie"/>
        <w:numPr>
          <w:ilvl w:val="0"/>
          <w:numId w:val="28"/>
        </w:numPr>
        <w:rPr>
          <w:rFonts w:cstheme="minorBidi"/>
          <w:b w:val="0"/>
          <w:bCs w:val="0"/>
          <w:color w:val="auto"/>
          <w:sz w:val="20"/>
        </w:rPr>
      </w:pPr>
      <w:r w:rsidRPr="00042846">
        <w:rPr>
          <w:rFonts w:cstheme="minorBidi"/>
          <w:b w:val="0"/>
          <w:bCs w:val="0"/>
          <w:color w:val="auto"/>
          <w:sz w:val="20"/>
        </w:rPr>
        <w:t xml:space="preserve"> le projet TWENex qui est axé sur la transformation de déchets en énergie sur financement de l’Union européenne à travers le programme R&amp;I de l’OEACP ; </w:t>
      </w:r>
    </w:p>
    <w:p w14:paraId="56CCD7E1" w14:textId="15D9A1AD" w:rsidR="007C4850" w:rsidRPr="00042846" w:rsidRDefault="007C4850" w:rsidP="0022414F">
      <w:pPr>
        <w:pStyle w:val="Titrepartie"/>
        <w:numPr>
          <w:ilvl w:val="0"/>
          <w:numId w:val="28"/>
        </w:numPr>
        <w:rPr>
          <w:rFonts w:cstheme="minorBidi"/>
          <w:b w:val="0"/>
          <w:bCs w:val="0"/>
          <w:color w:val="auto"/>
          <w:sz w:val="20"/>
        </w:rPr>
      </w:pPr>
      <w:r w:rsidRPr="00042846">
        <w:rPr>
          <w:rFonts w:cstheme="minorBidi"/>
          <w:b w:val="0"/>
          <w:bCs w:val="0"/>
          <w:color w:val="auto"/>
          <w:sz w:val="20"/>
        </w:rPr>
        <w:t>et la composante AIODIS du projet SWIOFISH focalisé sur l’économie circulaire sur financement de la Banque mondiale.</w:t>
      </w:r>
    </w:p>
    <w:p w14:paraId="06B0572B" w14:textId="77777777" w:rsidR="001D531C" w:rsidRPr="00042846" w:rsidRDefault="001D531C" w:rsidP="007C4850">
      <w:pPr>
        <w:pStyle w:val="Titrepartie"/>
        <w:numPr>
          <w:ilvl w:val="0"/>
          <w:numId w:val="0"/>
        </w:numPr>
        <w:rPr>
          <w:sz w:val="20"/>
        </w:rPr>
      </w:pPr>
    </w:p>
    <w:p w14:paraId="7061220B" w14:textId="77777777" w:rsidR="00A06670" w:rsidRPr="00042846" w:rsidRDefault="00A06670" w:rsidP="007C4850">
      <w:pPr>
        <w:pStyle w:val="Titrepartie"/>
        <w:numPr>
          <w:ilvl w:val="0"/>
          <w:numId w:val="0"/>
        </w:numPr>
        <w:rPr>
          <w:sz w:val="20"/>
        </w:rPr>
      </w:pPr>
    </w:p>
    <w:p w14:paraId="678F0DFC" w14:textId="4E2CB59B" w:rsidR="00854EEA" w:rsidRPr="00042846" w:rsidRDefault="001D531C" w:rsidP="00A06670">
      <w:pPr>
        <w:pStyle w:val="Titrepartie"/>
        <w:rPr>
          <w:sz w:val="20"/>
        </w:rPr>
      </w:pPr>
      <w:r w:rsidRPr="00042846">
        <w:rPr>
          <w:sz w:val="20"/>
        </w:rPr>
        <w:t xml:space="preserve">Le projet </w:t>
      </w:r>
      <w:proofErr w:type="spellStart"/>
      <w:r w:rsidRPr="00042846">
        <w:rPr>
          <w:sz w:val="20"/>
        </w:rPr>
        <w:t>TWENEx</w:t>
      </w:r>
      <w:proofErr w:type="spellEnd"/>
    </w:p>
    <w:p w14:paraId="36ACBF01" w14:textId="6BDB9CAF" w:rsidR="00F7050A" w:rsidRPr="00042846" w:rsidRDefault="00F7050A" w:rsidP="00F7050A">
      <w:pPr>
        <w:spacing w:after="0" w:line="246" w:lineRule="auto"/>
        <w:ind w:right="11"/>
        <w:jc w:val="both"/>
        <w:rPr>
          <w:rFonts w:ascii="Verdana" w:eastAsia="Roboto" w:hAnsi="Verdana"/>
          <w:sz w:val="20"/>
          <w:szCs w:val="20"/>
        </w:rPr>
      </w:pPr>
      <w:r w:rsidRPr="00042846">
        <w:rPr>
          <w:rFonts w:ascii="Verdana" w:hAnsi="Verdana"/>
          <w:sz w:val="20"/>
          <w:szCs w:val="20"/>
        </w:rPr>
        <w:t>Le projet TWENex (</w:t>
      </w:r>
      <w:proofErr w:type="spellStart"/>
      <w:r w:rsidRPr="00042846">
        <w:rPr>
          <w:rFonts w:ascii="Verdana" w:hAnsi="Verdana"/>
          <w:sz w:val="20"/>
          <w:szCs w:val="20"/>
        </w:rPr>
        <w:t>Towards</w:t>
      </w:r>
      <w:proofErr w:type="spellEnd"/>
      <w:r w:rsidRPr="00042846">
        <w:rPr>
          <w:rFonts w:ascii="Verdana" w:hAnsi="Verdana"/>
          <w:sz w:val="20"/>
          <w:szCs w:val="20"/>
        </w:rPr>
        <w:t xml:space="preserve"> Waste to Energy Nexus) émane du programme R</w:t>
      </w:r>
      <w:r w:rsidR="00CA419D" w:rsidRPr="00042846">
        <w:rPr>
          <w:rFonts w:ascii="Verdana" w:hAnsi="Verdana"/>
          <w:sz w:val="20"/>
          <w:szCs w:val="20"/>
        </w:rPr>
        <w:t xml:space="preserve">echerche </w:t>
      </w:r>
      <w:r w:rsidRPr="00042846">
        <w:rPr>
          <w:rFonts w:ascii="Verdana" w:hAnsi="Verdana"/>
          <w:sz w:val="20"/>
          <w:szCs w:val="20"/>
        </w:rPr>
        <w:t>&amp;</w:t>
      </w:r>
      <w:r w:rsidR="00CA419D" w:rsidRPr="00042846">
        <w:rPr>
          <w:rFonts w:ascii="Verdana" w:hAnsi="Verdana"/>
          <w:sz w:val="20"/>
          <w:szCs w:val="20"/>
        </w:rPr>
        <w:t xml:space="preserve"> </w:t>
      </w:r>
      <w:r w:rsidRPr="00042846">
        <w:rPr>
          <w:rFonts w:ascii="Verdana" w:hAnsi="Verdana"/>
          <w:sz w:val="20"/>
          <w:szCs w:val="20"/>
        </w:rPr>
        <w:t>I</w:t>
      </w:r>
      <w:r w:rsidR="00CA419D" w:rsidRPr="00042846">
        <w:rPr>
          <w:rFonts w:ascii="Verdana" w:hAnsi="Verdana"/>
          <w:sz w:val="20"/>
          <w:szCs w:val="20"/>
        </w:rPr>
        <w:t xml:space="preserve">nnovation (R&amp;I) </w:t>
      </w:r>
      <w:r w:rsidRPr="00042846">
        <w:rPr>
          <w:rFonts w:ascii="Verdana" w:hAnsi="Verdana"/>
          <w:sz w:val="20"/>
          <w:szCs w:val="20"/>
        </w:rPr>
        <w:t>de l’O</w:t>
      </w:r>
      <w:r w:rsidR="007E44EF" w:rsidRPr="00042846">
        <w:rPr>
          <w:rFonts w:ascii="Verdana" w:hAnsi="Verdana"/>
          <w:sz w:val="20"/>
          <w:szCs w:val="20"/>
        </w:rPr>
        <w:t>rganisation des Etats d’</w:t>
      </w:r>
      <w:r w:rsidRPr="00042846">
        <w:rPr>
          <w:rFonts w:ascii="Verdana" w:hAnsi="Verdana"/>
          <w:sz w:val="20"/>
          <w:szCs w:val="20"/>
        </w:rPr>
        <w:t>A</w:t>
      </w:r>
      <w:r w:rsidR="007E44EF" w:rsidRPr="00042846">
        <w:rPr>
          <w:rFonts w:ascii="Verdana" w:hAnsi="Verdana"/>
          <w:sz w:val="20"/>
          <w:szCs w:val="20"/>
        </w:rPr>
        <w:t xml:space="preserve">frique, des Caraïbes et du </w:t>
      </w:r>
      <w:r w:rsidRPr="00042846">
        <w:rPr>
          <w:rFonts w:ascii="Verdana" w:hAnsi="Verdana"/>
          <w:sz w:val="20"/>
          <w:szCs w:val="20"/>
        </w:rPr>
        <w:t>P</w:t>
      </w:r>
      <w:r w:rsidR="007E44EF" w:rsidRPr="00042846">
        <w:rPr>
          <w:rFonts w:ascii="Verdana" w:hAnsi="Verdana"/>
          <w:sz w:val="20"/>
          <w:szCs w:val="20"/>
        </w:rPr>
        <w:t>acifique (OEACP)</w:t>
      </w:r>
      <w:r w:rsidRPr="00042846">
        <w:rPr>
          <w:rFonts w:ascii="Verdana" w:hAnsi="Verdana"/>
          <w:sz w:val="20"/>
          <w:szCs w:val="20"/>
        </w:rPr>
        <w:t xml:space="preserve"> sur financement </w:t>
      </w:r>
      <w:r w:rsidR="007E44EF" w:rsidRPr="00042846">
        <w:rPr>
          <w:rFonts w:ascii="Verdana" w:hAnsi="Verdana"/>
          <w:sz w:val="20"/>
          <w:szCs w:val="20"/>
        </w:rPr>
        <w:t>de l’</w:t>
      </w:r>
      <w:r w:rsidRPr="00042846">
        <w:rPr>
          <w:rFonts w:ascii="Verdana" w:hAnsi="Verdana"/>
          <w:sz w:val="20"/>
          <w:szCs w:val="20"/>
        </w:rPr>
        <w:t>U</w:t>
      </w:r>
      <w:r w:rsidR="007E44EF" w:rsidRPr="00042846">
        <w:rPr>
          <w:rFonts w:ascii="Verdana" w:hAnsi="Verdana"/>
          <w:sz w:val="20"/>
          <w:szCs w:val="20"/>
        </w:rPr>
        <w:t xml:space="preserve">nion </w:t>
      </w:r>
      <w:r w:rsidR="00A06670" w:rsidRPr="00042846">
        <w:rPr>
          <w:rFonts w:ascii="Verdana" w:hAnsi="Verdana"/>
          <w:sz w:val="20"/>
          <w:szCs w:val="20"/>
        </w:rPr>
        <w:t>e</w:t>
      </w:r>
      <w:r w:rsidR="007E44EF" w:rsidRPr="00042846">
        <w:rPr>
          <w:rFonts w:ascii="Verdana" w:hAnsi="Verdana"/>
          <w:sz w:val="20"/>
          <w:szCs w:val="20"/>
        </w:rPr>
        <w:t>uropéenne (UE)</w:t>
      </w:r>
      <w:r w:rsidRPr="00042846">
        <w:rPr>
          <w:rFonts w:ascii="Verdana" w:hAnsi="Verdana"/>
          <w:sz w:val="20"/>
          <w:szCs w:val="20"/>
        </w:rPr>
        <w:t xml:space="preserve">. </w:t>
      </w:r>
      <w:r w:rsidR="00AD57C8" w:rsidRPr="00042846">
        <w:rPr>
          <w:rFonts w:ascii="Verdana" w:eastAsia="Roboto" w:hAnsi="Verdana"/>
          <w:sz w:val="20"/>
          <w:szCs w:val="20"/>
        </w:rPr>
        <w:t xml:space="preserve">Il a pour objectif de développer, promouvoir et valoriser les travaux de Recherche liés à la valorisation énergétique des déchets pour le développement de nouvelles chaines de valeur </w:t>
      </w:r>
      <w:r w:rsidR="00283446" w:rsidRPr="00042846">
        <w:rPr>
          <w:rFonts w:ascii="Verdana" w:eastAsia="Roboto" w:hAnsi="Verdana"/>
          <w:sz w:val="20"/>
          <w:szCs w:val="20"/>
        </w:rPr>
        <w:t xml:space="preserve">dites </w:t>
      </w:r>
      <w:r w:rsidR="00AD57C8" w:rsidRPr="00042846">
        <w:rPr>
          <w:rFonts w:ascii="Verdana" w:eastAsia="Roboto" w:hAnsi="Verdana"/>
          <w:sz w:val="20"/>
          <w:szCs w:val="20"/>
        </w:rPr>
        <w:t>durables.</w:t>
      </w:r>
    </w:p>
    <w:p w14:paraId="50C72705" w14:textId="77777777" w:rsidR="00164305" w:rsidRPr="00042846" w:rsidRDefault="00164305" w:rsidP="00F7050A">
      <w:pPr>
        <w:spacing w:after="0" w:line="246" w:lineRule="auto"/>
        <w:ind w:right="11"/>
        <w:jc w:val="both"/>
        <w:rPr>
          <w:rFonts w:ascii="Verdana" w:eastAsia="Roboto" w:hAnsi="Verdana"/>
          <w:sz w:val="20"/>
          <w:szCs w:val="20"/>
        </w:rPr>
      </w:pPr>
    </w:p>
    <w:p w14:paraId="03C3D260" w14:textId="4A4AACBB" w:rsidR="00164305" w:rsidRPr="00042846" w:rsidRDefault="00542095" w:rsidP="00F7050A">
      <w:pPr>
        <w:spacing w:after="0" w:line="246" w:lineRule="auto"/>
        <w:ind w:right="11"/>
        <w:jc w:val="both"/>
        <w:rPr>
          <w:rFonts w:ascii="Verdana" w:eastAsia="Roboto" w:hAnsi="Verdana"/>
          <w:sz w:val="20"/>
          <w:szCs w:val="20"/>
        </w:rPr>
      </w:pPr>
      <w:r w:rsidRPr="00042846">
        <w:rPr>
          <w:rFonts w:ascii="Verdana" w:eastAsia="Roboto" w:hAnsi="Verdana"/>
          <w:sz w:val="20"/>
          <w:szCs w:val="20"/>
        </w:rPr>
        <w:t xml:space="preserve">La Convention de Financement du projet a été signée le 13 décembre 2021 pour une mise en œuvre opérationnelle le 14 décembre 2021 et une durée de 42 mois jusqu’au 13 Juin </w:t>
      </w:r>
      <w:r w:rsidRPr="00042846">
        <w:rPr>
          <w:rFonts w:ascii="Verdana" w:eastAsia="Roboto" w:hAnsi="Verdana"/>
          <w:sz w:val="20"/>
          <w:szCs w:val="20"/>
        </w:rPr>
        <w:lastRenderedPageBreak/>
        <w:t xml:space="preserve">2025. </w:t>
      </w:r>
      <w:r w:rsidR="00164305" w:rsidRPr="00042846">
        <w:rPr>
          <w:rFonts w:ascii="Verdana" w:eastAsia="Roboto" w:hAnsi="Verdana"/>
          <w:sz w:val="20"/>
          <w:szCs w:val="20"/>
        </w:rPr>
        <w:t>Ce projet est conjointement mis en œuvre par la COI</w:t>
      </w:r>
      <w:r w:rsidR="00A06670" w:rsidRPr="00042846">
        <w:rPr>
          <w:rFonts w:ascii="Verdana" w:eastAsia="Roboto" w:hAnsi="Verdana"/>
          <w:sz w:val="20"/>
          <w:szCs w:val="20"/>
        </w:rPr>
        <w:t xml:space="preserve"> </w:t>
      </w:r>
      <w:r w:rsidR="00591A8A" w:rsidRPr="00042846">
        <w:rPr>
          <w:rFonts w:ascii="Verdana" w:eastAsia="Roboto" w:hAnsi="Verdana"/>
          <w:sz w:val="20"/>
          <w:szCs w:val="20"/>
        </w:rPr>
        <w:t>et le M</w:t>
      </w:r>
      <w:r w:rsidR="00944B8F" w:rsidRPr="00042846">
        <w:rPr>
          <w:rFonts w:ascii="Verdana" w:eastAsia="Roboto" w:hAnsi="Verdana"/>
          <w:sz w:val="20"/>
          <w:szCs w:val="20"/>
        </w:rPr>
        <w:t xml:space="preserve">auritius </w:t>
      </w:r>
      <w:proofErr w:type="spellStart"/>
      <w:r w:rsidR="00591A8A" w:rsidRPr="00042846">
        <w:rPr>
          <w:rFonts w:ascii="Verdana" w:eastAsia="Roboto" w:hAnsi="Verdana"/>
          <w:sz w:val="20"/>
          <w:szCs w:val="20"/>
        </w:rPr>
        <w:t>R</w:t>
      </w:r>
      <w:r w:rsidR="00944B8F" w:rsidRPr="00042846">
        <w:rPr>
          <w:rFonts w:ascii="Verdana" w:eastAsia="Roboto" w:hAnsi="Verdana"/>
          <w:sz w:val="20"/>
          <w:szCs w:val="20"/>
        </w:rPr>
        <w:t>esearch</w:t>
      </w:r>
      <w:proofErr w:type="spellEnd"/>
      <w:r w:rsidR="00944B8F" w:rsidRPr="00042846">
        <w:rPr>
          <w:rFonts w:ascii="Verdana" w:eastAsia="Roboto" w:hAnsi="Verdana"/>
          <w:sz w:val="20"/>
          <w:szCs w:val="20"/>
        </w:rPr>
        <w:t xml:space="preserve"> </w:t>
      </w:r>
      <w:r w:rsidR="00591A8A" w:rsidRPr="00042846">
        <w:rPr>
          <w:rFonts w:ascii="Verdana" w:eastAsia="Roboto" w:hAnsi="Verdana"/>
          <w:sz w:val="20"/>
          <w:szCs w:val="20"/>
        </w:rPr>
        <w:t>I</w:t>
      </w:r>
      <w:r w:rsidR="00944B8F" w:rsidRPr="00042846">
        <w:rPr>
          <w:rFonts w:ascii="Verdana" w:eastAsia="Roboto" w:hAnsi="Verdana"/>
          <w:sz w:val="20"/>
          <w:szCs w:val="20"/>
        </w:rPr>
        <w:t xml:space="preserve">nnovation </w:t>
      </w:r>
      <w:r w:rsidR="00591A8A" w:rsidRPr="00042846">
        <w:rPr>
          <w:rFonts w:ascii="Verdana" w:eastAsia="Roboto" w:hAnsi="Verdana"/>
          <w:sz w:val="20"/>
          <w:szCs w:val="20"/>
        </w:rPr>
        <w:t>C</w:t>
      </w:r>
      <w:r w:rsidR="00944B8F" w:rsidRPr="00042846">
        <w:rPr>
          <w:rFonts w:ascii="Verdana" w:eastAsia="Roboto" w:hAnsi="Verdana"/>
          <w:sz w:val="20"/>
          <w:szCs w:val="20"/>
        </w:rPr>
        <w:t>ouncil (MRIC)</w:t>
      </w:r>
      <w:r w:rsidR="00591A8A" w:rsidRPr="00042846">
        <w:rPr>
          <w:rFonts w:ascii="Verdana" w:eastAsia="Roboto" w:hAnsi="Verdana"/>
          <w:sz w:val="20"/>
          <w:szCs w:val="20"/>
        </w:rPr>
        <w:t xml:space="preserve">, </w:t>
      </w:r>
      <w:r w:rsidR="008D4A1D" w:rsidRPr="00042846">
        <w:rPr>
          <w:rFonts w:ascii="Verdana" w:eastAsia="Roboto" w:hAnsi="Verdana"/>
          <w:sz w:val="20"/>
          <w:szCs w:val="20"/>
        </w:rPr>
        <w:t>partenaire technique</w:t>
      </w:r>
      <w:r w:rsidR="00B5038E" w:rsidRPr="00042846">
        <w:rPr>
          <w:rFonts w:ascii="Verdana" w:eastAsia="Roboto" w:hAnsi="Verdana"/>
          <w:sz w:val="20"/>
          <w:szCs w:val="20"/>
        </w:rPr>
        <w:t xml:space="preserve"> du projet</w:t>
      </w:r>
      <w:r w:rsidR="008D4A1D" w:rsidRPr="00042846">
        <w:rPr>
          <w:rFonts w:ascii="Verdana" w:eastAsia="Roboto" w:hAnsi="Verdana"/>
          <w:sz w:val="20"/>
          <w:szCs w:val="20"/>
        </w:rPr>
        <w:t xml:space="preserve"> </w:t>
      </w:r>
      <w:r w:rsidR="000B7609" w:rsidRPr="00042846">
        <w:rPr>
          <w:rFonts w:ascii="Verdana" w:eastAsia="Roboto" w:hAnsi="Verdana"/>
          <w:sz w:val="20"/>
          <w:szCs w:val="20"/>
        </w:rPr>
        <w:t xml:space="preserve">pour l’assistance aux projets tiers et le lien avec les </w:t>
      </w:r>
      <w:r w:rsidR="00B5038E" w:rsidRPr="00042846">
        <w:rPr>
          <w:rFonts w:ascii="Verdana" w:eastAsia="Roboto" w:hAnsi="Verdana"/>
          <w:sz w:val="20"/>
          <w:szCs w:val="20"/>
        </w:rPr>
        <w:t>institutions de Recherche.</w:t>
      </w:r>
    </w:p>
    <w:p w14:paraId="7E8A17F7" w14:textId="77777777" w:rsidR="00356BB1" w:rsidRPr="00042846" w:rsidRDefault="00356BB1" w:rsidP="00F7050A">
      <w:pPr>
        <w:spacing w:after="0" w:line="246" w:lineRule="auto"/>
        <w:ind w:right="11"/>
        <w:jc w:val="both"/>
        <w:rPr>
          <w:rFonts w:ascii="Verdana" w:eastAsia="Roboto" w:hAnsi="Verdana"/>
          <w:sz w:val="20"/>
          <w:szCs w:val="20"/>
        </w:rPr>
      </w:pPr>
    </w:p>
    <w:p w14:paraId="387A1E5E" w14:textId="77777777" w:rsidR="00031236" w:rsidRPr="00042846" w:rsidRDefault="00031236" w:rsidP="00031236">
      <w:pPr>
        <w:pStyle w:val="Sous-partie2"/>
      </w:pPr>
      <w:r w:rsidRPr="00042846">
        <w:t>Etat d’avancement</w:t>
      </w:r>
    </w:p>
    <w:p w14:paraId="6145B0C6" w14:textId="333514FA" w:rsidR="00356BB1" w:rsidRPr="00042846" w:rsidRDefault="00356BB1" w:rsidP="00F7050A">
      <w:pPr>
        <w:spacing w:after="0" w:line="246" w:lineRule="auto"/>
        <w:ind w:right="11"/>
        <w:jc w:val="both"/>
        <w:rPr>
          <w:rFonts w:ascii="Verdana" w:eastAsia="Roboto" w:hAnsi="Verdana"/>
          <w:sz w:val="20"/>
          <w:szCs w:val="20"/>
        </w:rPr>
      </w:pPr>
      <w:r w:rsidRPr="00042846">
        <w:rPr>
          <w:rFonts w:ascii="Verdana" w:eastAsia="Roboto" w:hAnsi="Verdana"/>
          <w:sz w:val="20"/>
          <w:szCs w:val="20"/>
        </w:rPr>
        <w:t>Le recrutement de l’équipe projet COI a été effectif en janvier 2023 et complété en juin 2023 par l’assistante de communication. Le projet accuse un retard de près de quatorze mois au démarrage du fait des procédures administratives</w:t>
      </w:r>
      <w:r w:rsidR="003B1E29" w:rsidRPr="00042846">
        <w:rPr>
          <w:rFonts w:ascii="Verdana" w:eastAsia="Roboto" w:hAnsi="Verdana"/>
          <w:sz w:val="20"/>
          <w:szCs w:val="20"/>
        </w:rPr>
        <w:t xml:space="preserve"> de recrutement ce qui a impacté par ricochet le processus de contractualisation </w:t>
      </w:r>
      <w:r w:rsidR="005627D0" w:rsidRPr="00042846">
        <w:rPr>
          <w:rFonts w:ascii="Verdana" w:eastAsia="Roboto" w:hAnsi="Verdana"/>
          <w:sz w:val="20"/>
          <w:szCs w:val="20"/>
        </w:rPr>
        <w:t>avec les projets tiers</w:t>
      </w:r>
      <w:r w:rsidR="00A74BFA" w:rsidRPr="00042846">
        <w:rPr>
          <w:rFonts w:ascii="Verdana" w:eastAsia="Roboto" w:hAnsi="Verdana"/>
          <w:sz w:val="20"/>
          <w:szCs w:val="20"/>
        </w:rPr>
        <w:t xml:space="preserve"> e</w:t>
      </w:r>
      <w:r w:rsidR="00CB7FB9" w:rsidRPr="00042846">
        <w:rPr>
          <w:rFonts w:ascii="Verdana" w:eastAsia="Roboto" w:hAnsi="Verdana"/>
          <w:sz w:val="20"/>
          <w:szCs w:val="20"/>
        </w:rPr>
        <w:t xml:space="preserve">t </w:t>
      </w:r>
      <w:r w:rsidR="00A06670" w:rsidRPr="00042846">
        <w:rPr>
          <w:rFonts w:ascii="Verdana" w:eastAsia="Roboto" w:hAnsi="Verdana"/>
          <w:sz w:val="20"/>
          <w:szCs w:val="20"/>
        </w:rPr>
        <w:t>in fine sur</w:t>
      </w:r>
      <w:r w:rsidR="00CB7FB9" w:rsidRPr="00042846">
        <w:rPr>
          <w:rFonts w:ascii="Verdana" w:eastAsia="Roboto" w:hAnsi="Verdana"/>
          <w:sz w:val="20"/>
          <w:szCs w:val="20"/>
        </w:rPr>
        <w:t xml:space="preserve"> l’impact attendu de TWENex.</w:t>
      </w:r>
    </w:p>
    <w:p w14:paraId="1ED2C174" w14:textId="77777777" w:rsidR="00F7050A" w:rsidRPr="00042846" w:rsidRDefault="00F7050A" w:rsidP="00F7050A">
      <w:pPr>
        <w:spacing w:after="0" w:line="246" w:lineRule="auto"/>
        <w:ind w:right="11"/>
        <w:jc w:val="both"/>
        <w:rPr>
          <w:rFonts w:ascii="Verdana" w:eastAsia="Roboto" w:hAnsi="Verdana"/>
          <w:sz w:val="20"/>
          <w:szCs w:val="20"/>
        </w:rPr>
      </w:pPr>
    </w:p>
    <w:p w14:paraId="2DA525CE" w14:textId="77048A18" w:rsidR="005627D0" w:rsidRPr="00042846" w:rsidRDefault="005627D0" w:rsidP="003938E2">
      <w:pPr>
        <w:pStyle w:val="Paragraphe"/>
      </w:pPr>
      <w:r w:rsidRPr="00042846">
        <w:t>En effet, l</w:t>
      </w:r>
      <w:r w:rsidR="00AD57C8" w:rsidRPr="00042846">
        <w:t xml:space="preserve">’atteinte des indicateurs </w:t>
      </w:r>
      <w:r w:rsidR="00356BB1" w:rsidRPr="00042846">
        <w:t xml:space="preserve">du projet </w:t>
      </w:r>
      <w:r w:rsidR="00AD57C8" w:rsidRPr="00042846">
        <w:t xml:space="preserve">repose sur les activités </w:t>
      </w:r>
      <w:r w:rsidR="00356BB1" w:rsidRPr="00042846">
        <w:t>« </w:t>
      </w:r>
      <w:r w:rsidR="00AD57C8" w:rsidRPr="00042846">
        <w:t>de</w:t>
      </w:r>
      <w:r w:rsidR="00356BB1" w:rsidRPr="00042846">
        <w:t>s multiplicateurs » entités</w:t>
      </w:r>
      <w:r w:rsidR="00AD57C8" w:rsidRPr="00042846">
        <w:t xml:space="preserve"> tier</w:t>
      </w:r>
      <w:r w:rsidR="00356BB1" w:rsidRPr="00042846">
        <w:t>ce</w:t>
      </w:r>
      <w:r w:rsidR="00AD57C8" w:rsidRPr="00042846">
        <w:t>s</w:t>
      </w:r>
      <w:r w:rsidR="00356BB1" w:rsidRPr="00042846">
        <w:t xml:space="preserve"> </w:t>
      </w:r>
      <w:r w:rsidR="00A06670" w:rsidRPr="00042846">
        <w:t>porteuses de projets locaux</w:t>
      </w:r>
      <w:r w:rsidR="00036FCE" w:rsidRPr="00042846">
        <w:t xml:space="preserve">. </w:t>
      </w:r>
      <w:r w:rsidR="002B60C1" w:rsidRPr="00042846">
        <w:t xml:space="preserve">Ces multiplicateurs nationaux ont été invités à </w:t>
      </w:r>
      <w:r w:rsidR="00D56F9F" w:rsidRPr="00042846">
        <w:t>participer à l’Action et bénéficient d’une subvention</w:t>
      </w:r>
      <w:r w:rsidR="003A3360" w:rsidRPr="00042846">
        <w:t xml:space="preserve"> au titre du projet. Ces subventions sont d’un montant compris entre 100 000 et 250 000 euros.</w:t>
      </w:r>
      <w:r w:rsidR="00C52702" w:rsidRPr="00042846">
        <w:t xml:space="preserve"> </w:t>
      </w:r>
      <w:r w:rsidR="00286AB5" w:rsidRPr="00042846">
        <w:t>Cependant, il</w:t>
      </w:r>
      <w:r w:rsidR="00C52702" w:rsidRPr="00042846">
        <w:t xml:space="preserve"> est à noter que les multiplicateurs identifiés </w:t>
      </w:r>
      <w:r w:rsidR="002729D9" w:rsidRPr="00042846">
        <w:t xml:space="preserve">dans le document de projet ne peuvent répondre à l’entièreté </w:t>
      </w:r>
      <w:r w:rsidR="000030BC" w:rsidRPr="00042846">
        <w:t>des composantes identifié</w:t>
      </w:r>
      <w:r w:rsidR="00A06670" w:rsidRPr="00042846">
        <w:t>e</w:t>
      </w:r>
      <w:r w:rsidR="000030BC" w:rsidRPr="00042846">
        <w:t>s dans le projet</w:t>
      </w:r>
      <w:r w:rsidR="00A06670" w:rsidRPr="00042846">
        <w:t xml:space="preserve"> (</w:t>
      </w:r>
      <w:r w:rsidR="004C568C" w:rsidRPr="00042846">
        <w:t xml:space="preserve">gestion durable des déchets, technologies </w:t>
      </w:r>
      <w:r w:rsidR="003B2E5A" w:rsidRPr="00042846">
        <w:t xml:space="preserve">de production </w:t>
      </w:r>
      <w:r w:rsidR="004C568C" w:rsidRPr="00042846">
        <w:t>d’énergie renouvelable</w:t>
      </w:r>
      <w:r w:rsidR="003B2E5A" w:rsidRPr="00042846">
        <w:t xml:space="preserve">, </w:t>
      </w:r>
      <w:r w:rsidR="00E37CEF" w:rsidRPr="00042846">
        <w:t xml:space="preserve">systèmes nationaux </w:t>
      </w:r>
      <w:r w:rsidR="00946427" w:rsidRPr="00042846">
        <w:t xml:space="preserve">d’innovation, </w:t>
      </w:r>
      <w:r w:rsidR="00FC4302" w:rsidRPr="00042846">
        <w:t>systèmes de collecte d’informations et d’observatoires et</w:t>
      </w:r>
      <w:r w:rsidR="00CC4618" w:rsidRPr="00042846">
        <w:t xml:space="preserve"> politiques publiques</w:t>
      </w:r>
      <w:r w:rsidR="00A06670" w:rsidRPr="00042846">
        <w:t>)</w:t>
      </w:r>
      <w:r w:rsidR="00FC4302" w:rsidRPr="00042846">
        <w:t xml:space="preserve">. </w:t>
      </w:r>
      <w:r w:rsidR="00B434CA" w:rsidRPr="00042846">
        <w:t xml:space="preserve">Le projet </w:t>
      </w:r>
      <w:r w:rsidR="00721C0E" w:rsidRPr="00042846">
        <w:t xml:space="preserve">est très ambitieux et les moyens à disposition restent relativement modérés face à l’ampleur </w:t>
      </w:r>
      <w:r w:rsidR="00B1099C" w:rsidRPr="00042846">
        <w:t>de l’impact attendu.</w:t>
      </w:r>
    </w:p>
    <w:p w14:paraId="1B9F1D1B" w14:textId="086F5766" w:rsidR="00B1099C" w:rsidRPr="00042846" w:rsidRDefault="00E72EF1" w:rsidP="003938E2">
      <w:pPr>
        <w:pStyle w:val="Paragraphe"/>
      </w:pPr>
      <w:r w:rsidRPr="00042846">
        <w:t xml:space="preserve">De surcroît, la maturité de chaque pays bénéficiaire du projet est très variable </w:t>
      </w:r>
      <w:r w:rsidR="000030BC" w:rsidRPr="00042846">
        <w:t xml:space="preserve">sur ces thématiques </w:t>
      </w:r>
      <w:r w:rsidR="004B376D" w:rsidRPr="00042846">
        <w:t xml:space="preserve">et le projet TWENex souhaite favoriser </w:t>
      </w:r>
      <w:r w:rsidR="00436130" w:rsidRPr="00042846">
        <w:t>l’approche « </w:t>
      </w:r>
      <w:proofErr w:type="spellStart"/>
      <w:r w:rsidR="00436130" w:rsidRPr="00042846">
        <w:t>bottom</w:t>
      </w:r>
      <w:proofErr w:type="spellEnd"/>
      <w:r w:rsidR="00436130" w:rsidRPr="00042846">
        <w:t>-up »</w:t>
      </w:r>
      <w:r w:rsidR="00CC5D7B" w:rsidRPr="00042846">
        <w:t xml:space="preserve">. </w:t>
      </w:r>
      <w:r w:rsidR="00667DEE" w:rsidRPr="00042846">
        <w:t xml:space="preserve">A cet égard, certains sujets </w:t>
      </w:r>
      <w:r w:rsidR="00A37BB3" w:rsidRPr="00042846">
        <w:t>sont</w:t>
      </w:r>
      <w:r w:rsidR="00667DEE" w:rsidRPr="00042846">
        <w:t xml:space="preserve"> </w:t>
      </w:r>
      <w:r w:rsidR="00A37BB3" w:rsidRPr="00042846">
        <w:t>partiellement traités</w:t>
      </w:r>
      <w:r w:rsidR="007269CD" w:rsidRPr="00042846">
        <w:t xml:space="preserve"> et le projet souhaite s’appuyer </w:t>
      </w:r>
      <w:r w:rsidR="007C41D4" w:rsidRPr="00042846">
        <w:t xml:space="preserve">fortement sur une mise en réseau professionnelle et </w:t>
      </w:r>
      <w:r w:rsidR="007269CD" w:rsidRPr="00042846">
        <w:t xml:space="preserve">sur des partenariats régionaux afin </w:t>
      </w:r>
      <w:r w:rsidR="007C41D4" w:rsidRPr="00042846">
        <w:t xml:space="preserve">de </w:t>
      </w:r>
      <w:r w:rsidR="005D0616" w:rsidRPr="00042846">
        <w:t xml:space="preserve">combler </w:t>
      </w:r>
      <w:r w:rsidR="00F16AF9" w:rsidRPr="00042846">
        <w:t>les lacunes identifiées.</w:t>
      </w:r>
    </w:p>
    <w:p w14:paraId="0683618D" w14:textId="2A92B1F7" w:rsidR="003938E2" w:rsidRPr="00042846" w:rsidRDefault="00F56F29" w:rsidP="003938E2">
      <w:pPr>
        <w:pStyle w:val="Paragraphe"/>
      </w:pPr>
      <w:r w:rsidRPr="00042846">
        <w:t>En conclusion, l</w:t>
      </w:r>
      <w:r w:rsidR="004926E2" w:rsidRPr="00042846">
        <w:t xml:space="preserve">e projet TWENex nécessitent un engagement des </w:t>
      </w:r>
      <w:r w:rsidR="00A06670" w:rsidRPr="00042846">
        <w:t>E</w:t>
      </w:r>
      <w:r w:rsidR="004926E2" w:rsidRPr="00042846">
        <w:t>tats membres notamment</w:t>
      </w:r>
      <w:r w:rsidR="003938E2" w:rsidRPr="00042846">
        <w:t xml:space="preserve"> dans le soutien aux évènements régionaux </w:t>
      </w:r>
      <w:r w:rsidR="00BA0FA7" w:rsidRPr="00042846">
        <w:t>prévus</w:t>
      </w:r>
      <w:r w:rsidR="00E117F5" w:rsidRPr="00042846">
        <w:t xml:space="preserve"> par le projet, dans la mobilisation des partenaires,</w:t>
      </w:r>
      <w:r w:rsidR="00CB6893" w:rsidRPr="00042846">
        <w:t xml:space="preserve"> </w:t>
      </w:r>
      <w:r w:rsidR="008E537E" w:rsidRPr="00042846">
        <w:t>l</w:t>
      </w:r>
      <w:r w:rsidR="0042402C" w:rsidRPr="00042846">
        <w:t>a mise en</w:t>
      </w:r>
      <w:r w:rsidR="008E537E" w:rsidRPr="00042846">
        <w:t xml:space="preserve"> synergie avec les projets </w:t>
      </w:r>
      <w:r w:rsidR="00710A1D" w:rsidRPr="00042846">
        <w:t xml:space="preserve">convergents </w:t>
      </w:r>
      <w:r w:rsidR="00DC02A4" w:rsidRPr="00042846">
        <w:t>et dans l’appui institutionnel.</w:t>
      </w:r>
    </w:p>
    <w:p w14:paraId="1BC8A7CE" w14:textId="74D40319" w:rsidR="003B3F65" w:rsidRPr="00042846" w:rsidRDefault="00640669" w:rsidP="003B3F65">
      <w:pPr>
        <w:pStyle w:val="Paragraphe"/>
      </w:pPr>
      <w:r w:rsidRPr="00042846">
        <w:t>Le projet est actuellement à mi-</w:t>
      </w:r>
      <w:r w:rsidR="00031236" w:rsidRPr="00042846">
        <w:t>parcours</w:t>
      </w:r>
      <w:r w:rsidRPr="00042846">
        <w:t xml:space="preserve"> de mis</w:t>
      </w:r>
      <w:r w:rsidR="00031236" w:rsidRPr="00042846">
        <w:t>e</w:t>
      </w:r>
      <w:r w:rsidRPr="00042846">
        <w:t xml:space="preserve"> en œuvre</w:t>
      </w:r>
      <w:r w:rsidR="00134792" w:rsidRPr="00042846">
        <w:t xml:space="preserve"> et </w:t>
      </w:r>
      <w:r w:rsidR="003B3F65" w:rsidRPr="00042846">
        <w:t xml:space="preserve">a fait l’objet entre le 27 février et le 21 mars 2024 d’une </w:t>
      </w:r>
      <w:r w:rsidR="003B3F65" w:rsidRPr="00042846">
        <w:rPr>
          <w:b/>
          <w:bCs/>
        </w:rPr>
        <w:t>mission d’évaluation ROM</w:t>
      </w:r>
      <w:r w:rsidR="003B3F65" w:rsidRPr="00042846">
        <w:t xml:space="preserve"> dont le rapport final sera diffusé au plus tard fin avril 2024. </w:t>
      </w:r>
    </w:p>
    <w:p w14:paraId="7BDA3C1C" w14:textId="31FA5212" w:rsidR="003B3F65" w:rsidRPr="00042846" w:rsidRDefault="003B3F65" w:rsidP="003B3F65">
      <w:pPr>
        <w:pStyle w:val="Paragraphe"/>
      </w:pPr>
      <w:r w:rsidRPr="00042846">
        <w:t xml:space="preserve">L’Union </w:t>
      </w:r>
      <w:r w:rsidR="00031236" w:rsidRPr="00042846">
        <w:t>e</w:t>
      </w:r>
      <w:r w:rsidRPr="00042846">
        <w:t>uropéenne a également invité la COI à soumettre une demande</w:t>
      </w:r>
      <w:r w:rsidRPr="00042846">
        <w:rPr>
          <w:b/>
          <w:bCs/>
        </w:rPr>
        <w:t xml:space="preserve"> </w:t>
      </w:r>
      <w:r w:rsidRPr="00042846">
        <w:t>d</w:t>
      </w:r>
      <w:r w:rsidR="00031236" w:rsidRPr="00042846">
        <w:t xml:space="preserve">’extension sans coût additionnel </w:t>
      </w:r>
      <w:r w:rsidRPr="00042846">
        <w:t>pour le projet, qui devra prend</w:t>
      </w:r>
      <w:r w:rsidR="00134792" w:rsidRPr="00042846">
        <w:t>re</w:t>
      </w:r>
      <w:r w:rsidRPr="00042846">
        <w:t xml:space="preserve"> en compte le positionnement des projets tiers ainsi que les conclusions du rapport </w:t>
      </w:r>
      <w:r w:rsidR="00134792" w:rsidRPr="00042846">
        <w:t>susmentionné</w:t>
      </w:r>
      <w:r w:rsidRPr="00042846">
        <w:t>.</w:t>
      </w:r>
    </w:p>
    <w:p w14:paraId="74CB68D1" w14:textId="1EEB1745" w:rsidR="00C8473F" w:rsidRPr="00042846" w:rsidRDefault="00F5176D" w:rsidP="00031236">
      <w:pPr>
        <w:pStyle w:val="Sous-partie2"/>
      </w:pPr>
      <w:r w:rsidRPr="00042846">
        <w:t>Contractualisation</w:t>
      </w:r>
      <w:r w:rsidR="00C8473F" w:rsidRPr="00042846">
        <w:t xml:space="preserve"> avec les projets tiers</w:t>
      </w:r>
    </w:p>
    <w:p w14:paraId="7E3CA8BE" w14:textId="021E6191" w:rsidR="00BE2AF1" w:rsidRPr="00042846" w:rsidRDefault="004A7369" w:rsidP="0008468B">
      <w:pPr>
        <w:jc w:val="both"/>
        <w:rPr>
          <w:rFonts w:ascii="Verdana" w:hAnsi="Verdana" w:cs="Calibri"/>
          <w:sz w:val="20"/>
          <w:szCs w:val="20"/>
        </w:rPr>
      </w:pPr>
      <w:r w:rsidRPr="00042846">
        <w:rPr>
          <w:rFonts w:ascii="Verdana" w:hAnsi="Verdana" w:cs="Calibri"/>
          <w:sz w:val="20"/>
          <w:szCs w:val="20"/>
        </w:rPr>
        <w:t xml:space="preserve">Le projet a conduit une première réunion annuelle des parties prenantes en avril 2023, les projets tiers ont été formulés techniquement et financièrement </w:t>
      </w:r>
      <w:r w:rsidR="00031236" w:rsidRPr="00042846">
        <w:rPr>
          <w:rFonts w:ascii="Verdana" w:hAnsi="Verdana" w:cs="Calibri"/>
          <w:sz w:val="20"/>
          <w:szCs w:val="20"/>
        </w:rPr>
        <w:t>avec l’</w:t>
      </w:r>
      <w:r w:rsidRPr="00042846">
        <w:rPr>
          <w:rFonts w:ascii="Verdana" w:hAnsi="Verdana" w:cs="Calibri"/>
          <w:sz w:val="20"/>
          <w:szCs w:val="20"/>
        </w:rPr>
        <w:t xml:space="preserve">appui </w:t>
      </w:r>
      <w:r w:rsidR="00031236" w:rsidRPr="00042846">
        <w:rPr>
          <w:rFonts w:ascii="Verdana" w:hAnsi="Verdana" w:cs="Calibri"/>
          <w:sz w:val="20"/>
          <w:szCs w:val="20"/>
        </w:rPr>
        <w:t xml:space="preserve">du </w:t>
      </w:r>
      <w:r w:rsidR="00DB2814" w:rsidRPr="00042846">
        <w:rPr>
          <w:rFonts w:ascii="Verdana" w:hAnsi="Verdana" w:cs="Calibri"/>
          <w:sz w:val="20"/>
          <w:szCs w:val="20"/>
        </w:rPr>
        <w:t>MRIC.</w:t>
      </w:r>
      <w:r w:rsidR="004D1568" w:rsidRPr="00042846">
        <w:rPr>
          <w:rFonts w:ascii="Verdana" w:hAnsi="Verdana" w:cs="Calibri"/>
          <w:sz w:val="20"/>
          <w:szCs w:val="20"/>
        </w:rPr>
        <w:t xml:space="preserve"> </w:t>
      </w:r>
      <w:r w:rsidR="00374E93" w:rsidRPr="00042846">
        <w:rPr>
          <w:rFonts w:ascii="Verdana" w:hAnsi="Verdana"/>
          <w:sz w:val="20"/>
          <w:szCs w:val="20"/>
        </w:rPr>
        <w:t xml:space="preserve">Six projets </w:t>
      </w:r>
      <w:r w:rsidR="00183424" w:rsidRPr="00042846">
        <w:rPr>
          <w:rFonts w:ascii="Verdana" w:hAnsi="Verdana"/>
          <w:sz w:val="20"/>
          <w:szCs w:val="20"/>
        </w:rPr>
        <w:t xml:space="preserve">(3 aux Comores, 2 à Madagascar et 1 à Maurice) </w:t>
      </w:r>
      <w:r w:rsidR="00374E93" w:rsidRPr="00042846">
        <w:rPr>
          <w:rFonts w:ascii="Verdana" w:hAnsi="Verdana"/>
          <w:sz w:val="20"/>
          <w:szCs w:val="20"/>
        </w:rPr>
        <w:t xml:space="preserve">bénéficient de subventions TWENex pour un montant global de </w:t>
      </w:r>
      <w:r w:rsidR="00183424" w:rsidRPr="00042846">
        <w:rPr>
          <w:rFonts w:ascii="Verdana" w:hAnsi="Verdana"/>
          <w:sz w:val="20"/>
          <w:szCs w:val="20"/>
        </w:rPr>
        <w:t>964 473.56 euros</w:t>
      </w:r>
      <w:r w:rsidR="00121B1C" w:rsidRPr="00042846">
        <w:rPr>
          <w:rFonts w:ascii="Verdana" w:hAnsi="Verdana"/>
          <w:sz w:val="20"/>
          <w:szCs w:val="20"/>
        </w:rPr>
        <w:t xml:space="preserve"> soit 87.6% de </w:t>
      </w:r>
      <w:r w:rsidR="00031236" w:rsidRPr="00042846">
        <w:rPr>
          <w:rFonts w:ascii="Verdana" w:hAnsi="Verdana"/>
          <w:sz w:val="20"/>
          <w:szCs w:val="20"/>
        </w:rPr>
        <w:t xml:space="preserve">la </w:t>
      </w:r>
      <w:r w:rsidR="00121B1C" w:rsidRPr="00042846">
        <w:rPr>
          <w:rFonts w:ascii="Verdana" w:hAnsi="Verdana"/>
          <w:sz w:val="20"/>
          <w:szCs w:val="20"/>
        </w:rPr>
        <w:t>ligne budgétaire</w:t>
      </w:r>
      <w:r w:rsidR="00282E6B" w:rsidRPr="00042846">
        <w:rPr>
          <w:rFonts w:ascii="Verdana" w:hAnsi="Verdana"/>
          <w:sz w:val="20"/>
          <w:szCs w:val="20"/>
        </w:rPr>
        <w:t xml:space="preserve"> dédiée. </w:t>
      </w:r>
      <w:r w:rsidR="00374E93" w:rsidRPr="00042846">
        <w:rPr>
          <w:rFonts w:ascii="Verdana" w:hAnsi="Verdana"/>
          <w:sz w:val="20"/>
          <w:szCs w:val="20"/>
        </w:rPr>
        <w:t xml:space="preserve">Les </w:t>
      </w:r>
      <w:r w:rsidR="00282E6B" w:rsidRPr="00042846">
        <w:rPr>
          <w:rFonts w:ascii="Verdana" w:hAnsi="Verdana"/>
          <w:sz w:val="20"/>
          <w:szCs w:val="20"/>
        </w:rPr>
        <w:t xml:space="preserve">contrats de </w:t>
      </w:r>
      <w:r w:rsidR="00374E93" w:rsidRPr="00042846">
        <w:rPr>
          <w:rFonts w:ascii="Verdana" w:hAnsi="Verdana"/>
          <w:sz w:val="20"/>
          <w:szCs w:val="20"/>
        </w:rPr>
        <w:t xml:space="preserve">subventions aux projets tiers </w:t>
      </w:r>
      <w:r w:rsidR="00282E6B" w:rsidRPr="00042846">
        <w:rPr>
          <w:rFonts w:ascii="Verdana" w:hAnsi="Verdana"/>
          <w:sz w:val="20"/>
          <w:szCs w:val="20"/>
        </w:rPr>
        <w:t xml:space="preserve">ont été signés en juillet 2023 et </w:t>
      </w:r>
      <w:r w:rsidR="00374E93" w:rsidRPr="00042846">
        <w:rPr>
          <w:rFonts w:ascii="Verdana" w:hAnsi="Verdana"/>
          <w:sz w:val="20"/>
          <w:szCs w:val="20"/>
        </w:rPr>
        <w:t xml:space="preserve">se concluent </w:t>
      </w:r>
      <w:r w:rsidR="000F7F05" w:rsidRPr="00042846">
        <w:rPr>
          <w:rFonts w:ascii="Verdana" w:hAnsi="Verdana"/>
          <w:sz w:val="20"/>
          <w:szCs w:val="20"/>
        </w:rPr>
        <w:t xml:space="preserve">opérationnellement </w:t>
      </w:r>
      <w:r w:rsidR="00374E93" w:rsidRPr="00042846">
        <w:rPr>
          <w:rFonts w:ascii="Verdana" w:hAnsi="Verdana"/>
          <w:sz w:val="20"/>
          <w:szCs w:val="20"/>
        </w:rPr>
        <w:t>au 31 janvier 2025.</w:t>
      </w:r>
    </w:p>
    <w:p w14:paraId="61531D21" w14:textId="0BCC50ED" w:rsidR="002E6B1B" w:rsidRPr="00042846" w:rsidRDefault="00DB2814" w:rsidP="002E6B1B">
      <w:pPr>
        <w:jc w:val="both"/>
        <w:rPr>
          <w:rFonts w:ascii="Verdana" w:hAnsi="Verdana" w:cs="Calibri"/>
          <w:sz w:val="20"/>
          <w:szCs w:val="20"/>
        </w:rPr>
      </w:pPr>
      <w:r w:rsidRPr="00042846">
        <w:rPr>
          <w:rFonts w:ascii="Verdana" w:hAnsi="Verdana" w:cs="Calibri"/>
          <w:sz w:val="20"/>
          <w:szCs w:val="20"/>
        </w:rPr>
        <w:t xml:space="preserve">Deux missions de suivi </w:t>
      </w:r>
      <w:r w:rsidR="00C326C4" w:rsidRPr="00042846">
        <w:rPr>
          <w:rFonts w:ascii="Verdana" w:hAnsi="Verdana" w:cs="Calibri"/>
          <w:sz w:val="20"/>
          <w:szCs w:val="20"/>
        </w:rPr>
        <w:t>d</w:t>
      </w:r>
      <w:r w:rsidRPr="00042846">
        <w:rPr>
          <w:rFonts w:ascii="Verdana" w:hAnsi="Verdana" w:cs="Calibri"/>
          <w:sz w:val="20"/>
          <w:szCs w:val="20"/>
        </w:rPr>
        <w:t xml:space="preserve">e terrain ont été réalisées </w:t>
      </w:r>
      <w:r w:rsidR="000F7F05" w:rsidRPr="00042846">
        <w:rPr>
          <w:rFonts w:ascii="Verdana" w:hAnsi="Verdana" w:cs="Calibri"/>
          <w:sz w:val="20"/>
          <w:szCs w:val="20"/>
        </w:rPr>
        <w:t xml:space="preserve">à mi-parcours par l’équipe projet </w:t>
      </w:r>
      <w:r w:rsidRPr="00042846">
        <w:rPr>
          <w:rFonts w:ascii="Verdana" w:hAnsi="Verdana" w:cs="Calibri"/>
          <w:sz w:val="20"/>
          <w:szCs w:val="20"/>
        </w:rPr>
        <w:t>en février</w:t>
      </w:r>
      <w:r w:rsidR="00134792" w:rsidRPr="00042846">
        <w:rPr>
          <w:rFonts w:ascii="Verdana" w:hAnsi="Verdana" w:cs="Calibri"/>
          <w:sz w:val="20"/>
          <w:szCs w:val="20"/>
        </w:rPr>
        <w:t xml:space="preserve"> à Madagascar</w:t>
      </w:r>
      <w:r w:rsidRPr="00042846">
        <w:rPr>
          <w:rFonts w:ascii="Verdana" w:hAnsi="Verdana" w:cs="Calibri"/>
          <w:sz w:val="20"/>
          <w:szCs w:val="20"/>
        </w:rPr>
        <w:t xml:space="preserve"> et mars 2024</w:t>
      </w:r>
      <w:r w:rsidR="00134792" w:rsidRPr="00042846">
        <w:rPr>
          <w:rFonts w:ascii="Verdana" w:hAnsi="Verdana" w:cs="Calibri"/>
          <w:sz w:val="20"/>
          <w:szCs w:val="20"/>
        </w:rPr>
        <w:t xml:space="preserve"> aux Comores</w:t>
      </w:r>
      <w:r w:rsidRPr="00042846">
        <w:rPr>
          <w:rFonts w:ascii="Verdana" w:hAnsi="Verdana" w:cs="Calibri"/>
          <w:sz w:val="20"/>
          <w:szCs w:val="20"/>
        </w:rPr>
        <w:t>.</w:t>
      </w:r>
      <w:r w:rsidR="002E6B1B" w:rsidRPr="00042846">
        <w:rPr>
          <w:rFonts w:ascii="Verdana" w:hAnsi="Verdana" w:cs="Calibri"/>
          <w:sz w:val="20"/>
          <w:szCs w:val="20"/>
        </w:rPr>
        <w:t xml:space="preserve"> Les projets tiers qui sont également à mi-parcours dans </w:t>
      </w:r>
      <w:r w:rsidR="00134792" w:rsidRPr="00042846">
        <w:rPr>
          <w:rFonts w:ascii="Verdana" w:hAnsi="Verdana" w:cs="Calibri"/>
          <w:sz w:val="20"/>
          <w:szCs w:val="20"/>
        </w:rPr>
        <w:t>la mise en œuvre</w:t>
      </w:r>
      <w:r w:rsidR="002E6B1B" w:rsidRPr="00042846">
        <w:rPr>
          <w:rFonts w:ascii="Verdana" w:hAnsi="Verdana" w:cs="Calibri"/>
          <w:sz w:val="20"/>
          <w:szCs w:val="20"/>
        </w:rPr>
        <w:t xml:space="preserve"> de leurs activités ont tous manifesté leur souhait</w:t>
      </w:r>
      <w:r w:rsidR="00134792" w:rsidRPr="00042846">
        <w:rPr>
          <w:rFonts w:ascii="Verdana" w:hAnsi="Verdana" w:cs="Calibri"/>
          <w:sz w:val="20"/>
          <w:szCs w:val="20"/>
        </w:rPr>
        <w:t xml:space="preserve"> de</w:t>
      </w:r>
      <w:r w:rsidR="002E6B1B" w:rsidRPr="00042846">
        <w:rPr>
          <w:rFonts w:ascii="Verdana" w:hAnsi="Verdana" w:cs="Calibri"/>
          <w:sz w:val="20"/>
          <w:szCs w:val="20"/>
        </w:rPr>
        <w:t xml:space="preserve"> prolonger la durée de leur contrat de subvention sous format d’une « no-</w:t>
      </w:r>
      <w:proofErr w:type="spellStart"/>
      <w:r w:rsidR="002E6B1B" w:rsidRPr="00042846">
        <w:rPr>
          <w:rFonts w:ascii="Verdana" w:hAnsi="Verdana" w:cs="Calibri"/>
          <w:sz w:val="20"/>
          <w:szCs w:val="20"/>
        </w:rPr>
        <w:t>cost</w:t>
      </w:r>
      <w:proofErr w:type="spellEnd"/>
      <w:r w:rsidR="002E6B1B" w:rsidRPr="00042846">
        <w:rPr>
          <w:rFonts w:ascii="Verdana" w:hAnsi="Verdana" w:cs="Calibri"/>
          <w:sz w:val="20"/>
          <w:szCs w:val="20"/>
        </w:rPr>
        <w:t xml:space="preserve"> extension ».</w:t>
      </w:r>
    </w:p>
    <w:p w14:paraId="221658AF" w14:textId="0D7FDDE6" w:rsidR="00C92A95" w:rsidRPr="00042846" w:rsidRDefault="00031236" w:rsidP="007D0C1E">
      <w:pPr>
        <w:jc w:val="both"/>
        <w:rPr>
          <w:rFonts w:ascii="Verdana" w:hAnsi="Verdana" w:cs="Calibri"/>
          <w:sz w:val="20"/>
          <w:szCs w:val="20"/>
        </w:rPr>
      </w:pPr>
      <w:r w:rsidRPr="00042846">
        <w:rPr>
          <w:rFonts w:ascii="Verdana" w:hAnsi="Verdana" w:cs="Calibri"/>
          <w:sz w:val="20"/>
          <w:szCs w:val="20"/>
        </w:rPr>
        <w:lastRenderedPageBreak/>
        <w:t>A noter que l</w:t>
      </w:r>
      <w:r w:rsidR="00613313" w:rsidRPr="00042846">
        <w:rPr>
          <w:rFonts w:ascii="Verdana" w:hAnsi="Verdana" w:cs="Calibri"/>
          <w:sz w:val="20"/>
          <w:szCs w:val="20"/>
        </w:rPr>
        <w:t>es Seychelles ne bénéficie</w:t>
      </w:r>
      <w:r w:rsidRPr="00042846">
        <w:rPr>
          <w:rFonts w:ascii="Verdana" w:hAnsi="Verdana" w:cs="Calibri"/>
          <w:sz w:val="20"/>
          <w:szCs w:val="20"/>
        </w:rPr>
        <w:t>nt</w:t>
      </w:r>
      <w:r w:rsidR="00613313" w:rsidRPr="00042846">
        <w:rPr>
          <w:rFonts w:ascii="Verdana" w:hAnsi="Verdana" w:cs="Calibri"/>
          <w:sz w:val="20"/>
          <w:szCs w:val="20"/>
        </w:rPr>
        <w:t xml:space="preserve"> pas de l’appui du projet pour le moment. Des </w:t>
      </w:r>
      <w:r w:rsidR="000447EA" w:rsidRPr="00042846">
        <w:rPr>
          <w:rFonts w:ascii="Verdana" w:hAnsi="Verdana" w:cs="Calibri"/>
          <w:sz w:val="20"/>
          <w:szCs w:val="20"/>
        </w:rPr>
        <w:t xml:space="preserve">discussions ont été menées avec le PFN mais une intervention auprès du </w:t>
      </w:r>
      <w:r w:rsidR="00FA0378" w:rsidRPr="00042846">
        <w:rPr>
          <w:rFonts w:ascii="Verdana" w:hAnsi="Verdana" w:cs="Calibri"/>
          <w:sz w:val="20"/>
          <w:szCs w:val="20"/>
        </w:rPr>
        <w:t>ministère de l’Environnement</w:t>
      </w:r>
      <w:r w:rsidR="000447EA" w:rsidRPr="00042846">
        <w:rPr>
          <w:rFonts w:ascii="Verdana" w:hAnsi="Verdana" w:cs="Calibri"/>
          <w:sz w:val="20"/>
          <w:szCs w:val="20"/>
        </w:rPr>
        <w:t xml:space="preserve"> pour une bonne compréhension des tenants e</w:t>
      </w:r>
      <w:r w:rsidR="00F636A6" w:rsidRPr="00042846">
        <w:rPr>
          <w:rFonts w:ascii="Verdana" w:hAnsi="Verdana" w:cs="Calibri"/>
          <w:sz w:val="20"/>
          <w:szCs w:val="20"/>
        </w:rPr>
        <w:t>t</w:t>
      </w:r>
      <w:r w:rsidR="000447EA" w:rsidRPr="00042846">
        <w:rPr>
          <w:rFonts w:ascii="Verdana" w:hAnsi="Verdana" w:cs="Calibri"/>
          <w:sz w:val="20"/>
          <w:szCs w:val="20"/>
        </w:rPr>
        <w:t xml:space="preserve"> des </w:t>
      </w:r>
      <w:r w:rsidR="00F636A6" w:rsidRPr="00042846">
        <w:rPr>
          <w:rFonts w:ascii="Verdana" w:hAnsi="Verdana" w:cs="Calibri"/>
          <w:sz w:val="20"/>
          <w:szCs w:val="20"/>
        </w:rPr>
        <w:t>aboutissants d</w:t>
      </w:r>
      <w:r w:rsidR="00FA0378" w:rsidRPr="00042846">
        <w:rPr>
          <w:rFonts w:ascii="Verdana" w:hAnsi="Verdana" w:cs="Calibri"/>
          <w:sz w:val="20"/>
          <w:szCs w:val="20"/>
        </w:rPr>
        <w:t xml:space="preserve">es ambitions de TWENex </w:t>
      </w:r>
      <w:r w:rsidR="00F636A6" w:rsidRPr="00042846">
        <w:rPr>
          <w:rFonts w:ascii="Verdana" w:hAnsi="Verdana" w:cs="Calibri"/>
          <w:sz w:val="20"/>
          <w:szCs w:val="20"/>
        </w:rPr>
        <w:t>semble nécessaire</w:t>
      </w:r>
      <w:r w:rsidR="00FA0378" w:rsidRPr="00042846">
        <w:rPr>
          <w:rFonts w:ascii="Verdana" w:hAnsi="Verdana" w:cs="Calibri"/>
          <w:sz w:val="20"/>
          <w:szCs w:val="20"/>
        </w:rPr>
        <w:t>.</w:t>
      </w:r>
      <w:r w:rsidR="00AB575E" w:rsidRPr="00042846">
        <w:rPr>
          <w:rFonts w:ascii="Verdana" w:hAnsi="Verdana" w:cs="Calibri"/>
          <w:sz w:val="20"/>
          <w:szCs w:val="20"/>
        </w:rPr>
        <w:t xml:space="preserve"> </w:t>
      </w:r>
    </w:p>
    <w:p w14:paraId="6E56792D" w14:textId="77777777" w:rsidR="00917DB3" w:rsidRPr="00042846" w:rsidRDefault="00917DB3" w:rsidP="00917DB3">
      <w:pPr>
        <w:pStyle w:val="Sous-partie2"/>
        <w:numPr>
          <w:ilvl w:val="0"/>
          <w:numId w:val="0"/>
        </w:numPr>
      </w:pPr>
    </w:p>
    <w:p w14:paraId="4B48981F" w14:textId="25E49943" w:rsidR="00E81031" w:rsidRPr="00042846" w:rsidRDefault="0011663C" w:rsidP="00C91BD0">
      <w:pPr>
        <w:pStyle w:val="Sous-partie2"/>
        <w:numPr>
          <w:ilvl w:val="2"/>
          <w:numId w:val="3"/>
        </w:numPr>
      </w:pPr>
      <w:r w:rsidRPr="00042846">
        <w:t xml:space="preserve">Etat des lieux du secteur </w:t>
      </w:r>
      <w:r w:rsidR="00031236" w:rsidRPr="00042846">
        <w:t xml:space="preserve">déchets-énergie </w:t>
      </w:r>
      <w:r w:rsidRPr="00042846">
        <w:t xml:space="preserve">dans le bassin </w:t>
      </w:r>
      <w:r w:rsidR="00031236" w:rsidRPr="00042846">
        <w:t>o</w:t>
      </w:r>
      <w:r w:rsidRPr="00042846">
        <w:t>céan Indien</w:t>
      </w:r>
    </w:p>
    <w:p w14:paraId="371AFC0C" w14:textId="653ED23A" w:rsidR="00F87E53" w:rsidRPr="00042846" w:rsidRDefault="009759AF" w:rsidP="00C92A95">
      <w:pPr>
        <w:jc w:val="both"/>
        <w:rPr>
          <w:rFonts w:ascii="Verdana" w:hAnsi="Verdana" w:cs="Calibri"/>
          <w:sz w:val="20"/>
          <w:szCs w:val="20"/>
        </w:rPr>
      </w:pPr>
      <w:r w:rsidRPr="00042846">
        <w:rPr>
          <w:rFonts w:ascii="Verdana" w:hAnsi="Verdana" w:cs="Calibri"/>
          <w:sz w:val="20"/>
          <w:szCs w:val="20"/>
        </w:rPr>
        <w:t xml:space="preserve">Le MRIC a conduit sur base </w:t>
      </w:r>
      <w:r w:rsidR="00604BF9" w:rsidRPr="00042846">
        <w:rPr>
          <w:rFonts w:ascii="Verdana" w:hAnsi="Verdana" w:cs="Calibri"/>
          <w:sz w:val="20"/>
          <w:szCs w:val="20"/>
        </w:rPr>
        <w:t xml:space="preserve">des informations collectées auprès de chaque Point Focal National ainsi </w:t>
      </w:r>
      <w:r w:rsidR="007B52BB" w:rsidRPr="00042846">
        <w:rPr>
          <w:rFonts w:ascii="Verdana" w:hAnsi="Verdana" w:cs="Calibri"/>
          <w:sz w:val="20"/>
          <w:szCs w:val="20"/>
        </w:rPr>
        <w:t xml:space="preserve">que sur base d’une recherche documentaire, un état des lieux des orientations stratégiques </w:t>
      </w:r>
      <w:r w:rsidR="002F055D" w:rsidRPr="00042846">
        <w:rPr>
          <w:rFonts w:ascii="Verdana" w:hAnsi="Verdana" w:cs="Calibri"/>
          <w:sz w:val="20"/>
          <w:szCs w:val="20"/>
        </w:rPr>
        <w:t xml:space="preserve">quant à la filière </w:t>
      </w:r>
      <w:r w:rsidR="00031236" w:rsidRPr="00042846">
        <w:rPr>
          <w:rFonts w:ascii="Verdana" w:hAnsi="Verdana" w:cs="Calibri"/>
          <w:sz w:val="20"/>
          <w:szCs w:val="20"/>
        </w:rPr>
        <w:t>déchets-énergie</w:t>
      </w:r>
      <w:r w:rsidR="002F055D" w:rsidRPr="00042846">
        <w:rPr>
          <w:rFonts w:ascii="Verdana" w:hAnsi="Verdana" w:cs="Calibri"/>
          <w:sz w:val="20"/>
          <w:szCs w:val="20"/>
        </w:rPr>
        <w:t xml:space="preserve"> la plus favorable pour le bassin </w:t>
      </w:r>
      <w:r w:rsidR="00031236" w:rsidRPr="00042846">
        <w:rPr>
          <w:rFonts w:ascii="Verdana" w:hAnsi="Verdana" w:cs="Calibri"/>
          <w:sz w:val="20"/>
          <w:szCs w:val="20"/>
        </w:rPr>
        <w:t>o</w:t>
      </w:r>
      <w:r w:rsidR="002F055D" w:rsidRPr="00042846">
        <w:rPr>
          <w:rFonts w:ascii="Verdana" w:hAnsi="Verdana" w:cs="Calibri"/>
          <w:sz w:val="20"/>
          <w:szCs w:val="20"/>
        </w:rPr>
        <w:t>céan Indien.</w:t>
      </w:r>
    </w:p>
    <w:p w14:paraId="4D366C93" w14:textId="0C0D3315" w:rsidR="002F055D" w:rsidRPr="00042846" w:rsidRDefault="002F055D" w:rsidP="00C92A95">
      <w:pPr>
        <w:jc w:val="both"/>
        <w:rPr>
          <w:rFonts w:ascii="Verdana" w:hAnsi="Verdana" w:cs="Calibri"/>
          <w:sz w:val="20"/>
          <w:szCs w:val="20"/>
        </w:rPr>
      </w:pPr>
      <w:r w:rsidRPr="00042846">
        <w:rPr>
          <w:rFonts w:ascii="Verdana" w:hAnsi="Verdana" w:cs="Calibri"/>
          <w:sz w:val="20"/>
          <w:szCs w:val="20"/>
        </w:rPr>
        <w:t xml:space="preserve">Les recommandations mettent en exergue, </w:t>
      </w:r>
      <w:r w:rsidR="006F3FF5" w:rsidRPr="00042846">
        <w:rPr>
          <w:rFonts w:ascii="Verdana" w:hAnsi="Verdana" w:cs="Calibri"/>
          <w:b/>
          <w:bCs/>
          <w:sz w:val="20"/>
          <w:szCs w:val="20"/>
        </w:rPr>
        <w:t>les processus biochimiques</w:t>
      </w:r>
      <w:r w:rsidR="006F3FF5" w:rsidRPr="00042846">
        <w:rPr>
          <w:rFonts w:ascii="Verdana" w:hAnsi="Verdana" w:cs="Calibri"/>
          <w:sz w:val="20"/>
          <w:szCs w:val="20"/>
        </w:rPr>
        <w:t xml:space="preserve"> comme le plus adaptés à nos territoires, c’est à dire les processus de </w:t>
      </w:r>
      <w:r w:rsidR="00504F45" w:rsidRPr="00042846">
        <w:rPr>
          <w:rFonts w:ascii="Verdana" w:hAnsi="Verdana" w:cs="Calibri"/>
          <w:sz w:val="20"/>
          <w:szCs w:val="20"/>
        </w:rPr>
        <w:t xml:space="preserve">décomposition ou fermentation de la </w:t>
      </w:r>
      <w:r w:rsidR="00504F45" w:rsidRPr="00042846">
        <w:rPr>
          <w:rFonts w:ascii="Verdana" w:hAnsi="Verdana" w:cs="Calibri"/>
          <w:b/>
          <w:bCs/>
          <w:sz w:val="20"/>
          <w:szCs w:val="20"/>
        </w:rPr>
        <w:t>matière organique</w:t>
      </w:r>
      <w:r w:rsidR="00504F45" w:rsidRPr="00042846">
        <w:rPr>
          <w:rFonts w:ascii="Verdana" w:hAnsi="Verdana" w:cs="Calibri"/>
          <w:sz w:val="20"/>
          <w:szCs w:val="20"/>
        </w:rPr>
        <w:t xml:space="preserve">. </w:t>
      </w:r>
      <w:r w:rsidR="00DE75A8" w:rsidRPr="00042846">
        <w:rPr>
          <w:rFonts w:ascii="Verdana" w:hAnsi="Verdana" w:cs="Calibri"/>
          <w:sz w:val="20"/>
          <w:szCs w:val="20"/>
        </w:rPr>
        <w:t xml:space="preserve">Il s’avère que le projet TWENex soutient la mise en place de </w:t>
      </w:r>
      <w:r w:rsidR="000B0433" w:rsidRPr="00042846">
        <w:rPr>
          <w:rFonts w:ascii="Verdana" w:hAnsi="Verdana" w:cs="Calibri"/>
          <w:sz w:val="20"/>
          <w:szCs w:val="20"/>
        </w:rPr>
        <w:t>quatre design</w:t>
      </w:r>
      <w:r w:rsidR="002912D4" w:rsidRPr="00042846">
        <w:rPr>
          <w:rFonts w:ascii="Verdana" w:hAnsi="Verdana" w:cs="Calibri"/>
          <w:sz w:val="20"/>
          <w:szCs w:val="20"/>
        </w:rPr>
        <w:t>s</w:t>
      </w:r>
      <w:r w:rsidR="000B0433" w:rsidRPr="00042846">
        <w:rPr>
          <w:rFonts w:ascii="Verdana" w:hAnsi="Verdana" w:cs="Calibri"/>
          <w:sz w:val="20"/>
          <w:szCs w:val="20"/>
        </w:rPr>
        <w:t xml:space="preserve"> de biodigesteurs</w:t>
      </w:r>
      <w:r w:rsidR="001E5D6B" w:rsidRPr="00042846">
        <w:rPr>
          <w:rFonts w:ascii="Verdana" w:hAnsi="Verdana" w:cs="Calibri"/>
          <w:sz w:val="20"/>
          <w:szCs w:val="20"/>
        </w:rPr>
        <w:t xml:space="preserve"> pour des cibles et des déchets distincts</w:t>
      </w:r>
      <w:r w:rsidR="00827812" w:rsidRPr="00042846">
        <w:rPr>
          <w:rFonts w:ascii="Verdana" w:hAnsi="Verdana" w:cs="Calibri"/>
          <w:sz w:val="20"/>
          <w:szCs w:val="20"/>
        </w:rPr>
        <w:t xml:space="preserve"> et une installation de production de bioéthanol à partir de la fermentation de déchets de fruits.</w:t>
      </w:r>
    </w:p>
    <w:p w14:paraId="516BD302" w14:textId="60A5F6F5" w:rsidR="00F87E53" w:rsidRPr="00042846" w:rsidRDefault="00DD2795" w:rsidP="00827812">
      <w:pPr>
        <w:jc w:val="both"/>
        <w:rPr>
          <w:rFonts w:ascii="Verdana" w:hAnsi="Verdana" w:cs="Calibri"/>
          <w:sz w:val="20"/>
          <w:szCs w:val="20"/>
        </w:rPr>
      </w:pPr>
      <w:r w:rsidRPr="00042846">
        <w:rPr>
          <w:rFonts w:ascii="Verdana" w:hAnsi="Verdana" w:cs="Calibri"/>
          <w:sz w:val="20"/>
          <w:szCs w:val="20"/>
        </w:rPr>
        <w:t xml:space="preserve">Par ailleurs, la stratégie régionale de Transition Energétique </w:t>
      </w:r>
      <w:r w:rsidR="00DF1859" w:rsidRPr="00042846">
        <w:rPr>
          <w:rFonts w:ascii="Verdana" w:hAnsi="Verdana" w:cs="Calibri"/>
          <w:sz w:val="20"/>
          <w:szCs w:val="20"/>
        </w:rPr>
        <w:t xml:space="preserve">réalisée dans le cadre du projet Energies rappelle </w:t>
      </w:r>
      <w:r w:rsidR="00ED354D" w:rsidRPr="00042846">
        <w:rPr>
          <w:rFonts w:ascii="Verdana" w:hAnsi="Verdana" w:cs="Calibri"/>
          <w:sz w:val="20"/>
          <w:szCs w:val="20"/>
        </w:rPr>
        <w:t xml:space="preserve">notamment </w:t>
      </w:r>
      <w:r w:rsidR="00DF1859" w:rsidRPr="00042846">
        <w:rPr>
          <w:rFonts w:ascii="Verdana" w:hAnsi="Verdana" w:cs="Calibri"/>
          <w:sz w:val="20"/>
          <w:szCs w:val="20"/>
        </w:rPr>
        <w:t>deux points essentiels </w:t>
      </w:r>
      <w:r w:rsidR="00900F57" w:rsidRPr="00042846">
        <w:rPr>
          <w:rFonts w:ascii="Verdana" w:hAnsi="Verdana" w:cs="Calibri"/>
          <w:sz w:val="20"/>
          <w:szCs w:val="20"/>
        </w:rPr>
        <w:t>en lien avec TWENex</w:t>
      </w:r>
      <w:r w:rsidR="00DF1859" w:rsidRPr="00042846">
        <w:rPr>
          <w:rFonts w:ascii="Verdana" w:hAnsi="Verdana" w:cs="Calibri"/>
          <w:sz w:val="20"/>
          <w:szCs w:val="20"/>
        </w:rPr>
        <w:t>:</w:t>
      </w:r>
    </w:p>
    <w:p w14:paraId="1C8289A2" w14:textId="77777777" w:rsidR="00900F57" w:rsidRPr="00042846" w:rsidRDefault="004248B2" w:rsidP="00ED354D">
      <w:pPr>
        <w:pStyle w:val="Paragraphedeliste"/>
        <w:numPr>
          <w:ilvl w:val="0"/>
          <w:numId w:val="17"/>
        </w:numPr>
        <w:jc w:val="both"/>
        <w:rPr>
          <w:rFonts w:ascii="Verdana" w:hAnsi="Verdana" w:cs="Calibri"/>
          <w:sz w:val="20"/>
          <w:szCs w:val="20"/>
        </w:rPr>
      </w:pPr>
      <w:r w:rsidRPr="00042846">
        <w:rPr>
          <w:rFonts w:ascii="Verdana" w:hAnsi="Verdana" w:cs="Calibri"/>
          <w:sz w:val="20"/>
          <w:szCs w:val="20"/>
        </w:rPr>
        <w:t xml:space="preserve">Promouvoir la </w:t>
      </w:r>
      <w:r w:rsidRPr="00042846">
        <w:rPr>
          <w:rFonts w:ascii="Verdana" w:hAnsi="Verdana" w:cs="Calibri"/>
          <w:b/>
          <w:bCs/>
          <w:sz w:val="20"/>
          <w:szCs w:val="20"/>
        </w:rPr>
        <w:t>Biomasse Energie</w:t>
      </w:r>
      <w:r w:rsidR="003F69A7" w:rsidRPr="00042846">
        <w:rPr>
          <w:rFonts w:ascii="Verdana" w:hAnsi="Verdana" w:cs="Calibri"/>
          <w:sz w:val="20"/>
          <w:szCs w:val="20"/>
        </w:rPr>
        <w:t xml:space="preserve"> pour réduire la partie de bois dans </w:t>
      </w:r>
      <w:r w:rsidR="00F66517" w:rsidRPr="00042846">
        <w:rPr>
          <w:rFonts w:ascii="Verdana" w:hAnsi="Verdana" w:cs="Calibri"/>
          <w:sz w:val="20"/>
          <w:szCs w:val="20"/>
        </w:rPr>
        <w:t xml:space="preserve">l’usage résidentiel, </w:t>
      </w:r>
      <w:r w:rsidR="00444B35" w:rsidRPr="00042846">
        <w:rPr>
          <w:rFonts w:ascii="Verdana" w:hAnsi="Verdana" w:cs="Calibri"/>
          <w:sz w:val="20"/>
          <w:szCs w:val="20"/>
        </w:rPr>
        <w:t>compléter la bagasse</w:t>
      </w:r>
      <w:r w:rsidR="00900F57" w:rsidRPr="00042846">
        <w:rPr>
          <w:rFonts w:ascii="Verdana" w:hAnsi="Verdana" w:cs="Calibri"/>
          <w:sz w:val="20"/>
          <w:szCs w:val="20"/>
        </w:rPr>
        <w:t xml:space="preserve"> et produire des biocarburants et des intrants de chimie verte ;</w:t>
      </w:r>
    </w:p>
    <w:p w14:paraId="114DFADA" w14:textId="32BC5662" w:rsidR="00ED354D" w:rsidRPr="00042846" w:rsidRDefault="00303C44" w:rsidP="00ED354D">
      <w:pPr>
        <w:pStyle w:val="Paragraphedeliste"/>
        <w:numPr>
          <w:ilvl w:val="0"/>
          <w:numId w:val="17"/>
        </w:numPr>
        <w:jc w:val="both"/>
        <w:rPr>
          <w:rFonts w:ascii="Verdana" w:hAnsi="Verdana" w:cs="Calibri"/>
          <w:sz w:val="20"/>
          <w:szCs w:val="20"/>
        </w:rPr>
      </w:pPr>
      <w:r w:rsidRPr="00042846">
        <w:rPr>
          <w:rFonts w:ascii="Verdana" w:hAnsi="Verdana" w:cs="Calibri"/>
          <w:sz w:val="20"/>
          <w:szCs w:val="20"/>
        </w:rPr>
        <w:t xml:space="preserve">Structurer </w:t>
      </w:r>
      <w:r w:rsidRPr="00042846">
        <w:rPr>
          <w:rFonts w:ascii="Verdana" w:hAnsi="Verdana" w:cs="Calibri"/>
          <w:b/>
          <w:bCs/>
          <w:sz w:val="20"/>
          <w:szCs w:val="20"/>
        </w:rPr>
        <w:t>les réseaux de compétences</w:t>
      </w:r>
      <w:r w:rsidRPr="00042846">
        <w:rPr>
          <w:rFonts w:ascii="Verdana" w:hAnsi="Verdana" w:cs="Calibri"/>
          <w:sz w:val="20"/>
          <w:szCs w:val="20"/>
        </w:rPr>
        <w:t xml:space="preserve"> et déployer </w:t>
      </w:r>
      <w:r w:rsidR="00CD72E6" w:rsidRPr="00042846">
        <w:rPr>
          <w:rFonts w:ascii="Verdana" w:hAnsi="Verdana" w:cs="Calibri"/>
          <w:sz w:val="20"/>
          <w:szCs w:val="20"/>
        </w:rPr>
        <w:t>des clubs régionaux par filière notamment biomasse</w:t>
      </w:r>
      <w:r w:rsidR="00031236" w:rsidRPr="00042846">
        <w:rPr>
          <w:rFonts w:ascii="Verdana" w:hAnsi="Verdana" w:cs="Calibri"/>
          <w:sz w:val="20"/>
          <w:szCs w:val="20"/>
        </w:rPr>
        <w:t>.</w:t>
      </w:r>
    </w:p>
    <w:p w14:paraId="15BDECA1" w14:textId="77777777" w:rsidR="00031236" w:rsidRPr="00042846" w:rsidRDefault="00031236" w:rsidP="00031236">
      <w:pPr>
        <w:jc w:val="both"/>
        <w:rPr>
          <w:rFonts w:ascii="Verdana" w:hAnsi="Verdana" w:cs="Calibri"/>
          <w:sz w:val="20"/>
          <w:szCs w:val="20"/>
        </w:rPr>
      </w:pPr>
    </w:p>
    <w:p w14:paraId="027EA8D3" w14:textId="16638FFE" w:rsidR="003B778E" w:rsidRPr="00042846" w:rsidRDefault="003B778E" w:rsidP="00031236">
      <w:pPr>
        <w:pStyle w:val="Sous-partie2"/>
      </w:pPr>
      <w:r w:rsidRPr="00042846">
        <w:t>Acteurs régionaux de la Recherche et de l’Innovation</w:t>
      </w:r>
    </w:p>
    <w:p w14:paraId="501F6A29" w14:textId="77777777" w:rsidR="003B778E" w:rsidRPr="00042846" w:rsidRDefault="003B778E" w:rsidP="003B778E">
      <w:pPr>
        <w:pStyle w:val="Sous-partie2"/>
        <w:numPr>
          <w:ilvl w:val="0"/>
          <w:numId w:val="0"/>
        </w:numPr>
      </w:pPr>
    </w:p>
    <w:p w14:paraId="603899FC" w14:textId="31323825" w:rsidR="003B778E" w:rsidRPr="00042846" w:rsidRDefault="003B778E" w:rsidP="003B778E">
      <w:pPr>
        <w:pStyle w:val="Sous-partie2"/>
        <w:numPr>
          <w:ilvl w:val="0"/>
          <w:numId w:val="0"/>
        </w:numPr>
        <w:rPr>
          <w:color w:val="auto"/>
        </w:rPr>
      </w:pPr>
      <w:r w:rsidRPr="00042846">
        <w:rPr>
          <w:color w:val="auto"/>
        </w:rPr>
        <w:t>Le projet TWENex œuvre pour la mise en réseau des acteurs régionaux de la Recherche et de l’Innovation. Un inventaire des partenaires a été réalisé dans le cadre du travail d</w:t>
      </w:r>
      <w:r w:rsidR="00D9092C" w:rsidRPr="00042846">
        <w:rPr>
          <w:color w:val="auto"/>
        </w:rPr>
        <w:t>’état des lieux d</w:t>
      </w:r>
      <w:r w:rsidR="00031236" w:rsidRPr="00042846">
        <w:rPr>
          <w:color w:val="auto"/>
        </w:rPr>
        <w:t>u</w:t>
      </w:r>
      <w:r w:rsidRPr="00042846">
        <w:rPr>
          <w:color w:val="auto"/>
        </w:rPr>
        <w:t xml:space="preserve"> MRIC</w:t>
      </w:r>
      <w:r w:rsidR="00D9092C" w:rsidRPr="00042846">
        <w:rPr>
          <w:color w:val="auto"/>
        </w:rPr>
        <w:t>.</w:t>
      </w:r>
    </w:p>
    <w:p w14:paraId="326E1ADA" w14:textId="77777777" w:rsidR="00D9092C" w:rsidRPr="00042846" w:rsidRDefault="00D9092C" w:rsidP="003B778E">
      <w:pPr>
        <w:pStyle w:val="Sous-partie2"/>
        <w:numPr>
          <w:ilvl w:val="0"/>
          <w:numId w:val="0"/>
        </w:numPr>
        <w:rPr>
          <w:color w:val="auto"/>
        </w:rPr>
      </w:pPr>
    </w:p>
    <w:p w14:paraId="04A37E51" w14:textId="1709BDF3" w:rsidR="00D9092C" w:rsidRPr="00042846" w:rsidRDefault="00D9092C" w:rsidP="003B778E">
      <w:pPr>
        <w:pStyle w:val="Sous-partie2"/>
        <w:numPr>
          <w:ilvl w:val="0"/>
          <w:numId w:val="0"/>
        </w:numPr>
        <w:rPr>
          <w:color w:val="auto"/>
        </w:rPr>
      </w:pPr>
      <w:r w:rsidRPr="00042846">
        <w:rPr>
          <w:color w:val="auto"/>
        </w:rPr>
        <w:t>Par ailleurs, le projet TWENex s’est également rapproché de structures</w:t>
      </w:r>
      <w:r w:rsidR="00031236" w:rsidRPr="00042846">
        <w:rPr>
          <w:color w:val="auto"/>
        </w:rPr>
        <w:t xml:space="preserve"> des Etats membres</w:t>
      </w:r>
      <w:r w:rsidRPr="00042846">
        <w:rPr>
          <w:color w:val="auto"/>
        </w:rPr>
        <w:t xml:space="preserve"> </w:t>
      </w:r>
      <w:r w:rsidR="00117BDE" w:rsidRPr="00042846">
        <w:rPr>
          <w:color w:val="auto"/>
        </w:rPr>
        <w:t>(</w:t>
      </w:r>
      <w:proofErr w:type="spellStart"/>
      <w:r w:rsidR="00117BDE" w:rsidRPr="00042846">
        <w:rPr>
          <w:color w:val="auto"/>
        </w:rPr>
        <w:t>Quali’tropic</w:t>
      </w:r>
      <w:proofErr w:type="spellEnd"/>
      <w:r w:rsidR="00117BDE" w:rsidRPr="00042846">
        <w:rPr>
          <w:color w:val="auto"/>
        </w:rPr>
        <w:t>, CIRAD/Pré-Rad</w:t>
      </w:r>
      <w:r w:rsidR="00E66CE8" w:rsidRPr="00042846">
        <w:rPr>
          <w:color w:val="auto"/>
        </w:rPr>
        <w:t xml:space="preserve"> OI</w:t>
      </w:r>
      <w:r w:rsidR="002160A2" w:rsidRPr="00042846">
        <w:rPr>
          <w:color w:val="auto"/>
        </w:rPr>
        <w:t>, CBOI, AUF</w:t>
      </w:r>
      <w:r w:rsidR="00175E67" w:rsidRPr="00042846">
        <w:rPr>
          <w:color w:val="auto"/>
        </w:rPr>
        <w:t>, MRIC</w:t>
      </w:r>
      <w:r w:rsidR="00E66CE8" w:rsidRPr="00042846">
        <w:rPr>
          <w:color w:val="auto"/>
        </w:rPr>
        <w:t xml:space="preserve">) </w:t>
      </w:r>
      <w:r w:rsidRPr="00042846">
        <w:rPr>
          <w:color w:val="auto"/>
        </w:rPr>
        <w:t xml:space="preserve">qui </w:t>
      </w:r>
      <w:r w:rsidR="00653DE9" w:rsidRPr="00042846">
        <w:rPr>
          <w:color w:val="auto"/>
        </w:rPr>
        <w:t>œuvrent</w:t>
      </w:r>
      <w:r w:rsidRPr="00042846">
        <w:rPr>
          <w:color w:val="auto"/>
        </w:rPr>
        <w:t xml:space="preserve"> </w:t>
      </w:r>
      <w:r w:rsidR="00653DE9" w:rsidRPr="00042846">
        <w:rPr>
          <w:color w:val="auto"/>
        </w:rPr>
        <w:t>p</w:t>
      </w:r>
      <w:r w:rsidR="00825E87" w:rsidRPr="00042846">
        <w:rPr>
          <w:color w:val="auto"/>
        </w:rPr>
        <w:t>our structurer des réseaux de compétence</w:t>
      </w:r>
      <w:r w:rsidR="00E66CE8" w:rsidRPr="00042846">
        <w:rPr>
          <w:color w:val="auto"/>
        </w:rPr>
        <w:t>s</w:t>
      </w:r>
      <w:r w:rsidR="009E2D89" w:rsidRPr="00042846">
        <w:rPr>
          <w:color w:val="auto"/>
        </w:rPr>
        <w:t xml:space="preserve"> dans la Région</w:t>
      </w:r>
      <w:r w:rsidR="00825E87" w:rsidRPr="00042846">
        <w:rPr>
          <w:color w:val="auto"/>
        </w:rPr>
        <w:t>. Notre objectif étant de consolider un</w:t>
      </w:r>
      <w:r w:rsidR="00E66CE8" w:rsidRPr="00042846">
        <w:rPr>
          <w:color w:val="auto"/>
        </w:rPr>
        <w:t xml:space="preserve">e communauté </w:t>
      </w:r>
      <w:r w:rsidR="002160A2" w:rsidRPr="00042846">
        <w:rPr>
          <w:color w:val="auto"/>
        </w:rPr>
        <w:t xml:space="preserve">régionale </w:t>
      </w:r>
      <w:r w:rsidR="00E8194E" w:rsidRPr="00042846">
        <w:rPr>
          <w:color w:val="auto"/>
        </w:rPr>
        <w:t>multi</w:t>
      </w:r>
      <w:r w:rsidR="00B82A0C" w:rsidRPr="00042846">
        <w:rPr>
          <w:color w:val="auto"/>
        </w:rPr>
        <w:t>-acteurs</w:t>
      </w:r>
      <w:r w:rsidR="00E8194E" w:rsidRPr="00042846">
        <w:rPr>
          <w:color w:val="auto"/>
        </w:rPr>
        <w:t> :</w:t>
      </w:r>
      <w:r w:rsidR="00D45501" w:rsidRPr="00042846">
        <w:rPr>
          <w:color w:val="auto"/>
        </w:rPr>
        <w:t xml:space="preserve"> </w:t>
      </w:r>
      <w:r w:rsidR="00D45501" w:rsidRPr="00042846">
        <w:rPr>
          <w:rFonts w:eastAsia="Roboto"/>
          <w:color w:val="auto"/>
        </w:rPr>
        <w:t>chercheurs, universitaires, secteur public, secteur privé et société civile.</w:t>
      </w:r>
    </w:p>
    <w:p w14:paraId="5D90F48B" w14:textId="77777777" w:rsidR="00E1495C" w:rsidRPr="00042846" w:rsidRDefault="00E1495C" w:rsidP="003B778E">
      <w:pPr>
        <w:pStyle w:val="Sous-partie2"/>
        <w:numPr>
          <w:ilvl w:val="0"/>
          <w:numId w:val="0"/>
        </w:numPr>
        <w:rPr>
          <w:color w:val="auto"/>
        </w:rPr>
      </w:pPr>
    </w:p>
    <w:p w14:paraId="00733882" w14:textId="04AACE4C" w:rsidR="00E1495C" w:rsidRPr="00042846" w:rsidRDefault="00E1495C" w:rsidP="003B778E">
      <w:pPr>
        <w:pStyle w:val="Sous-partie2"/>
        <w:numPr>
          <w:ilvl w:val="0"/>
          <w:numId w:val="0"/>
        </w:numPr>
        <w:rPr>
          <w:color w:val="auto"/>
        </w:rPr>
      </w:pPr>
      <w:r w:rsidRPr="00042846">
        <w:rPr>
          <w:color w:val="auto"/>
        </w:rPr>
        <w:t xml:space="preserve">Pour se faire, le projet TWENex utilise à bon escient </w:t>
      </w:r>
      <w:r w:rsidR="00E8194E" w:rsidRPr="00042846">
        <w:rPr>
          <w:color w:val="auto"/>
        </w:rPr>
        <w:t xml:space="preserve">les ressources à disposition pour la tenue de ces réunions annuelles afin de lancer la première édition d’un </w:t>
      </w:r>
      <w:r w:rsidR="00E8194E" w:rsidRPr="00042846">
        <w:rPr>
          <w:b/>
          <w:bCs/>
          <w:color w:val="auto"/>
        </w:rPr>
        <w:t>Forum Régional de l’Innovation</w:t>
      </w:r>
      <w:r w:rsidR="00E8194E" w:rsidRPr="00042846">
        <w:rPr>
          <w:color w:val="auto"/>
        </w:rPr>
        <w:t xml:space="preserve"> qui se tiendra à Madagascar </w:t>
      </w:r>
      <w:r w:rsidR="00E8194E" w:rsidRPr="00042846">
        <w:rPr>
          <w:b/>
          <w:bCs/>
          <w:color w:val="auto"/>
        </w:rPr>
        <w:t xml:space="preserve">le 28 </w:t>
      </w:r>
      <w:r w:rsidR="00111476" w:rsidRPr="00042846">
        <w:rPr>
          <w:b/>
          <w:bCs/>
          <w:color w:val="auto"/>
        </w:rPr>
        <w:t>&amp;</w:t>
      </w:r>
      <w:r w:rsidR="00E8194E" w:rsidRPr="00042846">
        <w:rPr>
          <w:b/>
          <w:bCs/>
          <w:color w:val="auto"/>
        </w:rPr>
        <w:t xml:space="preserve"> 29 Juin 2024.</w:t>
      </w:r>
    </w:p>
    <w:p w14:paraId="061E13A9" w14:textId="77777777" w:rsidR="00056725" w:rsidRPr="00042846" w:rsidRDefault="00056725" w:rsidP="003B778E">
      <w:pPr>
        <w:pStyle w:val="Sous-partie2"/>
        <w:numPr>
          <w:ilvl w:val="0"/>
          <w:numId w:val="0"/>
        </w:numPr>
        <w:rPr>
          <w:color w:val="auto"/>
        </w:rPr>
      </w:pPr>
    </w:p>
    <w:p w14:paraId="48BD75C2" w14:textId="150B8BA9" w:rsidR="00056725" w:rsidRPr="00042846" w:rsidRDefault="002870E7" w:rsidP="003B778E">
      <w:pPr>
        <w:pStyle w:val="Sous-partie2"/>
        <w:numPr>
          <w:ilvl w:val="0"/>
          <w:numId w:val="0"/>
        </w:numPr>
        <w:rPr>
          <w:rFonts w:eastAsia="Roboto"/>
          <w:i/>
          <w:iCs/>
          <w:color w:val="auto"/>
        </w:rPr>
      </w:pPr>
      <w:r w:rsidRPr="00042846">
        <w:rPr>
          <w:rFonts w:eastAsia="Roboto"/>
          <w:color w:val="auto"/>
        </w:rPr>
        <w:t xml:space="preserve">Le Forum Régional de l’Innovation est un évènement qui a pour objectif d’apporter sa pierre à l’édifice dans la mise en réseau de cette communauté et ambitionne </w:t>
      </w:r>
      <w:r w:rsidR="00031236" w:rsidRPr="00042846">
        <w:rPr>
          <w:rFonts w:eastAsia="Roboto"/>
          <w:color w:val="auto"/>
        </w:rPr>
        <w:t>une pérennisation</w:t>
      </w:r>
      <w:r w:rsidRPr="00042846">
        <w:rPr>
          <w:rFonts w:eastAsia="Roboto"/>
          <w:i/>
          <w:iCs/>
          <w:color w:val="auto"/>
        </w:rPr>
        <w:t>.</w:t>
      </w:r>
    </w:p>
    <w:p w14:paraId="4415D0F4" w14:textId="77777777" w:rsidR="009E2D89" w:rsidRPr="00042846" w:rsidRDefault="009E2D89" w:rsidP="003B778E">
      <w:pPr>
        <w:pStyle w:val="Sous-partie2"/>
        <w:numPr>
          <w:ilvl w:val="0"/>
          <w:numId w:val="0"/>
        </w:numPr>
        <w:rPr>
          <w:rFonts w:eastAsia="Roboto"/>
          <w:i/>
          <w:iCs/>
          <w:color w:val="auto"/>
        </w:rPr>
      </w:pPr>
    </w:p>
    <w:p w14:paraId="0F17EE09" w14:textId="4A9A77F0" w:rsidR="009E2D89" w:rsidRDefault="009E2D89" w:rsidP="003B778E">
      <w:pPr>
        <w:pStyle w:val="Sous-partie2"/>
        <w:numPr>
          <w:ilvl w:val="0"/>
          <w:numId w:val="0"/>
        </w:numPr>
        <w:rPr>
          <w:rFonts w:eastAsia="Roboto"/>
          <w:color w:val="auto"/>
        </w:rPr>
      </w:pPr>
      <w:r w:rsidRPr="00042846">
        <w:rPr>
          <w:rFonts w:eastAsia="Roboto"/>
          <w:color w:val="auto"/>
        </w:rPr>
        <w:t>Par ailleurs, l</w:t>
      </w:r>
      <w:r w:rsidR="00FC4944" w:rsidRPr="00042846">
        <w:rPr>
          <w:rFonts w:eastAsia="Roboto"/>
          <w:color w:val="auto"/>
        </w:rPr>
        <w:t xml:space="preserve">’OACPS a mis à contribution son mécanisme </w:t>
      </w:r>
      <w:r w:rsidR="00243B77" w:rsidRPr="00042846">
        <w:rPr>
          <w:rFonts w:eastAsia="Roboto"/>
          <w:color w:val="auto"/>
        </w:rPr>
        <w:t xml:space="preserve">PSF (Policy Support </w:t>
      </w:r>
      <w:r w:rsidR="00E0484E" w:rsidRPr="00042846">
        <w:rPr>
          <w:rFonts w:eastAsia="Roboto"/>
          <w:color w:val="auto"/>
        </w:rPr>
        <w:t>Facility) pour appuyer à la rédaction de la Stratégie Régionale de la Recherche et de l’Innovation</w:t>
      </w:r>
      <w:r w:rsidR="00810EB8" w:rsidRPr="00042846">
        <w:rPr>
          <w:rFonts w:eastAsia="Roboto"/>
          <w:color w:val="auto"/>
        </w:rPr>
        <w:t xml:space="preserve"> sous la supervision de la COI. </w:t>
      </w:r>
    </w:p>
    <w:p w14:paraId="1F35B85B" w14:textId="77777777" w:rsidR="00042846" w:rsidRDefault="00042846" w:rsidP="003B778E">
      <w:pPr>
        <w:pStyle w:val="Sous-partie2"/>
        <w:numPr>
          <w:ilvl w:val="0"/>
          <w:numId w:val="0"/>
        </w:numPr>
        <w:rPr>
          <w:rFonts w:eastAsia="Roboto"/>
          <w:color w:val="auto"/>
        </w:rPr>
      </w:pPr>
    </w:p>
    <w:p w14:paraId="4E2A11F1" w14:textId="77777777" w:rsidR="00026662" w:rsidRPr="00042846" w:rsidRDefault="00026662" w:rsidP="003B778E">
      <w:pPr>
        <w:pStyle w:val="Sous-partie2"/>
        <w:numPr>
          <w:ilvl w:val="0"/>
          <w:numId w:val="0"/>
        </w:numPr>
        <w:rPr>
          <w:rFonts w:eastAsia="Roboto"/>
          <w:color w:val="auto"/>
        </w:rPr>
      </w:pPr>
    </w:p>
    <w:p w14:paraId="017F92D6" w14:textId="77777777" w:rsidR="00175E67" w:rsidRPr="00042846" w:rsidRDefault="00175E67" w:rsidP="003B778E">
      <w:pPr>
        <w:pStyle w:val="Sous-partie2"/>
        <w:numPr>
          <w:ilvl w:val="0"/>
          <w:numId w:val="0"/>
        </w:numPr>
        <w:rPr>
          <w:rFonts w:eastAsia="Roboto"/>
          <w:color w:val="auto"/>
        </w:rPr>
      </w:pPr>
    </w:p>
    <w:p w14:paraId="6B4DB4B6" w14:textId="3AD2B783" w:rsidR="00175E67" w:rsidRPr="00042846" w:rsidRDefault="00011273" w:rsidP="00031236">
      <w:pPr>
        <w:pStyle w:val="Sous-partie2"/>
      </w:pPr>
      <w:r w:rsidRPr="00042846">
        <w:lastRenderedPageBreak/>
        <w:t>Programme de renforcement de capacités</w:t>
      </w:r>
    </w:p>
    <w:p w14:paraId="004F8498" w14:textId="7D2B443C" w:rsidR="00955BB3" w:rsidRPr="00042846" w:rsidRDefault="00011273" w:rsidP="003841D6">
      <w:pPr>
        <w:jc w:val="both"/>
        <w:rPr>
          <w:rFonts w:ascii="Verdana" w:hAnsi="Verdana" w:cs="Calibri"/>
          <w:sz w:val="20"/>
          <w:szCs w:val="20"/>
        </w:rPr>
      </w:pPr>
      <w:r w:rsidRPr="00042846">
        <w:rPr>
          <w:rFonts w:ascii="Verdana" w:hAnsi="Verdana" w:cs="Calibri"/>
          <w:sz w:val="20"/>
          <w:szCs w:val="20"/>
        </w:rPr>
        <w:t>Le projet TWENex favorise le</w:t>
      </w:r>
      <w:r w:rsidR="00111476" w:rsidRPr="00042846">
        <w:rPr>
          <w:rFonts w:ascii="Verdana" w:hAnsi="Verdana" w:cs="Calibri"/>
          <w:sz w:val="20"/>
          <w:szCs w:val="20"/>
        </w:rPr>
        <w:t xml:space="preserve"> renforcement de capacités au travers de l’intra-compagnonnage entre les </w:t>
      </w:r>
      <w:r w:rsidR="008166DF" w:rsidRPr="00042846">
        <w:rPr>
          <w:rFonts w:ascii="Verdana" w:hAnsi="Verdana" w:cs="Calibri"/>
          <w:sz w:val="20"/>
          <w:szCs w:val="20"/>
        </w:rPr>
        <w:t>multiplicateurs et l’élaboration de programme de formation.</w:t>
      </w:r>
    </w:p>
    <w:p w14:paraId="2AD07167" w14:textId="39C94789" w:rsidR="008166DF" w:rsidRPr="00042846" w:rsidRDefault="00FC6E3C" w:rsidP="003841D6">
      <w:pPr>
        <w:jc w:val="both"/>
        <w:rPr>
          <w:rFonts w:ascii="Verdana" w:hAnsi="Verdana" w:cs="Calibri"/>
          <w:sz w:val="20"/>
          <w:szCs w:val="20"/>
        </w:rPr>
      </w:pPr>
      <w:r w:rsidRPr="00042846">
        <w:rPr>
          <w:rFonts w:ascii="Verdana" w:hAnsi="Verdana" w:cs="Calibri"/>
          <w:sz w:val="20"/>
          <w:szCs w:val="20"/>
        </w:rPr>
        <w:t xml:space="preserve">Deux sessions de formation de formateurs </w:t>
      </w:r>
      <w:r w:rsidR="009A34D9" w:rsidRPr="00042846">
        <w:rPr>
          <w:rFonts w:ascii="Verdana" w:hAnsi="Verdana" w:cs="Calibri"/>
          <w:sz w:val="20"/>
          <w:szCs w:val="20"/>
        </w:rPr>
        <w:t xml:space="preserve">sur la caractérisation des déchets </w:t>
      </w:r>
      <w:r w:rsidRPr="00042846">
        <w:rPr>
          <w:rFonts w:ascii="Verdana" w:hAnsi="Verdana" w:cs="Calibri"/>
          <w:sz w:val="20"/>
          <w:szCs w:val="20"/>
        </w:rPr>
        <w:t xml:space="preserve">ont été menées par l’Université de Maurice auprès </w:t>
      </w:r>
      <w:r w:rsidR="00E45522" w:rsidRPr="00042846">
        <w:rPr>
          <w:rFonts w:ascii="Verdana" w:hAnsi="Verdana" w:cs="Calibri"/>
          <w:sz w:val="20"/>
          <w:szCs w:val="20"/>
        </w:rPr>
        <w:t>d</w:t>
      </w:r>
      <w:r w:rsidR="009A34D9" w:rsidRPr="00042846">
        <w:rPr>
          <w:rFonts w:ascii="Verdana" w:hAnsi="Verdana" w:cs="Calibri"/>
          <w:sz w:val="20"/>
          <w:szCs w:val="20"/>
        </w:rPr>
        <w:t>’une centaine de bénéficiaires à Madagascar et aux Comores.</w:t>
      </w:r>
    </w:p>
    <w:p w14:paraId="5512D434" w14:textId="4D6F4136" w:rsidR="00E43370" w:rsidRPr="00042846" w:rsidRDefault="00E43370" w:rsidP="003841D6">
      <w:pPr>
        <w:jc w:val="both"/>
        <w:rPr>
          <w:rFonts w:ascii="Verdana" w:hAnsi="Verdana" w:cs="Calibri"/>
          <w:sz w:val="20"/>
          <w:szCs w:val="20"/>
        </w:rPr>
      </w:pPr>
      <w:r w:rsidRPr="00042846">
        <w:rPr>
          <w:rFonts w:ascii="Verdana" w:hAnsi="Verdana" w:cs="Calibri"/>
          <w:sz w:val="20"/>
          <w:szCs w:val="20"/>
        </w:rPr>
        <w:t>Par ailleurs, l’Université de Maurice a accompagné l’Université des Comores et le CNRIT</w:t>
      </w:r>
      <w:r w:rsidR="00765EE4" w:rsidRPr="00042846">
        <w:rPr>
          <w:rFonts w:ascii="Verdana" w:hAnsi="Verdana" w:cs="Calibri"/>
          <w:sz w:val="20"/>
          <w:szCs w:val="20"/>
        </w:rPr>
        <w:t xml:space="preserve"> dans la conduite d’analyses physico-chimiques des déchets et l’utilisation du matériel spécifique de laboratoire.</w:t>
      </w:r>
    </w:p>
    <w:p w14:paraId="77E6E8B9" w14:textId="3AB841E5" w:rsidR="007D5FC3" w:rsidRPr="00042846" w:rsidRDefault="001677B9" w:rsidP="003841D6">
      <w:pPr>
        <w:jc w:val="both"/>
        <w:rPr>
          <w:rFonts w:ascii="Verdana" w:hAnsi="Verdana" w:cs="Calibri"/>
          <w:sz w:val="20"/>
          <w:szCs w:val="20"/>
        </w:rPr>
      </w:pPr>
      <w:r w:rsidRPr="00042846">
        <w:rPr>
          <w:rFonts w:ascii="Verdana" w:hAnsi="Verdana" w:cs="Calibri"/>
          <w:sz w:val="20"/>
          <w:szCs w:val="20"/>
        </w:rPr>
        <w:t xml:space="preserve">Enfin, trois modules de formation </w:t>
      </w:r>
      <w:r w:rsidR="007D5FC3" w:rsidRPr="00042846">
        <w:rPr>
          <w:rFonts w:ascii="Verdana" w:hAnsi="Verdana" w:cs="Calibri"/>
          <w:sz w:val="20"/>
          <w:szCs w:val="20"/>
        </w:rPr>
        <w:t>sont en cours de production sur les thématiques :</w:t>
      </w:r>
    </w:p>
    <w:p w14:paraId="2B2F39C4" w14:textId="6EAFE9E1" w:rsidR="007D5FC3" w:rsidRPr="00042846" w:rsidRDefault="00031236" w:rsidP="007D5FC3">
      <w:pPr>
        <w:pStyle w:val="Paragraphedeliste"/>
        <w:numPr>
          <w:ilvl w:val="0"/>
          <w:numId w:val="21"/>
        </w:numPr>
        <w:jc w:val="both"/>
        <w:rPr>
          <w:rFonts w:ascii="Verdana" w:hAnsi="Verdana" w:cstheme="minorHAnsi"/>
          <w:b/>
          <w:bCs/>
          <w:i/>
          <w:iCs/>
          <w:sz w:val="20"/>
          <w:szCs w:val="20"/>
        </w:rPr>
      </w:pPr>
      <w:r w:rsidRPr="00042846">
        <w:rPr>
          <w:rFonts w:ascii="Verdana" w:hAnsi="Verdana" w:cstheme="minorHAnsi"/>
          <w:b/>
          <w:bCs/>
          <w:i/>
          <w:iCs/>
          <w:sz w:val="20"/>
          <w:szCs w:val="20"/>
        </w:rPr>
        <w:t>Caractérisation physico-chimique des déchets</w:t>
      </w:r>
    </w:p>
    <w:p w14:paraId="4DC7CCB3" w14:textId="12D960E8" w:rsidR="007D5FC3" w:rsidRPr="00042846" w:rsidRDefault="00031236" w:rsidP="007D5FC3">
      <w:pPr>
        <w:pStyle w:val="Paragraphedeliste"/>
        <w:numPr>
          <w:ilvl w:val="0"/>
          <w:numId w:val="21"/>
        </w:numPr>
        <w:jc w:val="both"/>
        <w:rPr>
          <w:rFonts w:ascii="Verdana" w:hAnsi="Verdana" w:cstheme="minorHAnsi"/>
          <w:b/>
          <w:bCs/>
          <w:i/>
          <w:iCs/>
          <w:sz w:val="20"/>
          <w:szCs w:val="20"/>
        </w:rPr>
      </w:pPr>
      <w:r w:rsidRPr="00042846">
        <w:rPr>
          <w:rFonts w:ascii="Verdana" w:hAnsi="Verdana" w:cstheme="minorHAnsi"/>
          <w:b/>
          <w:bCs/>
          <w:i/>
          <w:iCs/>
          <w:sz w:val="20"/>
          <w:szCs w:val="20"/>
        </w:rPr>
        <w:t>Gestion durable des déchets</w:t>
      </w:r>
    </w:p>
    <w:p w14:paraId="1ACDC884" w14:textId="6A6CFC31" w:rsidR="007D5FC3" w:rsidRPr="00042846" w:rsidRDefault="00031236" w:rsidP="007D5FC3">
      <w:pPr>
        <w:pStyle w:val="Paragraphedeliste"/>
        <w:numPr>
          <w:ilvl w:val="0"/>
          <w:numId w:val="21"/>
        </w:numPr>
        <w:jc w:val="both"/>
        <w:rPr>
          <w:rFonts w:ascii="Verdana" w:hAnsi="Verdana" w:cstheme="minorHAnsi"/>
          <w:b/>
          <w:bCs/>
          <w:i/>
          <w:iCs/>
          <w:sz w:val="20"/>
          <w:szCs w:val="20"/>
        </w:rPr>
      </w:pPr>
      <w:r w:rsidRPr="00042846">
        <w:rPr>
          <w:rFonts w:ascii="Verdana" w:hAnsi="Verdana" w:cstheme="minorHAnsi"/>
          <w:b/>
          <w:bCs/>
          <w:i/>
          <w:iCs/>
          <w:sz w:val="20"/>
          <w:szCs w:val="20"/>
        </w:rPr>
        <w:t>Technologies de production de bioénergies</w:t>
      </w:r>
    </w:p>
    <w:p w14:paraId="3D975793" w14:textId="6DAC5944" w:rsidR="001677B9" w:rsidRPr="00042846" w:rsidRDefault="00A36AFA" w:rsidP="003841D6">
      <w:pPr>
        <w:jc w:val="both"/>
        <w:rPr>
          <w:rFonts w:ascii="Verdana" w:hAnsi="Verdana" w:cs="Calibri"/>
          <w:sz w:val="20"/>
          <w:szCs w:val="20"/>
        </w:rPr>
      </w:pPr>
      <w:r w:rsidRPr="00042846">
        <w:rPr>
          <w:rFonts w:ascii="Verdana" w:hAnsi="Verdana" w:cs="Calibri"/>
          <w:sz w:val="20"/>
          <w:szCs w:val="20"/>
        </w:rPr>
        <w:t>Il semble évident que les partenariats scientifiques universitaires, la mobilité universitaire, les parcours pédagogiques reconnus régionalement</w:t>
      </w:r>
      <w:r w:rsidR="005664F2" w:rsidRPr="00042846">
        <w:rPr>
          <w:rFonts w:ascii="Verdana" w:hAnsi="Verdana" w:cs="Calibri"/>
          <w:sz w:val="20"/>
          <w:szCs w:val="20"/>
        </w:rPr>
        <w:t xml:space="preserve"> sont un levier extraordinaire pour consolider le bassin d’expertise de la région.</w:t>
      </w:r>
    </w:p>
    <w:p w14:paraId="172FA26A" w14:textId="77777777" w:rsidR="00031236" w:rsidRPr="00042846" w:rsidRDefault="00031236" w:rsidP="003841D6">
      <w:pPr>
        <w:jc w:val="both"/>
        <w:rPr>
          <w:rFonts w:ascii="Verdana" w:hAnsi="Verdana" w:cs="Calibri"/>
          <w:sz w:val="20"/>
          <w:szCs w:val="20"/>
        </w:rPr>
      </w:pPr>
    </w:p>
    <w:p w14:paraId="7AECF642" w14:textId="54A526E6" w:rsidR="00E0445A" w:rsidRPr="00042846" w:rsidRDefault="001D531C" w:rsidP="00031236">
      <w:pPr>
        <w:pStyle w:val="Titrepartie"/>
        <w:rPr>
          <w:sz w:val="20"/>
        </w:rPr>
      </w:pPr>
      <w:r w:rsidRPr="00042846">
        <w:rPr>
          <w:sz w:val="20"/>
        </w:rPr>
        <w:t xml:space="preserve">Le projet ExPLOI </w:t>
      </w:r>
    </w:p>
    <w:p w14:paraId="5DCFDA11" w14:textId="2675A243" w:rsidR="00031236" w:rsidRPr="00042846" w:rsidRDefault="00A3566B" w:rsidP="00031236">
      <w:pPr>
        <w:pStyle w:val="Titrepartie"/>
        <w:numPr>
          <w:ilvl w:val="0"/>
          <w:numId w:val="0"/>
        </w:numPr>
        <w:rPr>
          <w:b w:val="0"/>
          <w:bCs w:val="0"/>
          <w:color w:val="auto"/>
          <w:sz w:val="20"/>
        </w:rPr>
      </w:pPr>
      <w:r w:rsidRPr="00042846">
        <w:rPr>
          <w:b w:val="0"/>
          <w:bCs w:val="0"/>
          <w:color w:val="auto"/>
          <w:sz w:val="20"/>
        </w:rPr>
        <w:t xml:space="preserve">Le projet Expédition Plastique dans l’océan Indien </w:t>
      </w:r>
      <w:r w:rsidRPr="00042846">
        <w:rPr>
          <w:color w:val="auto"/>
          <w:sz w:val="20"/>
        </w:rPr>
        <w:t>(ExPLOI</w:t>
      </w:r>
      <w:r w:rsidRPr="00042846">
        <w:rPr>
          <w:b w:val="0"/>
          <w:bCs w:val="0"/>
          <w:color w:val="auto"/>
          <w:sz w:val="20"/>
        </w:rPr>
        <w:t xml:space="preserve">) </w:t>
      </w:r>
      <w:r w:rsidR="00E0445A" w:rsidRPr="00042846">
        <w:rPr>
          <w:b w:val="0"/>
          <w:bCs w:val="0"/>
          <w:color w:val="auto"/>
          <w:sz w:val="20"/>
        </w:rPr>
        <w:t xml:space="preserve">est </w:t>
      </w:r>
      <w:r w:rsidRPr="00042846">
        <w:rPr>
          <w:b w:val="0"/>
          <w:bCs w:val="0"/>
          <w:color w:val="auto"/>
          <w:sz w:val="20"/>
        </w:rPr>
        <w:t xml:space="preserve">financé par l’Agence française de développement (AFD) à hauteur de cinq millions d’euros (5 000 000 Euros) et le Fonds français pour l’environnement mondial (FFEM) à hauteur </w:t>
      </w:r>
      <w:r w:rsidR="00E0445A" w:rsidRPr="00042846">
        <w:rPr>
          <w:b w:val="0"/>
          <w:bCs w:val="0"/>
          <w:color w:val="auto"/>
          <w:sz w:val="20"/>
        </w:rPr>
        <w:t>d’un</w:t>
      </w:r>
      <w:r w:rsidRPr="00042846">
        <w:rPr>
          <w:b w:val="0"/>
          <w:bCs w:val="0"/>
          <w:color w:val="auto"/>
          <w:sz w:val="20"/>
        </w:rPr>
        <w:t xml:space="preserve"> million sept cent mille euros (1.700.000 euros).</w:t>
      </w:r>
      <w:r w:rsidR="00031236" w:rsidRPr="00042846">
        <w:rPr>
          <w:b w:val="0"/>
          <w:bCs w:val="0"/>
          <w:color w:val="auto"/>
          <w:sz w:val="20"/>
        </w:rPr>
        <w:t xml:space="preserve"> Il participe à la mise en œuvre du plan d’action de réduction et de gestion des déchets de la COI (2019). </w:t>
      </w:r>
    </w:p>
    <w:p w14:paraId="7CA28F77" w14:textId="77777777" w:rsidR="00031236" w:rsidRPr="00042846" w:rsidRDefault="00031236" w:rsidP="00031236">
      <w:pPr>
        <w:pStyle w:val="Titrepartie"/>
        <w:numPr>
          <w:ilvl w:val="0"/>
          <w:numId w:val="0"/>
        </w:numPr>
        <w:rPr>
          <w:b w:val="0"/>
          <w:bCs w:val="0"/>
          <w:color w:val="auto"/>
          <w:sz w:val="20"/>
        </w:rPr>
      </w:pPr>
    </w:p>
    <w:p w14:paraId="6EBDB11A" w14:textId="1B6FC63A" w:rsidR="00A3566B" w:rsidRPr="00042846" w:rsidRDefault="00031236" w:rsidP="00031236">
      <w:pPr>
        <w:pStyle w:val="Titrepartie"/>
        <w:numPr>
          <w:ilvl w:val="0"/>
          <w:numId w:val="0"/>
        </w:numPr>
        <w:rPr>
          <w:b w:val="0"/>
          <w:bCs w:val="0"/>
          <w:color w:val="auto"/>
          <w:sz w:val="20"/>
        </w:rPr>
      </w:pPr>
      <w:r w:rsidRPr="00042846">
        <w:rPr>
          <w:b w:val="0"/>
          <w:bCs w:val="0"/>
          <w:color w:val="auto"/>
          <w:sz w:val="20"/>
        </w:rPr>
        <w:t>ExPLOI</w:t>
      </w:r>
      <w:r w:rsidR="00A3566B" w:rsidRPr="00042846">
        <w:rPr>
          <w:b w:val="0"/>
          <w:bCs w:val="0"/>
          <w:color w:val="auto"/>
          <w:sz w:val="20"/>
        </w:rPr>
        <w:t xml:space="preserve"> vise à créer les conditions de partenariats public-privé, en étroite collaboration avec les États membres de la COI, les organisations non gouvernementale (ONG) et la recherche pour soutenir, au niveau régional, l’évolution des comportements et l’engagement des parties prenantes, particulièrement les entreprises, dans une dynamique « 3R » (Réduire, Réutiliser, Recycler). </w:t>
      </w:r>
    </w:p>
    <w:p w14:paraId="0F72EA6A" w14:textId="10A2417B" w:rsidR="008F39D3" w:rsidRPr="00042846" w:rsidRDefault="008F39D3" w:rsidP="00E0445A">
      <w:pPr>
        <w:pStyle w:val="Titrepartie"/>
        <w:numPr>
          <w:ilvl w:val="0"/>
          <w:numId w:val="0"/>
        </w:numPr>
        <w:ind w:left="360"/>
        <w:rPr>
          <w:b w:val="0"/>
          <w:bCs w:val="0"/>
          <w:color w:val="auto"/>
          <w:sz w:val="20"/>
        </w:rPr>
      </w:pPr>
    </w:p>
    <w:p w14:paraId="086A3C57" w14:textId="2A144F53" w:rsidR="00A3566B" w:rsidRPr="00042846" w:rsidRDefault="00A3566B" w:rsidP="00587D27">
      <w:pPr>
        <w:pStyle w:val="Titrepartie"/>
        <w:numPr>
          <w:ilvl w:val="0"/>
          <w:numId w:val="0"/>
        </w:numPr>
        <w:rPr>
          <w:b w:val="0"/>
          <w:bCs w:val="0"/>
          <w:color w:val="auto"/>
          <w:sz w:val="20"/>
        </w:rPr>
      </w:pPr>
      <w:r w:rsidRPr="00042846">
        <w:rPr>
          <w:b w:val="0"/>
          <w:bCs w:val="0"/>
          <w:color w:val="auto"/>
          <w:sz w:val="20"/>
        </w:rPr>
        <w:t xml:space="preserve">Le projet se base sur </w:t>
      </w:r>
      <w:r w:rsidR="00E0445A" w:rsidRPr="00042846">
        <w:rPr>
          <w:b w:val="0"/>
          <w:bCs w:val="0"/>
          <w:color w:val="auto"/>
          <w:sz w:val="20"/>
        </w:rPr>
        <w:t>l</w:t>
      </w:r>
      <w:r w:rsidR="00031236" w:rsidRPr="00042846">
        <w:rPr>
          <w:b w:val="0"/>
          <w:bCs w:val="0"/>
          <w:color w:val="auto"/>
          <w:sz w:val="20"/>
        </w:rPr>
        <w:t>e</w:t>
      </w:r>
      <w:r w:rsidR="00E0445A" w:rsidRPr="00042846">
        <w:rPr>
          <w:b w:val="0"/>
          <w:bCs w:val="0"/>
          <w:color w:val="auto"/>
          <w:sz w:val="20"/>
        </w:rPr>
        <w:t xml:space="preserve">s </w:t>
      </w:r>
      <w:r w:rsidRPr="00042846">
        <w:rPr>
          <w:b w:val="0"/>
          <w:bCs w:val="0"/>
          <w:color w:val="auto"/>
          <w:sz w:val="20"/>
        </w:rPr>
        <w:t xml:space="preserve">cinq composantes </w:t>
      </w:r>
      <w:r w:rsidR="00E0445A" w:rsidRPr="00042846">
        <w:rPr>
          <w:b w:val="0"/>
          <w:bCs w:val="0"/>
          <w:color w:val="auto"/>
          <w:sz w:val="20"/>
        </w:rPr>
        <w:t xml:space="preserve">suivantes </w:t>
      </w:r>
      <w:r w:rsidRPr="00042846">
        <w:rPr>
          <w:b w:val="0"/>
          <w:bCs w:val="0"/>
          <w:color w:val="auto"/>
          <w:sz w:val="20"/>
        </w:rPr>
        <w:t xml:space="preserve">: </w:t>
      </w:r>
    </w:p>
    <w:p w14:paraId="15A3AFEB" w14:textId="4FCD9010"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Développer des connaissances scientifiques partagées sur l’état des pollutions marines dans la région du Sud-Ouest de l’océan Indien ; </w:t>
      </w:r>
    </w:p>
    <w:p w14:paraId="7E848573" w14:textId="728981DA"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Impliquer et responsabiliser les publics cibles ; </w:t>
      </w:r>
    </w:p>
    <w:p w14:paraId="58C5CF96" w14:textId="20478793"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Accompagner et stimuler les initiatives et les projets ;</w:t>
      </w:r>
    </w:p>
    <w:p w14:paraId="63C03717" w14:textId="02C5662B"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Identifier et accompagner les projets de substitution ou de recyclage du plastique. </w:t>
      </w:r>
    </w:p>
    <w:p w14:paraId="56F18FA5" w14:textId="69ED2382" w:rsidR="00A3566B" w:rsidRPr="00042846" w:rsidRDefault="00A3566B" w:rsidP="00031236">
      <w:pPr>
        <w:pStyle w:val="Titrepartie"/>
        <w:numPr>
          <w:ilvl w:val="0"/>
          <w:numId w:val="30"/>
        </w:numPr>
        <w:rPr>
          <w:b w:val="0"/>
          <w:bCs w:val="0"/>
          <w:i/>
          <w:iCs/>
          <w:color w:val="auto"/>
          <w:sz w:val="20"/>
        </w:rPr>
      </w:pPr>
      <w:r w:rsidRPr="00042846">
        <w:rPr>
          <w:b w:val="0"/>
          <w:bCs w:val="0"/>
          <w:i/>
          <w:iCs/>
          <w:color w:val="auto"/>
          <w:sz w:val="20"/>
        </w:rPr>
        <w:t xml:space="preserve">Gestion du projet </w:t>
      </w:r>
    </w:p>
    <w:p w14:paraId="58F4B060" w14:textId="77777777" w:rsidR="00A3566B" w:rsidRPr="00042846" w:rsidRDefault="00A3566B" w:rsidP="00A3566B">
      <w:pPr>
        <w:pStyle w:val="Titrepartie"/>
        <w:numPr>
          <w:ilvl w:val="0"/>
          <w:numId w:val="0"/>
        </w:numPr>
        <w:ind w:left="360"/>
        <w:rPr>
          <w:b w:val="0"/>
          <w:bCs w:val="0"/>
          <w:color w:val="auto"/>
          <w:sz w:val="20"/>
        </w:rPr>
      </w:pPr>
    </w:p>
    <w:p w14:paraId="4606F9B3" w14:textId="294F0708" w:rsidR="001D531C" w:rsidRPr="00042846" w:rsidRDefault="00A3566B" w:rsidP="00031236">
      <w:pPr>
        <w:pStyle w:val="Titrepartie"/>
        <w:numPr>
          <w:ilvl w:val="0"/>
          <w:numId w:val="0"/>
        </w:numPr>
        <w:rPr>
          <w:b w:val="0"/>
          <w:bCs w:val="0"/>
          <w:color w:val="auto"/>
          <w:sz w:val="20"/>
        </w:rPr>
      </w:pPr>
      <w:r w:rsidRPr="00042846">
        <w:rPr>
          <w:b w:val="0"/>
          <w:bCs w:val="0"/>
          <w:color w:val="auto"/>
          <w:sz w:val="20"/>
        </w:rPr>
        <w:t>Ce projet s’inscrit dans le cadre du domaine d’intervention 1 de la COI, « Transition écologique et énergétique, Tourisme et Migrations ».</w:t>
      </w:r>
    </w:p>
    <w:p w14:paraId="7E19198E" w14:textId="77777777" w:rsidR="00776BA1" w:rsidRPr="00042846" w:rsidRDefault="00776BA1" w:rsidP="008F39D3">
      <w:pPr>
        <w:pStyle w:val="Titrepartie"/>
        <w:numPr>
          <w:ilvl w:val="0"/>
          <w:numId w:val="0"/>
        </w:numPr>
        <w:ind w:left="360"/>
        <w:rPr>
          <w:b w:val="0"/>
          <w:bCs w:val="0"/>
          <w:color w:val="auto"/>
          <w:sz w:val="20"/>
        </w:rPr>
      </w:pPr>
    </w:p>
    <w:p w14:paraId="64050702" w14:textId="6902F80D" w:rsidR="00E0445A" w:rsidRPr="00042846" w:rsidRDefault="00E0445A" w:rsidP="00031236">
      <w:pPr>
        <w:pStyle w:val="Sous-partie2"/>
        <w:rPr>
          <w:b/>
          <w:bCs/>
        </w:rPr>
      </w:pPr>
      <w:r w:rsidRPr="00042846">
        <w:t xml:space="preserve">Etat d’avancement </w:t>
      </w:r>
    </w:p>
    <w:p w14:paraId="283D4637" w14:textId="7892AFBD" w:rsidR="00D4740D" w:rsidRPr="00042846" w:rsidRDefault="00FE1639" w:rsidP="00FD1031">
      <w:pPr>
        <w:jc w:val="both"/>
        <w:rPr>
          <w:rFonts w:ascii="Verdana" w:hAnsi="Verdana" w:cs="Calibri"/>
          <w:sz w:val="20"/>
          <w:szCs w:val="20"/>
        </w:rPr>
      </w:pPr>
      <w:r w:rsidRPr="00042846">
        <w:rPr>
          <w:rFonts w:ascii="Verdana" w:hAnsi="Verdana" w:cs="Calibri"/>
          <w:sz w:val="20"/>
          <w:szCs w:val="20"/>
        </w:rPr>
        <w:t xml:space="preserve">Les activités de ce projet progressent lentement. L’assistance technique qui devra apporter un appui au Secrétariat général à la mise en œuvre de ce projet est en cours de recrutement. Le premier appel d’offre a été infructueux et le Secrétariat s’apprête à finaliser la signature du contrat avec un nouveau bureau d’assistance </w:t>
      </w:r>
      <w:r w:rsidR="00FD1031" w:rsidRPr="00042846">
        <w:rPr>
          <w:rFonts w:ascii="Verdana" w:hAnsi="Verdana" w:cs="Calibri"/>
          <w:sz w:val="20"/>
          <w:szCs w:val="20"/>
        </w:rPr>
        <w:t>technique</w:t>
      </w:r>
      <w:r w:rsidR="00D4740D" w:rsidRPr="00042846">
        <w:rPr>
          <w:rFonts w:ascii="Verdana" w:hAnsi="Verdana" w:cs="Calibri"/>
          <w:sz w:val="20"/>
          <w:szCs w:val="20"/>
        </w:rPr>
        <w:t xml:space="preserve"> prévue </w:t>
      </w:r>
      <w:r w:rsidR="00031236" w:rsidRPr="00042846">
        <w:rPr>
          <w:rFonts w:ascii="Verdana" w:hAnsi="Verdana" w:cs="Calibri"/>
          <w:sz w:val="20"/>
          <w:szCs w:val="20"/>
        </w:rPr>
        <w:t>d’</w:t>
      </w:r>
      <w:r w:rsidR="00D4740D" w:rsidRPr="00042846">
        <w:rPr>
          <w:rFonts w:ascii="Verdana" w:hAnsi="Verdana" w:cs="Calibri"/>
          <w:sz w:val="20"/>
          <w:szCs w:val="20"/>
        </w:rPr>
        <w:t>être opérationnelle d’</w:t>
      </w:r>
      <w:r w:rsidRPr="00042846">
        <w:rPr>
          <w:rFonts w:ascii="Verdana" w:hAnsi="Verdana" w:cs="Calibri"/>
          <w:sz w:val="20"/>
          <w:szCs w:val="20"/>
        </w:rPr>
        <w:t xml:space="preserve">ici fin avril 2024. </w:t>
      </w:r>
    </w:p>
    <w:p w14:paraId="7957BA77" w14:textId="420FBC1E" w:rsidR="00FE1639" w:rsidRPr="00042846" w:rsidRDefault="00FE1639" w:rsidP="00FD1031">
      <w:pPr>
        <w:jc w:val="both"/>
        <w:rPr>
          <w:rFonts w:ascii="Verdana" w:hAnsi="Verdana"/>
          <w:sz w:val="20"/>
          <w:szCs w:val="20"/>
        </w:rPr>
      </w:pPr>
      <w:r w:rsidRPr="00042846">
        <w:rPr>
          <w:rFonts w:ascii="Verdana" w:hAnsi="Verdana" w:cs="Calibri"/>
          <w:sz w:val="20"/>
          <w:szCs w:val="20"/>
        </w:rPr>
        <w:lastRenderedPageBreak/>
        <w:t xml:space="preserve">Malgré ces retards dans le recrutement de l’assistance technique, </w:t>
      </w:r>
      <w:r w:rsidR="00D4740D" w:rsidRPr="00042846">
        <w:rPr>
          <w:rFonts w:ascii="Verdana" w:hAnsi="Verdana" w:cs="Calibri"/>
          <w:sz w:val="20"/>
          <w:szCs w:val="20"/>
        </w:rPr>
        <w:t xml:space="preserve">depuis juillet 2022, </w:t>
      </w:r>
      <w:r w:rsidRPr="00042846">
        <w:rPr>
          <w:rFonts w:ascii="Verdana" w:hAnsi="Verdana" w:cs="Calibri"/>
          <w:sz w:val="20"/>
          <w:szCs w:val="20"/>
        </w:rPr>
        <w:t>le Secrétariat a pu mettre en œuvre quelques activités sous les composantes scientifique et sensibilisation, notamment avec le concours des experts scientifiques mis à disposition par le CNRS/IRD et Ifremer </w:t>
      </w:r>
      <w:r w:rsidR="00031236" w:rsidRPr="00042846">
        <w:rPr>
          <w:rFonts w:ascii="Verdana" w:hAnsi="Verdana" w:cs="Calibri"/>
          <w:sz w:val="20"/>
          <w:szCs w:val="20"/>
        </w:rPr>
        <w:t>dont</w:t>
      </w:r>
      <w:r w:rsidR="00776BA1" w:rsidRPr="00042846">
        <w:rPr>
          <w:rFonts w:ascii="Verdana" w:hAnsi="Verdana" w:cs="Calibri"/>
          <w:sz w:val="20"/>
          <w:szCs w:val="20"/>
        </w:rPr>
        <w:t xml:space="preserve"> :</w:t>
      </w:r>
      <w:r w:rsidRPr="00042846">
        <w:rPr>
          <w:rFonts w:ascii="Verdana" w:hAnsi="Verdana"/>
          <w:sz w:val="20"/>
          <w:szCs w:val="20"/>
        </w:rPr>
        <w:t xml:space="preserve"> </w:t>
      </w:r>
    </w:p>
    <w:p w14:paraId="3599591F" w14:textId="77777777" w:rsidR="00FE1639" w:rsidRPr="00042846" w:rsidRDefault="00FE1639" w:rsidP="00776BA1">
      <w:pPr>
        <w:pStyle w:val="Paragraphedeliste"/>
        <w:numPr>
          <w:ilvl w:val="0"/>
          <w:numId w:val="26"/>
        </w:numPr>
        <w:jc w:val="both"/>
        <w:rPr>
          <w:rFonts w:ascii="Verdana" w:hAnsi="Verdana"/>
          <w:sz w:val="20"/>
          <w:szCs w:val="20"/>
        </w:rPr>
      </w:pPr>
      <w:r w:rsidRPr="00042846">
        <w:rPr>
          <w:rFonts w:ascii="Verdana" w:hAnsi="Verdana"/>
          <w:sz w:val="20"/>
          <w:szCs w:val="20"/>
        </w:rPr>
        <w:t xml:space="preserve"> Co-organisation du colloque scientifique international sur le plastique organisé à Madagascar en collaboration avec l’Académie de Science de France, le Groupement interacadémique pour le développement et la COI en octobre 2022 ; </w:t>
      </w:r>
    </w:p>
    <w:p w14:paraId="56FCD7B2" w14:textId="7B78850D" w:rsidR="00FE1639" w:rsidRPr="00042846" w:rsidRDefault="00FE1639" w:rsidP="00776BA1">
      <w:pPr>
        <w:pStyle w:val="Paragraphedeliste"/>
        <w:numPr>
          <w:ilvl w:val="0"/>
          <w:numId w:val="26"/>
        </w:numPr>
        <w:jc w:val="both"/>
        <w:rPr>
          <w:rFonts w:ascii="Verdana" w:hAnsi="Verdana"/>
          <w:sz w:val="20"/>
          <w:szCs w:val="20"/>
        </w:rPr>
      </w:pPr>
      <w:r w:rsidRPr="00042846">
        <w:rPr>
          <w:rFonts w:ascii="Verdana" w:hAnsi="Verdana"/>
          <w:sz w:val="20"/>
          <w:szCs w:val="20"/>
        </w:rPr>
        <w:t>Co-organisation d’une résidence artistique focalisée sur la pollution marine plastique avec l’Institut français de Maurice en juin 2022</w:t>
      </w:r>
      <w:r w:rsidR="00031236" w:rsidRPr="00042846">
        <w:rPr>
          <w:rStyle w:val="Appelnotedebasdep"/>
          <w:rFonts w:ascii="Verdana" w:hAnsi="Verdana"/>
          <w:sz w:val="20"/>
          <w:szCs w:val="20"/>
        </w:rPr>
        <w:footnoteReference w:id="1"/>
      </w:r>
      <w:r w:rsidRPr="00042846">
        <w:rPr>
          <w:rFonts w:ascii="Verdana" w:hAnsi="Verdana"/>
          <w:sz w:val="20"/>
          <w:szCs w:val="20"/>
        </w:rPr>
        <w:t xml:space="preserve"> et un prolongement en marge du colloque scientifique de Madagascar ; </w:t>
      </w:r>
    </w:p>
    <w:p w14:paraId="3CEBB4E9" w14:textId="77777777" w:rsidR="00FE1639" w:rsidRPr="00042846" w:rsidRDefault="00FE1639" w:rsidP="00776BA1">
      <w:pPr>
        <w:pStyle w:val="Paragraphedeliste"/>
        <w:numPr>
          <w:ilvl w:val="0"/>
          <w:numId w:val="26"/>
        </w:numPr>
        <w:jc w:val="both"/>
        <w:rPr>
          <w:rFonts w:ascii="Verdana" w:hAnsi="Verdana"/>
          <w:sz w:val="20"/>
          <w:szCs w:val="20"/>
        </w:rPr>
      </w:pPr>
      <w:r w:rsidRPr="00042846">
        <w:rPr>
          <w:rFonts w:ascii="Verdana" w:hAnsi="Verdana"/>
          <w:sz w:val="20"/>
          <w:szCs w:val="20"/>
        </w:rPr>
        <w:t>Organisation d’une table ronde sur la gestion des zones côtières et la gestion des déchets en marge de la visite d’un navire de recherche de la Norvège en décembre 2022 à Maurice.</w:t>
      </w:r>
    </w:p>
    <w:p w14:paraId="3988220A" w14:textId="3F44AF4B" w:rsidR="00FE1639" w:rsidRPr="00042846" w:rsidRDefault="00FE1639" w:rsidP="00776BA1">
      <w:pPr>
        <w:pStyle w:val="Paragraphedeliste"/>
        <w:numPr>
          <w:ilvl w:val="0"/>
          <w:numId w:val="26"/>
        </w:numPr>
        <w:jc w:val="both"/>
        <w:rPr>
          <w:rFonts w:ascii="Verdana" w:hAnsi="Verdana"/>
          <w:sz w:val="20"/>
          <w:szCs w:val="20"/>
        </w:rPr>
      </w:pPr>
      <w:r w:rsidRPr="00042846">
        <w:rPr>
          <w:rFonts w:ascii="Verdana" w:hAnsi="Verdana"/>
          <w:sz w:val="20"/>
          <w:szCs w:val="20"/>
        </w:rPr>
        <w:t xml:space="preserve">Participation à la réalisation d’une exposition intitulée « Planet’ R » sensibilisant à la réduction et la gestion des déchets en milieu insulaire organisée à Maurice par l’Aventure du Sucre </w:t>
      </w:r>
      <w:r w:rsidR="00042846" w:rsidRPr="00042846">
        <w:rPr>
          <w:rFonts w:ascii="Verdana" w:hAnsi="Verdana"/>
          <w:sz w:val="20"/>
          <w:szCs w:val="20"/>
        </w:rPr>
        <w:t>sur 12 mois (mars 2023 – mars 2024)</w:t>
      </w:r>
      <w:r w:rsidR="00776BA1" w:rsidRPr="00042846">
        <w:rPr>
          <w:rFonts w:ascii="Verdana" w:hAnsi="Verdana"/>
          <w:sz w:val="20"/>
          <w:szCs w:val="20"/>
        </w:rPr>
        <w:t>.</w:t>
      </w:r>
    </w:p>
    <w:p w14:paraId="0DAEB223" w14:textId="28EDB561" w:rsidR="00A3566B" w:rsidRPr="00042846" w:rsidRDefault="00D4740D" w:rsidP="00E0445A">
      <w:pPr>
        <w:pStyle w:val="Titrepartie"/>
        <w:numPr>
          <w:ilvl w:val="0"/>
          <w:numId w:val="0"/>
        </w:numPr>
        <w:rPr>
          <w:b w:val="0"/>
          <w:bCs w:val="0"/>
          <w:color w:val="auto"/>
          <w:sz w:val="20"/>
        </w:rPr>
      </w:pPr>
      <w:r w:rsidRPr="00042846">
        <w:rPr>
          <w:b w:val="0"/>
          <w:bCs w:val="0"/>
          <w:color w:val="auto"/>
          <w:sz w:val="20"/>
        </w:rPr>
        <w:t>D</w:t>
      </w:r>
      <w:r w:rsidR="001D2865" w:rsidRPr="00042846">
        <w:rPr>
          <w:b w:val="0"/>
          <w:bCs w:val="0"/>
          <w:color w:val="auto"/>
          <w:sz w:val="20"/>
        </w:rPr>
        <w:t>es avancées notoires</w:t>
      </w:r>
      <w:r w:rsidRPr="00042846">
        <w:rPr>
          <w:b w:val="0"/>
          <w:bCs w:val="0"/>
          <w:color w:val="auto"/>
          <w:sz w:val="20"/>
        </w:rPr>
        <w:t xml:space="preserve"> sont observées, des </w:t>
      </w:r>
      <w:r w:rsidR="001D2865" w:rsidRPr="00042846">
        <w:rPr>
          <w:b w:val="0"/>
          <w:bCs w:val="0"/>
          <w:color w:val="auto"/>
          <w:sz w:val="20"/>
        </w:rPr>
        <w:t xml:space="preserve">axes prioritaires de recherches sont identifiés et </w:t>
      </w:r>
      <w:r w:rsidR="006F0295" w:rsidRPr="00042846">
        <w:rPr>
          <w:b w:val="0"/>
          <w:bCs w:val="0"/>
          <w:color w:val="auto"/>
          <w:sz w:val="20"/>
        </w:rPr>
        <w:t>l</w:t>
      </w:r>
      <w:r w:rsidR="001D2865" w:rsidRPr="00042846">
        <w:rPr>
          <w:b w:val="0"/>
          <w:bCs w:val="0"/>
          <w:color w:val="auto"/>
          <w:sz w:val="20"/>
        </w:rPr>
        <w:t xml:space="preserve">es chercheurs basés notamment à Tuléar travaillent </w:t>
      </w:r>
      <w:r w:rsidR="006F0295" w:rsidRPr="00042846">
        <w:rPr>
          <w:b w:val="0"/>
          <w:bCs w:val="0"/>
          <w:color w:val="auto"/>
          <w:sz w:val="20"/>
        </w:rPr>
        <w:t>dans les domaines tels que l’impact</w:t>
      </w:r>
      <w:r w:rsidR="001D2865" w:rsidRPr="00042846">
        <w:rPr>
          <w:b w:val="0"/>
          <w:bCs w:val="0"/>
          <w:color w:val="auto"/>
          <w:sz w:val="20"/>
        </w:rPr>
        <w:t xml:space="preserve"> sur usage aquacole</w:t>
      </w:r>
      <w:r w:rsidR="006F0295" w:rsidRPr="00042846">
        <w:rPr>
          <w:b w:val="0"/>
          <w:bCs w:val="0"/>
          <w:color w:val="auto"/>
          <w:sz w:val="20"/>
        </w:rPr>
        <w:t xml:space="preserve"> du plastique</w:t>
      </w:r>
      <w:r w:rsidR="001D2865" w:rsidRPr="00042846">
        <w:rPr>
          <w:b w:val="0"/>
          <w:bCs w:val="0"/>
          <w:color w:val="auto"/>
          <w:sz w:val="20"/>
        </w:rPr>
        <w:t>, la biodégradabilité en mer, la perception humaine ou encore sur les impacts microbiologiques du plastique.</w:t>
      </w:r>
    </w:p>
    <w:p w14:paraId="1AFE1992" w14:textId="77777777" w:rsidR="001B0C08" w:rsidRPr="00042846" w:rsidRDefault="001B0C08" w:rsidP="00E0445A">
      <w:pPr>
        <w:pStyle w:val="Titrepartie"/>
        <w:numPr>
          <w:ilvl w:val="0"/>
          <w:numId w:val="0"/>
        </w:numPr>
        <w:rPr>
          <w:b w:val="0"/>
          <w:bCs w:val="0"/>
          <w:color w:val="auto"/>
          <w:sz w:val="20"/>
        </w:rPr>
      </w:pPr>
    </w:p>
    <w:p w14:paraId="0D1A168A" w14:textId="136C569B" w:rsidR="001B0C08" w:rsidRPr="00042846" w:rsidRDefault="001B0C08" w:rsidP="00042846">
      <w:pPr>
        <w:pStyle w:val="Sous-partie2"/>
        <w:rPr>
          <w:b/>
          <w:bCs/>
        </w:rPr>
      </w:pPr>
      <w:r w:rsidRPr="00042846">
        <w:t>Prochains défis</w:t>
      </w:r>
    </w:p>
    <w:p w14:paraId="3415B71F" w14:textId="27D3C107" w:rsidR="001B0C08" w:rsidRPr="00042846" w:rsidRDefault="001B0C08" w:rsidP="001B0C08">
      <w:pPr>
        <w:pStyle w:val="Titrepartie"/>
        <w:numPr>
          <w:ilvl w:val="0"/>
          <w:numId w:val="0"/>
        </w:numPr>
        <w:rPr>
          <w:b w:val="0"/>
          <w:bCs w:val="0"/>
          <w:color w:val="auto"/>
          <w:sz w:val="20"/>
        </w:rPr>
      </w:pPr>
      <w:r w:rsidRPr="00042846">
        <w:rPr>
          <w:b w:val="0"/>
          <w:bCs w:val="0"/>
          <w:color w:val="auto"/>
          <w:sz w:val="20"/>
        </w:rPr>
        <w:t xml:space="preserve">Le recrutement de l’Unité de Gestion du Projet (UGP) est sur la dernière ligne droite, le dossier du contrat est </w:t>
      </w:r>
      <w:r w:rsidR="00A51A8A" w:rsidRPr="00042846">
        <w:rPr>
          <w:b w:val="0"/>
          <w:bCs w:val="0"/>
          <w:color w:val="auto"/>
          <w:sz w:val="20"/>
        </w:rPr>
        <w:t>soumis</w:t>
      </w:r>
      <w:r w:rsidRPr="00042846">
        <w:rPr>
          <w:b w:val="0"/>
          <w:bCs w:val="0"/>
          <w:color w:val="auto"/>
          <w:sz w:val="20"/>
        </w:rPr>
        <w:t xml:space="preserve"> au bailleur AFD pour </w:t>
      </w:r>
      <w:r w:rsidR="00A51A8A" w:rsidRPr="00042846">
        <w:rPr>
          <w:b w:val="0"/>
          <w:bCs w:val="0"/>
          <w:color w:val="auto"/>
          <w:sz w:val="20"/>
        </w:rPr>
        <w:t>Avis</w:t>
      </w:r>
      <w:r w:rsidRPr="00042846">
        <w:rPr>
          <w:b w:val="0"/>
          <w:bCs w:val="0"/>
          <w:color w:val="auto"/>
          <w:sz w:val="20"/>
        </w:rPr>
        <w:t xml:space="preserve"> de Non-Objection, </w:t>
      </w:r>
      <w:r w:rsidR="00A51A8A" w:rsidRPr="00042846">
        <w:rPr>
          <w:b w:val="0"/>
          <w:bCs w:val="0"/>
          <w:color w:val="auto"/>
          <w:sz w:val="20"/>
        </w:rPr>
        <w:t xml:space="preserve">afin de </w:t>
      </w:r>
      <w:r w:rsidRPr="00042846">
        <w:rPr>
          <w:b w:val="0"/>
          <w:bCs w:val="0"/>
          <w:color w:val="auto"/>
          <w:sz w:val="20"/>
        </w:rPr>
        <w:t xml:space="preserve">permettre la signature du contrat </w:t>
      </w:r>
      <w:r w:rsidR="00A51A8A" w:rsidRPr="00042846">
        <w:rPr>
          <w:b w:val="0"/>
          <w:bCs w:val="0"/>
          <w:color w:val="auto"/>
          <w:sz w:val="20"/>
        </w:rPr>
        <w:t xml:space="preserve">de prestation entre la COI </w:t>
      </w:r>
      <w:r w:rsidR="00AF7F2A" w:rsidRPr="00042846">
        <w:rPr>
          <w:b w:val="0"/>
          <w:bCs w:val="0"/>
          <w:color w:val="auto"/>
          <w:sz w:val="20"/>
        </w:rPr>
        <w:t>et le</w:t>
      </w:r>
      <w:r w:rsidRPr="00042846">
        <w:rPr>
          <w:b w:val="0"/>
          <w:bCs w:val="0"/>
          <w:color w:val="auto"/>
          <w:sz w:val="20"/>
        </w:rPr>
        <w:t xml:space="preserve"> bureau retenu.</w:t>
      </w:r>
    </w:p>
    <w:p w14:paraId="7B33B9BF" w14:textId="2BF36CCF" w:rsidR="00A51A8A" w:rsidRPr="00042846" w:rsidRDefault="00AF7F2A" w:rsidP="00A51A8A">
      <w:pPr>
        <w:jc w:val="both"/>
        <w:rPr>
          <w:rFonts w:ascii="Verdana" w:hAnsi="Verdana" w:cs="Calibri"/>
          <w:sz w:val="20"/>
          <w:szCs w:val="20"/>
        </w:rPr>
      </w:pPr>
      <w:r w:rsidRPr="00042846">
        <w:rPr>
          <w:rFonts w:ascii="Verdana" w:hAnsi="Verdana" w:cs="Calibri"/>
          <w:sz w:val="20"/>
          <w:szCs w:val="20"/>
        </w:rPr>
        <w:t>Enfin, l</w:t>
      </w:r>
      <w:r w:rsidR="00FD1031" w:rsidRPr="00042846">
        <w:rPr>
          <w:rFonts w:ascii="Verdana" w:hAnsi="Verdana" w:cs="Calibri"/>
          <w:sz w:val="20"/>
          <w:szCs w:val="20"/>
        </w:rPr>
        <w:t xml:space="preserve">e projet ExPLOI </w:t>
      </w:r>
      <w:r w:rsidR="00042846" w:rsidRPr="00042846">
        <w:rPr>
          <w:rFonts w:ascii="Verdana" w:hAnsi="Verdana" w:cs="Calibri"/>
          <w:sz w:val="20"/>
          <w:szCs w:val="20"/>
        </w:rPr>
        <w:t>devra avancer sur la formalisation d’</w:t>
      </w:r>
      <w:r w:rsidR="00FD1031" w:rsidRPr="00042846">
        <w:rPr>
          <w:rFonts w:ascii="Verdana" w:hAnsi="Verdana" w:cs="Calibri"/>
          <w:sz w:val="20"/>
          <w:szCs w:val="20"/>
        </w:rPr>
        <w:t xml:space="preserve">accords </w:t>
      </w:r>
      <w:r w:rsidRPr="00042846">
        <w:rPr>
          <w:rFonts w:ascii="Verdana" w:hAnsi="Verdana" w:cs="Calibri"/>
          <w:sz w:val="20"/>
          <w:szCs w:val="20"/>
        </w:rPr>
        <w:t xml:space="preserve">de partenariats </w:t>
      </w:r>
      <w:r w:rsidR="00FD1031" w:rsidRPr="00042846">
        <w:rPr>
          <w:rFonts w:ascii="Verdana" w:hAnsi="Verdana" w:cs="Calibri"/>
          <w:sz w:val="20"/>
          <w:szCs w:val="20"/>
        </w:rPr>
        <w:t>administratifs avec les Universités et Centres de recherche dans les Etats membre</w:t>
      </w:r>
      <w:r w:rsidR="00A51A8A" w:rsidRPr="00042846">
        <w:rPr>
          <w:rFonts w:ascii="Verdana" w:hAnsi="Verdana" w:cs="Calibri"/>
          <w:sz w:val="20"/>
          <w:szCs w:val="20"/>
        </w:rPr>
        <w:t>s</w:t>
      </w:r>
      <w:r w:rsidR="00FD1031" w:rsidRPr="00042846">
        <w:rPr>
          <w:rFonts w:ascii="Verdana" w:hAnsi="Verdana" w:cs="Calibri"/>
          <w:sz w:val="20"/>
          <w:szCs w:val="20"/>
        </w:rPr>
        <w:t xml:space="preserve"> pour faciliter notamment la mise en œuvre de la Composante scientifique. Un appui effectif de nos Etats est nécessaire afin d’accélérer la mise en place de ses accords.</w:t>
      </w:r>
      <w:r w:rsidR="00A51A8A" w:rsidRPr="00042846">
        <w:rPr>
          <w:rFonts w:ascii="Verdana" w:hAnsi="Verdana" w:cs="Calibri"/>
          <w:sz w:val="20"/>
          <w:szCs w:val="20"/>
        </w:rPr>
        <w:t xml:space="preserve"> Par ailleurs, l</w:t>
      </w:r>
      <w:r w:rsidR="00FD1031" w:rsidRPr="00042846">
        <w:rPr>
          <w:rFonts w:ascii="Verdana" w:hAnsi="Verdana" w:cs="Calibri"/>
          <w:sz w:val="20"/>
          <w:szCs w:val="20"/>
        </w:rPr>
        <w:t>a composante portant sur l’économie circulaire sera mise en œuvre par l’assistance technique.</w:t>
      </w:r>
    </w:p>
    <w:p w14:paraId="115EA12F" w14:textId="77777777" w:rsidR="00042846" w:rsidRPr="00042846" w:rsidRDefault="00042846" w:rsidP="00A51A8A">
      <w:pPr>
        <w:jc w:val="both"/>
        <w:rPr>
          <w:rFonts w:ascii="Verdana" w:hAnsi="Verdana" w:cs="Calibri"/>
          <w:sz w:val="20"/>
          <w:szCs w:val="20"/>
        </w:rPr>
      </w:pPr>
    </w:p>
    <w:p w14:paraId="2F7F5914" w14:textId="4B4B6A0A" w:rsidR="00955BB3" w:rsidRPr="00042846" w:rsidRDefault="00955BB3" w:rsidP="00042846">
      <w:pPr>
        <w:pStyle w:val="Titrepartie"/>
        <w:rPr>
          <w:sz w:val="20"/>
        </w:rPr>
      </w:pPr>
      <w:r w:rsidRPr="00042846">
        <w:rPr>
          <w:sz w:val="20"/>
        </w:rPr>
        <w:t>Proposition</w:t>
      </w:r>
      <w:r w:rsidR="002B1569" w:rsidRPr="00042846">
        <w:rPr>
          <w:sz w:val="20"/>
        </w:rPr>
        <w:t>s</w:t>
      </w:r>
      <w:r w:rsidRPr="00042846">
        <w:rPr>
          <w:sz w:val="20"/>
        </w:rPr>
        <w:t xml:space="preserve"> de décision</w:t>
      </w:r>
    </w:p>
    <w:p w14:paraId="05F1F967" w14:textId="1FB3BF6C" w:rsidR="0008468B" w:rsidRPr="00042846" w:rsidRDefault="0008468B" w:rsidP="00FE285D">
      <w:pPr>
        <w:pStyle w:val="Paragraphe"/>
      </w:pPr>
      <w:r w:rsidRPr="00042846">
        <w:t>Le Comité des OPL</w:t>
      </w:r>
      <w:r w:rsidR="00A76B07" w:rsidRPr="00042846">
        <w:t xml:space="preserve"> </w:t>
      </w:r>
      <w:r w:rsidR="008C7BCA" w:rsidRPr="00042846">
        <w:t>recommande au Conseil des ministres de :</w:t>
      </w:r>
    </w:p>
    <w:p w14:paraId="0787E798" w14:textId="02887005" w:rsidR="00483034" w:rsidRPr="00D713F4" w:rsidRDefault="00042846" w:rsidP="008C7BCA">
      <w:pPr>
        <w:pStyle w:val="Paragraphe"/>
        <w:numPr>
          <w:ilvl w:val="0"/>
          <w:numId w:val="6"/>
        </w:numPr>
      </w:pPr>
      <w:r w:rsidRPr="00F7698B">
        <w:t xml:space="preserve">Inviter le Secrétariat général à effectuer une mission de plaidoyer </w:t>
      </w:r>
      <w:r w:rsidR="00267105" w:rsidRPr="00F7698B">
        <w:t xml:space="preserve">auprès des </w:t>
      </w:r>
      <w:r w:rsidR="00D4740D" w:rsidRPr="00F7698B">
        <w:t xml:space="preserve">autorités </w:t>
      </w:r>
      <w:r w:rsidR="00267105" w:rsidRPr="00F7698B">
        <w:t>Seychell</w:t>
      </w:r>
      <w:r w:rsidR="00D4740D" w:rsidRPr="00F7698B">
        <w:t>ois</w:t>
      </w:r>
      <w:r w:rsidR="00267105" w:rsidRPr="00F7698B">
        <w:t xml:space="preserve">es pour </w:t>
      </w:r>
      <w:r w:rsidRPr="00F7698B">
        <w:t>que des acteurs locaux puissent intégrer et bénéficier des activités du projet</w:t>
      </w:r>
      <w:r w:rsidR="005C1166" w:rsidRPr="00F7698B">
        <w:t xml:space="preserve"> TWENex</w:t>
      </w:r>
      <w:r w:rsidR="005C1166" w:rsidRPr="00D713F4">
        <w:t> ;</w:t>
      </w:r>
    </w:p>
    <w:p w14:paraId="2C58BFB5" w14:textId="7FA57324" w:rsidR="00810F55" w:rsidRPr="00042846" w:rsidRDefault="0037140B" w:rsidP="008C7BCA">
      <w:pPr>
        <w:pStyle w:val="Paragraphe"/>
        <w:numPr>
          <w:ilvl w:val="0"/>
          <w:numId w:val="6"/>
        </w:numPr>
      </w:pPr>
      <w:r w:rsidRPr="00042846">
        <w:t>S</w:t>
      </w:r>
      <w:r w:rsidR="00155DB9" w:rsidRPr="00042846">
        <w:t>outenir</w:t>
      </w:r>
      <w:r w:rsidRPr="00042846">
        <w:t xml:space="preserve"> </w:t>
      </w:r>
      <w:r w:rsidR="00AA5998" w:rsidRPr="00042846">
        <w:t xml:space="preserve">la tenue de </w:t>
      </w:r>
      <w:r w:rsidR="00155DB9" w:rsidRPr="00042846">
        <w:t>la</w:t>
      </w:r>
      <w:r w:rsidR="00AA5998" w:rsidRPr="00042846">
        <w:t xml:space="preserve"> première édition du Forum de l’innovation</w:t>
      </w:r>
      <w:r w:rsidR="00155DB9" w:rsidRPr="00042846">
        <w:t xml:space="preserve"> prévu du 28 au 29 juin 2024 à </w:t>
      </w:r>
      <w:r w:rsidR="00D4740D" w:rsidRPr="00042846">
        <w:t>Antananarivo</w:t>
      </w:r>
      <w:r w:rsidR="00AA5998" w:rsidRPr="00042846">
        <w:t xml:space="preserve"> et </w:t>
      </w:r>
      <w:r w:rsidR="00042846" w:rsidRPr="00042846">
        <w:t xml:space="preserve">d’encourager le Secrétariat général à évaluer les moyens de sa pérennisation </w:t>
      </w:r>
      <w:r w:rsidR="00FB382E" w:rsidRPr="00042846">
        <w:t xml:space="preserve">au travers </w:t>
      </w:r>
      <w:r w:rsidR="007220B3" w:rsidRPr="00042846">
        <w:t xml:space="preserve">de la feuille de route de la Stratégie </w:t>
      </w:r>
      <w:r w:rsidR="00261B3F">
        <w:t>r</w:t>
      </w:r>
      <w:r w:rsidR="007220B3" w:rsidRPr="00042846">
        <w:t xml:space="preserve">égionale de la </w:t>
      </w:r>
      <w:r w:rsidR="00261B3F">
        <w:t>r</w:t>
      </w:r>
      <w:r w:rsidR="007220B3" w:rsidRPr="00042846">
        <w:t>echerche et de l</w:t>
      </w:r>
      <w:r w:rsidR="00261B3F">
        <w:t>’i</w:t>
      </w:r>
      <w:r w:rsidR="007220B3" w:rsidRPr="00042846">
        <w:t>nnovation ;</w:t>
      </w:r>
    </w:p>
    <w:p w14:paraId="75108BA8" w14:textId="0B43AB53" w:rsidR="00776BA1" w:rsidRPr="00042846" w:rsidRDefault="00042846" w:rsidP="00776BA1">
      <w:pPr>
        <w:pStyle w:val="Paragraphedeliste"/>
        <w:numPr>
          <w:ilvl w:val="0"/>
          <w:numId w:val="6"/>
        </w:numPr>
        <w:jc w:val="both"/>
        <w:rPr>
          <w:rFonts w:ascii="Verdana" w:hAnsi="Verdana" w:cs="Calibri"/>
          <w:sz w:val="20"/>
          <w:szCs w:val="20"/>
        </w:rPr>
      </w:pPr>
      <w:r w:rsidRPr="00042846">
        <w:rPr>
          <w:rFonts w:ascii="Verdana" w:hAnsi="Verdana" w:cs="Calibri"/>
          <w:sz w:val="20"/>
          <w:szCs w:val="20"/>
        </w:rPr>
        <w:t xml:space="preserve">Prendre note du déploiement de l’assistance technique et appeler à une accélération de la mise </w:t>
      </w:r>
      <w:r w:rsidR="00776BA1" w:rsidRPr="00042846">
        <w:rPr>
          <w:rFonts w:ascii="Verdana" w:hAnsi="Verdana" w:cs="Calibri"/>
          <w:sz w:val="20"/>
          <w:szCs w:val="20"/>
        </w:rPr>
        <w:t>en œuvre des activités du projet ExPLOI</w:t>
      </w:r>
      <w:r w:rsidRPr="00042846">
        <w:rPr>
          <w:rFonts w:ascii="Verdana" w:hAnsi="Verdana" w:cs="Calibri"/>
          <w:sz w:val="20"/>
          <w:szCs w:val="20"/>
        </w:rPr>
        <w:t xml:space="preserve">, à la formalisation rapide des conventions de partenariats avec les universités et centres de recherche des Etats </w:t>
      </w:r>
      <w:r w:rsidRPr="00042846">
        <w:rPr>
          <w:rFonts w:ascii="Verdana" w:hAnsi="Verdana" w:cs="Calibri"/>
          <w:sz w:val="20"/>
          <w:szCs w:val="20"/>
        </w:rPr>
        <w:lastRenderedPageBreak/>
        <w:t>membres ainsi qu’au renforcement d</w:t>
      </w:r>
      <w:r w:rsidR="00776BA1" w:rsidRPr="00042846">
        <w:rPr>
          <w:rFonts w:ascii="Verdana" w:hAnsi="Verdana" w:cs="Calibri"/>
          <w:sz w:val="20"/>
          <w:szCs w:val="20"/>
        </w:rPr>
        <w:t xml:space="preserve">es synergies entre les différents départements et projets </w:t>
      </w:r>
      <w:r w:rsidRPr="00042846">
        <w:rPr>
          <w:rFonts w:ascii="Verdana" w:hAnsi="Verdana" w:cs="Calibri"/>
          <w:sz w:val="20"/>
          <w:szCs w:val="20"/>
        </w:rPr>
        <w:t xml:space="preserve">de la COI </w:t>
      </w:r>
      <w:r w:rsidR="00776BA1" w:rsidRPr="00042846">
        <w:rPr>
          <w:rFonts w:ascii="Verdana" w:hAnsi="Verdana" w:cs="Calibri"/>
          <w:sz w:val="20"/>
          <w:szCs w:val="20"/>
        </w:rPr>
        <w:t>portant sur la réduction / gestion des déchets et l’économie circulaire</w:t>
      </w:r>
      <w:r w:rsidRPr="00042846">
        <w:rPr>
          <w:rFonts w:ascii="Verdana" w:hAnsi="Verdana" w:cs="Calibri"/>
          <w:sz w:val="20"/>
          <w:szCs w:val="20"/>
        </w:rPr>
        <w:t> ;</w:t>
      </w:r>
    </w:p>
    <w:p w14:paraId="279AB4A3" w14:textId="46C9E96F" w:rsidR="00776BA1" w:rsidRPr="00042846" w:rsidRDefault="00776BA1" w:rsidP="008C7BCA">
      <w:pPr>
        <w:pStyle w:val="Paragraphe"/>
        <w:numPr>
          <w:ilvl w:val="0"/>
          <w:numId w:val="6"/>
        </w:numPr>
      </w:pPr>
      <w:r w:rsidRPr="00042846">
        <w:t>Remercier les partenaires financiers</w:t>
      </w:r>
      <w:r w:rsidR="00042846" w:rsidRPr="00042846">
        <w:t>, AFD, FFEM, Union européenne et OEACP,</w:t>
      </w:r>
      <w:r w:rsidRPr="00042846">
        <w:t xml:space="preserve"> pour leur appui </w:t>
      </w:r>
      <w:r w:rsidR="00042846" w:rsidRPr="00042846">
        <w:t>dans les domaines de la réduction et gestion des déchets et promotion de l’économie bleue / circulaire</w:t>
      </w:r>
      <w:r w:rsidRPr="00042846">
        <w:t>.</w:t>
      </w:r>
    </w:p>
    <w:p w14:paraId="495CA3D7" w14:textId="77777777" w:rsidR="0008468B" w:rsidRPr="00042846" w:rsidRDefault="0008468B" w:rsidP="0008468B">
      <w:pPr>
        <w:jc w:val="both"/>
        <w:rPr>
          <w:rFonts w:ascii="Verdana" w:hAnsi="Verdana" w:cs="Calibri"/>
          <w:sz w:val="20"/>
          <w:szCs w:val="20"/>
        </w:rPr>
      </w:pPr>
    </w:p>
    <w:p w14:paraId="7EAEB404" w14:textId="72ACB4A7" w:rsidR="00955BB3" w:rsidRPr="00042846" w:rsidRDefault="00955BB3" w:rsidP="00042846">
      <w:pPr>
        <w:pStyle w:val="Titrepartie"/>
        <w:rPr>
          <w:sz w:val="20"/>
        </w:rPr>
      </w:pPr>
      <w:r w:rsidRPr="00042846">
        <w:rPr>
          <w:sz w:val="20"/>
        </w:rPr>
        <w:t>Rappel des décisions antérieures</w:t>
      </w:r>
    </w:p>
    <w:bookmarkEnd w:id="0"/>
    <w:p w14:paraId="54EF8669" w14:textId="77777777" w:rsidR="0022414F" w:rsidRPr="00042846" w:rsidRDefault="0022414F" w:rsidP="00417683">
      <w:pPr>
        <w:rPr>
          <w:rFonts w:ascii="Verdana" w:hAnsi="Verdana" w:cs="Calibri"/>
          <w:b/>
          <w:bCs/>
          <w:sz w:val="20"/>
          <w:szCs w:val="20"/>
        </w:rPr>
      </w:pPr>
      <w:r w:rsidRPr="00042846">
        <w:rPr>
          <w:rFonts w:ascii="Verdana" w:hAnsi="Verdana" w:cs="Calibri"/>
          <w:b/>
          <w:bCs/>
          <w:sz w:val="20"/>
          <w:szCs w:val="20"/>
        </w:rPr>
        <w:t>Décision 4. Projet Expédition Plastique océan Indien (ExPLOI) Le Comité des OPL :</w:t>
      </w:r>
    </w:p>
    <w:p w14:paraId="34BC14AF" w14:textId="77777777" w:rsidR="0022414F" w:rsidRPr="00042846" w:rsidRDefault="0022414F" w:rsidP="00417683">
      <w:pPr>
        <w:rPr>
          <w:rFonts w:ascii="Verdana" w:hAnsi="Verdana" w:cs="Calibri"/>
          <w:sz w:val="20"/>
          <w:szCs w:val="20"/>
        </w:rPr>
      </w:pPr>
      <w:r w:rsidRPr="00042846">
        <w:rPr>
          <w:rFonts w:ascii="Verdana" w:hAnsi="Verdana" w:cs="Calibri"/>
          <w:sz w:val="20"/>
          <w:szCs w:val="20"/>
        </w:rPr>
        <w:t xml:space="preserve"> a) Encourage le Secrétariat général à accélérer la mise en œuvre des activités du projet ExPLOI et à poursuivre son travail de mobilisation des parties prenantes nationales ; </w:t>
      </w:r>
    </w:p>
    <w:p w14:paraId="7054746C" w14:textId="77777777" w:rsidR="0022414F" w:rsidRPr="00042846" w:rsidRDefault="0022414F" w:rsidP="00417683">
      <w:pPr>
        <w:rPr>
          <w:rFonts w:ascii="Verdana" w:hAnsi="Verdana" w:cs="Calibri"/>
          <w:sz w:val="20"/>
          <w:szCs w:val="20"/>
        </w:rPr>
      </w:pPr>
      <w:r w:rsidRPr="00042846">
        <w:rPr>
          <w:rFonts w:ascii="Verdana" w:hAnsi="Verdana" w:cs="Calibri"/>
          <w:sz w:val="20"/>
          <w:szCs w:val="20"/>
        </w:rPr>
        <w:t>b) Appelle les États membres à une meilleure collaboration et appropriation des activités du projet ExPLOI ;</w:t>
      </w:r>
    </w:p>
    <w:p w14:paraId="61378659" w14:textId="77777777" w:rsidR="0022414F" w:rsidRPr="00042846" w:rsidRDefault="0022414F" w:rsidP="00417683">
      <w:pPr>
        <w:rPr>
          <w:rFonts w:ascii="Verdana" w:hAnsi="Verdana" w:cs="Calibri"/>
          <w:sz w:val="20"/>
          <w:szCs w:val="20"/>
        </w:rPr>
      </w:pPr>
      <w:r w:rsidRPr="00042846">
        <w:rPr>
          <w:rFonts w:ascii="Verdana" w:hAnsi="Verdana" w:cs="Calibri"/>
          <w:sz w:val="20"/>
          <w:szCs w:val="20"/>
        </w:rPr>
        <w:t xml:space="preserve"> c) Remercie les parties prenantes du projet ExPLOI pour leur contribution dans cette phase de démarrage du projet ;</w:t>
      </w:r>
    </w:p>
    <w:p w14:paraId="1A08E46E" w14:textId="24B2BED9" w:rsidR="0008468B" w:rsidRPr="00042846" w:rsidRDefault="0022414F" w:rsidP="00417683">
      <w:pPr>
        <w:rPr>
          <w:rFonts w:ascii="Verdana" w:hAnsi="Verdana" w:cs="Calibri"/>
          <w:sz w:val="20"/>
          <w:szCs w:val="20"/>
        </w:rPr>
      </w:pPr>
      <w:r w:rsidRPr="00042846">
        <w:rPr>
          <w:rFonts w:ascii="Verdana" w:hAnsi="Verdana" w:cs="Calibri"/>
          <w:sz w:val="20"/>
          <w:szCs w:val="20"/>
        </w:rPr>
        <w:t xml:space="preserve"> d) Invite le Secrétariat général à créer des synergies entre le projet ExPLOI et les autres projets de la COI traitant de thématiques connexes.</w:t>
      </w:r>
    </w:p>
    <w:p w14:paraId="4648F921" w14:textId="74756CD4" w:rsidR="008F173C" w:rsidRPr="0022414F" w:rsidRDefault="008F173C" w:rsidP="00CB6CB7">
      <w:pPr>
        <w:pStyle w:val="Paragraphe"/>
        <w:ind w:left="720"/>
        <w:rPr>
          <w:rFonts w:ascii="Roboto" w:hAnsi="Roboto"/>
          <w:sz w:val="24"/>
          <w:szCs w:val="24"/>
        </w:rPr>
      </w:pPr>
    </w:p>
    <w:sectPr w:rsidR="008F173C" w:rsidRPr="0022414F" w:rsidSect="00E602AA">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FF3A" w14:textId="77777777" w:rsidR="00E602AA" w:rsidRDefault="00E602AA">
      <w:pPr>
        <w:spacing w:after="0" w:line="240" w:lineRule="auto"/>
      </w:pPr>
      <w:r>
        <w:separator/>
      </w:r>
    </w:p>
  </w:endnote>
  <w:endnote w:type="continuationSeparator" w:id="0">
    <w:p w14:paraId="4B860CFC" w14:textId="77777777" w:rsidR="00E602AA" w:rsidRDefault="00E6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A4A2" w14:textId="77777777" w:rsidR="00E602AA" w:rsidRDefault="00E602AA">
      <w:pPr>
        <w:spacing w:after="0" w:line="240" w:lineRule="auto"/>
      </w:pPr>
      <w:r>
        <w:separator/>
      </w:r>
    </w:p>
  </w:footnote>
  <w:footnote w:type="continuationSeparator" w:id="0">
    <w:p w14:paraId="37978B9B" w14:textId="77777777" w:rsidR="00E602AA" w:rsidRDefault="00E602AA">
      <w:pPr>
        <w:spacing w:after="0" w:line="240" w:lineRule="auto"/>
      </w:pPr>
      <w:r>
        <w:continuationSeparator/>
      </w:r>
    </w:p>
  </w:footnote>
  <w:footnote w:id="1">
    <w:p w14:paraId="599530F8" w14:textId="77361D5C" w:rsidR="00031236" w:rsidRDefault="00031236">
      <w:pPr>
        <w:pStyle w:val="Notedebasdepage"/>
      </w:pPr>
      <w:r>
        <w:rPr>
          <w:rStyle w:val="Appelnotedebasdep"/>
        </w:rPr>
        <w:footnoteRef/>
      </w:r>
      <w:r>
        <w:t xml:space="preserve"> </w:t>
      </w:r>
      <w:hyperlink r:id="rId1" w:history="1">
        <w:r>
          <w:rPr>
            <w:rStyle w:val="Lienhypertexte"/>
          </w:rPr>
          <w:t>Bulles d'espoir dans l'océan plastique | résidence artistique ExPLOI - IFM (commissionoceanindien.org)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6F511F5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3D21F8">
      <w:rPr>
        <w:rFonts w:ascii="Verdana" w:hAnsi="Verdana"/>
        <w:b/>
        <w:bCs/>
        <w:sz w:val="20"/>
        <w:szCs w:val="20"/>
      </w:rPr>
      <w:t>2.4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6CB60540"/>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8170251">
    <w:abstractNumId w:val="8"/>
  </w:num>
  <w:num w:numId="2" w16cid:durableId="696658758">
    <w:abstractNumId w:val="20"/>
  </w:num>
  <w:num w:numId="3" w16cid:durableId="829099502">
    <w:abstractNumId w:val="4"/>
  </w:num>
  <w:num w:numId="4" w16cid:durableId="1525940942">
    <w:abstractNumId w:val="2"/>
  </w:num>
  <w:num w:numId="5" w16cid:durableId="165020131">
    <w:abstractNumId w:val="19"/>
  </w:num>
  <w:num w:numId="6" w16cid:durableId="224488953">
    <w:abstractNumId w:val="5"/>
  </w:num>
  <w:num w:numId="7" w16cid:durableId="297687534">
    <w:abstractNumId w:val="9"/>
  </w:num>
  <w:num w:numId="8" w16cid:durableId="1254779571">
    <w:abstractNumId w:val="4"/>
    <w:lvlOverride w:ilvl="0">
      <w:startOverride w:val="1"/>
    </w:lvlOverride>
  </w:num>
  <w:num w:numId="9" w16cid:durableId="1420908688">
    <w:abstractNumId w:val="3"/>
  </w:num>
  <w:num w:numId="10" w16cid:durableId="237715780">
    <w:abstractNumId w:val="7"/>
  </w:num>
  <w:num w:numId="11" w16cid:durableId="621696603">
    <w:abstractNumId w:val="10"/>
  </w:num>
  <w:num w:numId="12" w16cid:durableId="1145971675">
    <w:abstractNumId w:val="16"/>
  </w:num>
  <w:num w:numId="13" w16cid:durableId="156312207">
    <w:abstractNumId w:val="18"/>
  </w:num>
  <w:num w:numId="14" w16cid:durableId="1208028579">
    <w:abstractNumId w:val="12"/>
  </w:num>
  <w:num w:numId="15" w16cid:durableId="1270157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4"/>
  </w:num>
  <w:num w:numId="17" w16cid:durableId="868372564">
    <w:abstractNumId w:val="13"/>
  </w:num>
  <w:num w:numId="18" w16cid:durableId="785005186">
    <w:abstractNumId w:val="11"/>
  </w:num>
  <w:num w:numId="19" w16cid:durableId="550921926">
    <w:abstractNumId w:val="4"/>
  </w:num>
  <w:num w:numId="20" w16cid:durableId="1225138317">
    <w:abstractNumId w:val="4"/>
  </w:num>
  <w:num w:numId="21" w16cid:durableId="443230716">
    <w:abstractNumId w:val="17"/>
  </w:num>
  <w:num w:numId="22" w16cid:durableId="1427770863">
    <w:abstractNumId w:val="4"/>
    <w:lvlOverride w:ilvl="0">
      <w:startOverride w:val="1"/>
    </w:lvlOverride>
    <w:lvlOverride w:ilvl="1">
      <w:startOverride w:val="2"/>
    </w:lvlOverride>
  </w:num>
  <w:num w:numId="23" w16cid:durableId="2012373987">
    <w:abstractNumId w:val="15"/>
  </w:num>
  <w:num w:numId="24" w16cid:durableId="1903982409">
    <w:abstractNumId w:val="0"/>
  </w:num>
  <w:num w:numId="25" w16cid:durableId="332218895">
    <w:abstractNumId w:val="14"/>
  </w:num>
  <w:num w:numId="26" w16cid:durableId="1850489169">
    <w:abstractNumId w:val="23"/>
  </w:num>
  <w:num w:numId="27" w16cid:durableId="1323044938">
    <w:abstractNumId w:val="6"/>
  </w:num>
  <w:num w:numId="28" w16cid:durableId="146556031">
    <w:abstractNumId w:val="1"/>
  </w:num>
  <w:num w:numId="29" w16cid:durableId="766924544">
    <w:abstractNumId w:val="22"/>
  </w:num>
  <w:num w:numId="30" w16cid:durableId="18624757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11273"/>
    <w:rsid w:val="00015AB8"/>
    <w:rsid w:val="00026662"/>
    <w:rsid w:val="00030DEA"/>
    <w:rsid w:val="00031236"/>
    <w:rsid w:val="00036FCE"/>
    <w:rsid w:val="000373B2"/>
    <w:rsid w:val="00042846"/>
    <w:rsid w:val="00042CF5"/>
    <w:rsid w:val="000447EA"/>
    <w:rsid w:val="00056725"/>
    <w:rsid w:val="00060CA0"/>
    <w:rsid w:val="00063A26"/>
    <w:rsid w:val="0008468B"/>
    <w:rsid w:val="000A468A"/>
    <w:rsid w:val="000B0433"/>
    <w:rsid w:val="000B0FBD"/>
    <w:rsid w:val="000B7609"/>
    <w:rsid w:val="000D0C28"/>
    <w:rsid w:val="000F4728"/>
    <w:rsid w:val="000F7F05"/>
    <w:rsid w:val="00107D9D"/>
    <w:rsid w:val="00111476"/>
    <w:rsid w:val="0011663C"/>
    <w:rsid w:val="00117BDE"/>
    <w:rsid w:val="00121B1C"/>
    <w:rsid w:val="0012675C"/>
    <w:rsid w:val="00126E23"/>
    <w:rsid w:val="00134792"/>
    <w:rsid w:val="001427BD"/>
    <w:rsid w:val="00155DB9"/>
    <w:rsid w:val="00164305"/>
    <w:rsid w:val="001677B9"/>
    <w:rsid w:val="00173F35"/>
    <w:rsid w:val="00175E67"/>
    <w:rsid w:val="001765E9"/>
    <w:rsid w:val="0018252D"/>
    <w:rsid w:val="00183424"/>
    <w:rsid w:val="00190DDF"/>
    <w:rsid w:val="001A56F1"/>
    <w:rsid w:val="001B0C08"/>
    <w:rsid w:val="001B4738"/>
    <w:rsid w:val="001D238B"/>
    <w:rsid w:val="001D2865"/>
    <w:rsid w:val="001D531C"/>
    <w:rsid w:val="001E0C19"/>
    <w:rsid w:val="001E5D6B"/>
    <w:rsid w:val="001F30F9"/>
    <w:rsid w:val="002160A2"/>
    <w:rsid w:val="0022414F"/>
    <w:rsid w:val="00243B77"/>
    <w:rsid w:val="00246E69"/>
    <w:rsid w:val="00261B3F"/>
    <w:rsid w:val="00267105"/>
    <w:rsid w:val="002729D9"/>
    <w:rsid w:val="00282E6B"/>
    <w:rsid w:val="00283446"/>
    <w:rsid w:val="00286AB5"/>
    <w:rsid w:val="002870E7"/>
    <w:rsid w:val="002912D4"/>
    <w:rsid w:val="0029427A"/>
    <w:rsid w:val="00294502"/>
    <w:rsid w:val="002969B8"/>
    <w:rsid w:val="002A0933"/>
    <w:rsid w:val="002A096E"/>
    <w:rsid w:val="002B1569"/>
    <w:rsid w:val="002B60C1"/>
    <w:rsid w:val="002C3F44"/>
    <w:rsid w:val="002C56ED"/>
    <w:rsid w:val="002D21F5"/>
    <w:rsid w:val="002E0E0B"/>
    <w:rsid w:val="002E6B1B"/>
    <w:rsid w:val="002F055D"/>
    <w:rsid w:val="00303C44"/>
    <w:rsid w:val="00336396"/>
    <w:rsid w:val="00356BB1"/>
    <w:rsid w:val="003604B9"/>
    <w:rsid w:val="0037140B"/>
    <w:rsid w:val="00374E93"/>
    <w:rsid w:val="003772FB"/>
    <w:rsid w:val="003841D6"/>
    <w:rsid w:val="00386B29"/>
    <w:rsid w:val="00391152"/>
    <w:rsid w:val="003938E2"/>
    <w:rsid w:val="003A3360"/>
    <w:rsid w:val="003A3639"/>
    <w:rsid w:val="003B1E29"/>
    <w:rsid w:val="003B2E5A"/>
    <w:rsid w:val="003B3F65"/>
    <w:rsid w:val="003B71FB"/>
    <w:rsid w:val="003B778E"/>
    <w:rsid w:val="003C2538"/>
    <w:rsid w:val="003D21F8"/>
    <w:rsid w:val="003D485F"/>
    <w:rsid w:val="003D5328"/>
    <w:rsid w:val="003E3F57"/>
    <w:rsid w:val="003F69A7"/>
    <w:rsid w:val="004009DF"/>
    <w:rsid w:val="0041187D"/>
    <w:rsid w:val="0041278C"/>
    <w:rsid w:val="00417683"/>
    <w:rsid w:val="004216C5"/>
    <w:rsid w:val="0042402C"/>
    <w:rsid w:val="004248B2"/>
    <w:rsid w:val="00426673"/>
    <w:rsid w:val="00436130"/>
    <w:rsid w:val="0044475F"/>
    <w:rsid w:val="00444B35"/>
    <w:rsid w:val="004607F7"/>
    <w:rsid w:val="004661DE"/>
    <w:rsid w:val="00483034"/>
    <w:rsid w:val="004926E2"/>
    <w:rsid w:val="0049782F"/>
    <w:rsid w:val="004A7369"/>
    <w:rsid w:val="004B376D"/>
    <w:rsid w:val="004C568C"/>
    <w:rsid w:val="004D1568"/>
    <w:rsid w:val="004F5C4B"/>
    <w:rsid w:val="004F64C9"/>
    <w:rsid w:val="00504F45"/>
    <w:rsid w:val="0053773D"/>
    <w:rsid w:val="00542095"/>
    <w:rsid w:val="005627D0"/>
    <w:rsid w:val="005664F2"/>
    <w:rsid w:val="00587D27"/>
    <w:rsid w:val="00591135"/>
    <w:rsid w:val="00591A8A"/>
    <w:rsid w:val="005B720A"/>
    <w:rsid w:val="005C1166"/>
    <w:rsid w:val="005D0616"/>
    <w:rsid w:val="005D07A7"/>
    <w:rsid w:val="005D0F2C"/>
    <w:rsid w:val="005D702F"/>
    <w:rsid w:val="00604BF9"/>
    <w:rsid w:val="00613313"/>
    <w:rsid w:val="00616351"/>
    <w:rsid w:val="00620B90"/>
    <w:rsid w:val="006353BD"/>
    <w:rsid w:val="006356AF"/>
    <w:rsid w:val="00640669"/>
    <w:rsid w:val="00653DE9"/>
    <w:rsid w:val="006548BF"/>
    <w:rsid w:val="00654A60"/>
    <w:rsid w:val="00655B8B"/>
    <w:rsid w:val="00660504"/>
    <w:rsid w:val="00667DEE"/>
    <w:rsid w:val="006C1620"/>
    <w:rsid w:val="006E2D9E"/>
    <w:rsid w:val="006E6E66"/>
    <w:rsid w:val="006F0295"/>
    <w:rsid w:val="006F0B10"/>
    <w:rsid w:val="006F3FF5"/>
    <w:rsid w:val="00710A1D"/>
    <w:rsid w:val="00721C0E"/>
    <w:rsid w:val="007220B3"/>
    <w:rsid w:val="007269CD"/>
    <w:rsid w:val="007561F8"/>
    <w:rsid w:val="0076047F"/>
    <w:rsid w:val="00765EE4"/>
    <w:rsid w:val="00776BA1"/>
    <w:rsid w:val="007B0931"/>
    <w:rsid w:val="007B245C"/>
    <w:rsid w:val="007B52BB"/>
    <w:rsid w:val="007C41D4"/>
    <w:rsid w:val="007C4850"/>
    <w:rsid w:val="007C78FC"/>
    <w:rsid w:val="007D0C1E"/>
    <w:rsid w:val="007D5FC3"/>
    <w:rsid w:val="007E3006"/>
    <w:rsid w:val="007E44EF"/>
    <w:rsid w:val="00810EB8"/>
    <w:rsid w:val="00810F55"/>
    <w:rsid w:val="008166DF"/>
    <w:rsid w:val="00816DAC"/>
    <w:rsid w:val="00825E87"/>
    <w:rsid w:val="00827812"/>
    <w:rsid w:val="0083290E"/>
    <w:rsid w:val="00843FF2"/>
    <w:rsid w:val="008453AB"/>
    <w:rsid w:val="00854EEA"/>
    <w:rsid w:val="008551DA"/>
    <w:rsid w:val="00875662"/>
    <w:rsid w:val="008812B5"/>
    <w:rsid w:val="0089741C"/>
    <w:rsid w:val="008B731F"/>
    <w:rsid w:val="008C7BCA"/>
    <w:rsid w:val="008D193F"/>
    <w:rsid w:val="008D4A1D"/>
    <w:rsid w:val="008D7486"/>
    <w:rsid w:val="008E1BEB"/>
    <w:rsid w:val="008E537E"/>
    <w:rsid w:val="008F173C"/>
    <w:rsid w:val="008F39D3"/>
    <w:rsid w:val="00900F57"/>
    <w:rsid w:val="00917DB3"/>
    <w:rsid w:val="00944B8F"/>
    <w:rsid w:val="00946427"/>
    <w:rsid w:val="00955BB3"/>
    <w:rsid w:val="009759AF"/>
    <w:rsid w:val="0098532D"/>
    <w:rsid w:val="009A0C62"/>
    <w:rsid w:val="009A34D9"/>
    <w:rsid w:val="009A38AD"/>
    <w:rsid w:val="009E2D89"/>
    <w:rsid w:val="009E7ACF"/>
    <w:rsid w:val="00A06670"/>
    <w:rsid w:val="00A148A1"/>
    <w:rsid w:val="00A175E5"/>
    <w:rsid w:val="00A3566B"/>
    <w:rsid w:val="00A36AFA"/>
    <w:rsid w:val="00A36C09"/>
    <w:rsid w:val="00A37BB3"/>
    <w:rsid w:val="00A37C9F"/>
    <w:rsid w:val="00A477E1"/>
    <w:rsid w:val="00A51A8A"/>
    <w:rsid w:val="00A70123"/>
    <w:rsid w:val="00A74BFA"/>
    <w:rsid w:val="00A76B07"/>
    <w:rsid w:val="00A81B98"/>
    <w:rsid w:val="00A90305"/>
    <w:rsid w:val="00AA5998"/>
    <w:rsid w:val="00AA63A3"/>
    <w:rsid w:val="00AB575E"/>
    <w:rsid w:val="00AB5EB7"/>
    <w:rsid w:val="00AD4D97"/>
    <w:rsid w:val="00AD4F21"/>
    <w:rsid w:val="00AD57C8"/>
    <w:rsid w:val="00AE2453"/>
    <w:rsid w:val="00AF7F2A"/>
    <w:rsid w:val="00B05DFC"/>
    <w:rsid w:val="00B1099C"/>
    <w:rsid w:val="00B36EEA"/>
    <w:rsid w:val="00B426EA"/>
    <w:rsid w:val="00B434CA"/>
    <w:rsid w:val="00B5038E"/>
    <w:rsid w:val="00B52933"/>
    <w:rsid w:val="00B76754"/>
    <w:rsid w:val="00B82A0C"/>
    <w:rsid w:val="00BA0FA7"/>
    <w:rsid w:val="00BA3105"/>
    <w:rsid w:val="00BA4B55"/>
    <w:rsid w:val="00BA752A"/>
    <w:rsid w:val="00BD1F83"/>
    <w:rsid w:val="00BE2AF1"/>
    <w:rsid w:val="00C05213"/>
    <w:rsid w:val="00C12C93"/>
    <w:rsid w:val="00C16FA7"/>
    <w:rsid w:val="00C325F5"/>
    <w:rsid w:val="00C326C4"/>
    <w:rsid w:val="00C457E8"/>
    <w:rsid w:val="00C52702"/>
    <w:rsid w:val="00C609B9"/>
    <w:rsid w:val="00C8473F"/>
    <w:rsid w:val="00C91BD0"/>
    <w:rsid w:val="00C92A95"/>
    <w:rsid w:val="00CA419D"/>
    <w:rsid w:val="00CB6893"/>
    <w:rsid w:val="00CB6CB7"/>
    <w:rsid w:val="00CB7FB9"/>
    <w:rsid w:val="00CC4618"/>
    <w:rsid w:val="00CC5D7B"/>
    <w:rsid w:val="00CD72E6"/>
    <w:rsid w:val="00CD7C2F"/>
    <w:rsid w:val="00CE2386"/>
    <w:rsid w:val="00D45501"/>
    <w:rsid w:val="00D4740D"/>
    <w:rsid w:val="00D56F9F"/>
    <w:rsid w:val="00D6393A"/>
    <w:rsid w:val="00D713F4"/>
    <w:rsid w:val="00D87869"/>
    <w:rsid w:val="00D9092C"/>
    <w:rsid w:val="00DB2814"/>
    <w:rsid w:val="00DC02A4"/>
    <w:rsid w:val="00DD1A3B"/>
    <w:rsid w:val="00DD2795"/>
    <w:rsid w:val="00DE75A8"/>
    <w:rsid w:val="00DF0A77"/>
    <w:rsid w:val="00DF1859"/>
    <w:rsid w:val="00DF3662"/>
    <w:rsid w:val="00E0445A"/>
    <w:rsid w:val="00E045C4"/>
    <w:rsid w:val="00E0484E"/>
    <w:rsid w:val="00E117F5"/>
    <w:rsid w:val="00E1495C"/>
    <w:rsid w:val="00E32408"/>
    <w:rsid w:val="00E37CEF"/>
    <w:rsid w:val="00E43370"/>
    <w:rsid w:val="00E45522"/>
    <w:rsid w:val="00E602AA"/>
    <w:rsid w:val="00E66CE8"/>
    <w:rsid w:val="00E72EF1"/>
    <w:rsid w:val="00E81031"/>
    <w:rsid w:val="00E8194E"/>
    <w:rsid w:val="00E824A1"/>
    <w:rsid w:val="00E845D4"/>
    <w:rsid w:val="00E90E29"/>
    <w:rsid w:val="00EC22CC"/>
    <w:rsid w:val="00ED354D"/>
    <w:rsid w:val="00ED6B69"/>
    <w:rsid w:val="00EE34F4"/>
    <w:rsid w:val="00EE4F86"/>
    <w:rsid w:val="00EF22A4"/>
    <w:rsid w:val="00F16AF9"/>
    <w:rsid w:val="00F4217A"/>
    <w:rsid w:val="00F5176D"/>
    <w:rsid w:val="00F54EA0"/>
    <w:rsid w:val="00F56F29"/>
    <w:rsid w:val="00F60F8C"/>
    <w:rsid w:val="00F636A6"/>
    <w:rsid w:val="00F66517"/>
    <w:rsid w:val="00F7050A"/>
    <w:rsid w:val="00F7698B"/>
    <w:rsid w:val="00F85D91"/>
    <w:rsid w:val="00F87E53"/>
    <w:rsid w:val="00F96EE9"/>
    <w:rsid w:val="00FA0378"/>
    <w:rsid w:val="00FA355B"/>
    <w:rsid w:val="00FB382E"/>
    <w:rsid w:val="00FC4302"/>
    <w:rsid w:val="00FC4944"/>
    <w:rsid w:val="00FC558B"/>
    <w:rsid w:val="00FC6E3C"/>
    <w:rsid w:val="00FD1031"/>
    <w:rsid w:val="00FD5AF2"/>
    <w:rsid w:val="00FE163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0312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1236"/>
    <w:rPr>
      <w:sz w:val="20"/>
      <w:szCs w:val="20"/>
    </w:rPr>
  </w:style>
  <w:style w:type="character" w:styleId="Appelnotedebasdep">
    <w:name w:val="footnote reference"/>
    <w:basedOn w:val="Policepardfaut"/>
    <w:uiPriority w:val="99"/>
    <w:semiHidden/>
    <w:unhideWhenUsed/>
    <w:rsid w:val="00031236"/>
    <w:rPr>
      <w:vertAlign w:val="superscript"/>
    </w:rPr>
  </w:style>
  <w:style w:type="character" w:styleId="Lienhypertexte">
    <w:name w:val="Hyperlink"/>
    <w:basedOn w:val="Policepardfaut"/>
    <w:uiPriority w:val="99"/>
    <w:semiHidden/>
    <w:unhideWhenUsed/>
    <w:rsid w:val="00031236"/>
    <w:rPr>
      <w:color w:val="0000FF"/>
      <w:u w:val="single"/>
    </w:rPr>
  </w:style>
  <w:style w:type="paragraph" w:styleId="Rvision">
    <w:name w:val="Revision"/>
    <w:hidden/>
    <w:uiPriority w:val="99"/>
    <w:semiHidden/>
    <w:rsid w:val="00D713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onoceanindien.org/bulles-despoir-ocean-plastique-expl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customXml/itemProps2.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3.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A7971-D37D-4808-80A7-CC58617F3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2476</Words>
  <Characters>13621</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5</cp:revision>
  <dcterms:created xsi:type="dcterms:W3CDTF">2024-04-05T04:56:00Z</dcterms:created>
  <dcterms:modified xsi:type="dcterms:W3CDTF">2024-04-05T13:34:00Z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