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76D30" w14:textId="164712AB" w:rsidR="00742622" w:rsidRPr="005035B2" w:rsidRDefault="00742622" w:rsidP="00742622">
      <w:pPr>
        <w:jc w:val="center"/>
        <w:rPr>
          <w:rFonts w:ascii="Verdana" w:hAnsi="Verdana"/>
          <w:b/>
          <w:bCs/>
        </w:rPr>
      </w:pPr>
      <w:r w:rsidRPr="005035B2">
        <w:rPr>
          <w:rFonts w:ascii="Verdana" w:hAnsi="Verdana"/>
          <w:b/>
          <w:bCs/>
        </w:rPr>
        <w:t>Atelier national sur la chaîne de valeur de maïs à Madagascar</w:t>
      </w:r>
    </w:p>
    <w:p w14:paraId="0CE92337" w14:textId="5E55BF0C" w:rsidR="00742622" w:rsidRPr="005035B2" w:rsidRDefault="00742622" w:rsidP="00742622">
      <w:pPr>
        <w:jc w:val="center"/>
        <w:rPr>
          <w:rFonts w:ascii="Verdana" w:hAnsi="Verdana"/>
          <w:b/>
          <w:bCs/>
        </w:rPr>
      </w:pPr>
      <w:r w:rsidRPr="005035B2">
        <w:rPr>
          <w:rFonts w:ascii="Verdana" w:hAnsi="Verdana"/>
          <w:b/>
          <w:bCs/>
        </w:rPr>
        <w:t>Note concept</w:t>
      </w:r>
    </w:p>
    <w:p w14:paraId="7ECD9F43" w14:textId="291CE2A3" w:rsidR="00742622" w:rsidRDefault="005035B2" w:rsidP="00742622">
      <w:pPr>
        <w:jc w:val="center"/>
        <w:rPr>
          <w:rFonts w:ascii="Verdana" w:hAnsi="Verdana"/>
        </w:rPr>
      </w:pPr>
      <w:r>
        <w:rPr>
          <w:rFonts w:ascii="Verdana" w:hAnsi="Verdana"/>
        </w:rPr>
        <w:t>________________________________________________________________</w:t>
      </w:r>
    </w:p>
    <w:p w14:paraId="11D2D0C7" w14:textId="5755175F" w:rsidR="006D3E28" w:rsidRPr="00C14391" w:rsidRDefault="006D3E28" w:rsidP="00C14391">
      <w:pPr>
        <w:pStyle w:val="Paragraphedeliste"/>
        <w:numPr>
          <w:ilvl w:val="0"/>
          <w:numId w:val="1"/>
        </w:numPr>
        <w:jc w:val="both"/>
        <w:rPr>
          <w:rFonts w:ascii="Verdana" w:hAnsi="Verdana"/>
          <w:b/>
          <w:bCs/>
        </w:rPr>
      </w:pPr>
      <w:r w:rsidRPr="00C14391">
        <w:rPr>
          <w:rFonts w:ascii="Verdana" w:hAnsi="Verdana"/>
          <w:b/>
          <w:bCs/>
        </w:rPr>
        <w:t>Contexte</w:t>
      </w:r>
    </w:p>
    <w:p w14:paraId="42DCAFA7" w14:textId="66592757" w:rsidR="008D651D" w:rsidRDefault="00C14391" w:rsidP="006D3E28">
      <w:pPr>
        <w:jc w:val="both"/>
        <w:rPr>
          <w:rFonts w:ascii="Verdana" w:hAnsi="Verdana"/>
        </w:rPr>
      </w:pPr>
      <w:r>
        <w:rPr>
          <w:rFonts w:ascii="Verdana" w:hAnsi="Verdana"/>
        </w:rPr>
        <w:t xml:space="preserve">La Commission de l’océan Indien a soumis une manifestation d’intérêt à </w:t>
      </w:r>
      <w:r w:rsidR="006D3E28" w:rsidRPr="006D3E28">
        <w:rPr>
          <w:rFonts w:ascii="Verdana" w:hAnsi="Verdana"/>
        </w:rPr>
        <w:t xml:space="preserve">Africa Reform for Investment and </w:t>
      </w:r>
      <w:proofErr w:type="spellStart"/>
      <w:r w:rsidR="006D3E28" w:rsidRPr="006D3E28">
        <w:rPr>
          <w:rFonts w:ascii="Verdana" w:hAnsi="Verdana"/>
        </w:rPr>
        <w:t>Sustainable</w:t>
      </w:r>
      <w:proofErr w:type="spellEnd"/>
      <w:r w:rsidR="006D3E28" w:rsidRPr="006D3E28">
        <w:rPr>
          <w:rFonts w:ascii="Verdana" w:hAnsi="Verdana"/>
        </w:rPr>
        <w:t xml:space="preserve"> Economies (</w:t>
      </w:r>
      <w:proofErr w:type="spellStart"/>
      <w:r w:rsidR="006D3E28" w:rsidRPr="006D3E28">
        <w:rPr>
          <w:rFonts w:ascii="Verdana" w:hAnsi="Verdana"/>
        </w:rPr>
        <w:t>Africa</w:t>
      </w:r>
      <w:proofErr w:type="spellEnd"/>
      <w:r w:rsidR="006D3E28" w:rsidRPr="006D3E28">
        <w:rPr>
          <w:rFonts w:ascii="Verdana" w:hAnsi="Verdana"/>
        </w:rPr>
        <w:t xml:space="preserve"> RISE)</w:t>
      </w:r>
      <w:r>
        <w:rPr>
          <w:rFonts w:ascii="Verdana" w:hAnsi="Verdana"/>
        </w:rPr>
        <w:t xml:space="preserve"> en 2022, pour une étude de faisabilité de la promotion </w:t>
      </w:r>
      <w:r w:rsidR="00EA17E2">
        <w:rPr>
          <w:rFonts w:ascii="Verdana" w:hAnsi="Verdana"/>
        </w:rPr>
        <w:t xml:space="preserve">de la chaîne de valeur régionale maïs </w:t>
      </w:r>
      <w:r w:rsidR="008D651D">
        <w:rPr>
          <w:rFonts w:ascii="Verdana" w:hAnsi="Verdana"/>
        </w:rPr>
        <w:t>et</w:t>
      </w:r>
      <w:r w:rsidR="008D651D" w:rsidRPr="008D651D">
        <w:rPr>
          <w:rFonts w:ascii="Verdana" w:hAnsi="Verdana"/>
        </w:rPr>
        <w:t xml:space="preserve"> la logistique maritime dans la région du SWIO (Sud-Ouest de l’océan Indien)</w:t>
      </w:r>
      <w:r w:rsidR="00EA17E2">
        <w:rPr>
          <w:rFonts w:ascii="Verdana" w:hAnsi="Verdana"/>
        </w:rPr>
        <w:t>. Ce service a été honoré par Africa RISE</w:t>
      </w:r>
      <w:r w:rsidR="008D651D">
        <w:rPr>
          <w:rFonts w:ascii="Verdana" w:hAnsi="Verdana"/>
        </w:rPr>
        <w:t xml:space="preserve"> en 2023, à travers la</w:t>
      </w:r>
      <w:r w:rsidR="006D3E28" w:rsidRPr="006D3E28">
        <w:rPr>
          <w:rFonts w:ascii="Verdana" w:hAnsi="Verdana"/>
        </w:rPr>
        <w:t xml:space="preserve"> facilité d'assistance technique régionale axée sur la demande visant à promouvoir le développement des entreprises et à améliorer le climat d'investissement dans les îles de l'océan Indien (IOI), entre autres. </w:t>
      </w:r>
    </w:p>
    <w:p w14:paraId="32C81CF7" w14:textId="32CD2D96" w:rsidR="006D3E28" w:rsidRPr="006D3E28" w:rsidRDefault="008D651D" w:rsidP="006D3E28">
      <w:pPr>
        <w:jc w:val="both"/>
        <w:rPr>
          <w:rFonts w:ascii="Verdana" w:hAnsi="Verdana"/>
        </w:rPr>
      </w:pPr>
      <w:r>
        <w:rPr>
          <w:rFonts w:ascii="Verdana" w:hAnsi="Verdana"/>
        </w:rPr>
        <w:t>Le présent a</w:t>
      </w:r>
      <w:r w:rsidR="006D3E28" w:rsidRPr="006D3E28">
        <w:rPr>
          <w:rFonts w:ascii="Verdana" w:hAnsi="Verdana"/>
        </w:rPr>
        <w:t xml:space="preserve">telier </w:t>
      </w:r>
      <w:r>
        <w:rPr>
          <w:rFonts w:ascii="Verdana" w:hAnsi="Verdana"/>
        </w:rPr>
        <w:t xml:space="preserve">constitue </w:t>
      </w:r>
      <w:r w:rsidR="006D3E28" w:rsidRPr="006D3E28">
        <w:rPr>
          <w:rFonts w:ascii="Verdana" w:hAnsi="Verdana"/>
        </w:rPr>
        <w:t>l'une des activités d</w:t>
      </w:r>
      <w:r>
        <w:rPr>
          <w:rFonts w:ascii="Verdana" w:hAnsi="Verdana"/>
        </w:rPr>
        <w:t xml:space="preserve">e ce service </w:t>
      </w:r>
      <w:r w:rsidR="006D3E28" w:rsidRPr="006D3E28">
        <w:rPr>
          <w:rFonts w:ascii="Verdana" w:hAnsi="Verdana"/>
        </w:rPr>
        <w:t>qui a été chargée d'identifier les mécanismes qui, s'ils sont pris en compte, soutiendraient le développement de la chaîne de valeur régionale du maïs ainsi que la logistique maritime dans la région du SWIO.</w:t>
      </w:r>
    </w:p>
    <w:p w14:paraId="532F805C" w14:textId="5C538B54" w:rsidR="003D071E" w:rsidRDefault="008D651D" w:rsidP="006D3E28">
      <w:pPr>
        <w:jc w:val="both"/>
        <w:rPr>
          <w:rFonts w:ascii="Verdana" w:hAnsi="Verdana"/>
        </w:rPr>
      </w:pPr>
      <w:r>
        <w:rPr>
          <w:rFonts w:ascii="Verdana" w:hAnsi="Verdana"/>
        </w:rPr>
        <w:t>En effet, l</w:t>
      </w:r>
      <w:r w:rsidR="006D3E28" w:rsidRPr="006D3E28">
        <w:rPr>
          <w:rFonts w:ascii="Verdana" w:hAnsi="Verdana"/>
        </w:rPr>
        <w:t>'étude sur la chaîne de valeur du maïs a indiqué que, malgré la disponibilité de terres dans diverses régions de Madagascar, la production de maïs au cours des sept dernières années a représenté en moyenne moins de la moitié de la production du pays en 2008. Les principales causes de la baisse de la production sont la difficulté d'accès à la terre, l'incapacité à contrôler les maladies liées au maïs, l'accès limité à la technologie des semences de maïs à haut rendement, l'utilisation limitée d'engrais et la faible compétitivité du secteur du maïs. La majeure partie du maïs (95 %) est produite par de petits agriculteurs qui cultivent des surfaces moyennes de 1,2 hectare avec des niveaux de rendement médiocres (1,5 tonne/hectare). Faute de moyens financiers, d'accès et de connaissances, les agriculteurs utilisent des techniques agricoles très basiques et à faibles intrants, en recourant à des semences recyclées et sans engrais chimiques. Il existe peu de producteurs de semences commerciales qui s'adressent presque exclusivement à des acheteurs institutionnels, parmi lesquels les projets gouvernementaux A2DM, DEFIS et une poignée de grands opérateurs.</w:t>
      </w:r>
    </w:p>
    <w:p w14:paraId="3CC8DF33" w14:textId="77777777" w:rsidR="006D3E28" w:rsidRPr="006D3E28" w:rsidRDefault="006D3E28" w:rsidP="006D3E28">
      <w:pPr>
        <w:jc w:val="both"/>
        <w:rPr>
          <w:rFonts w:ascii="Verdana" w:hAnsi="Verdana"/>
        </w:rPr>
      </w:pPr>
      <w:r w:rsidRPr="006D3E28">
        <w:rPr>
          <w:rFonts w:ascii="Verdana" w:hAnsi="Verdana"/>
        </w:rPr>
        <w:t xml:space="preserve">La majeure partie du maïs est utilisée pour la production d'aliments pour le bétail, principalement pour le secteur de la volaille, qui a connu une croissance régulière liée à la croissance économique et à l'urbanisation croissante. Le secteur du maïs est confronté à d'autres défis, notamment le coût logistique élevé de l'approvisionnement en maïs des principaux marchés, principalement à Tana et dans ses environs. </w:t>
      </w:r>
    </w:p>
    <w:p w14:paraId="012787F7" w14:textId="77777777" w:rsidR="006D3E28" w:rsidRPr="006D3E28" w:rsidRDefault="006D3E28" w:rsidP="006D3E28">
      <w:pPr>
        <w:jc w:val="both"/>
        <w:rPr>
          <w:rFonts w:ascii="Verdana" w:hAnsi="Verdana"/>
        </w:rPr>
      </w:pPr>
      <w:r w:rsidRPr="006D3E28">
        <w:rPr>
          <w:rFonts w:ascii="Verdana" w:hAnsi="Verdana"/>
        </w:rPr>
        <w:t xml:space="preserve">En termes de dialogue public-privé (PPD), la chaîne de valeur du maïs n'est pas bien organisée.  En 2022, une plateforme nationale du maïs (Mi Katsaka) a été créée pour les petits agriculteurs, mais son fonctionnement nécessite un soutien financier et technique. </w:t>
      </w:r>
    </w:p>
    <w:p w14:paraId="6497B970" w14:textId="77777777" w:rsidR="006D3E28" w:rsidRPr="006D3E28" w:rsidRDefault="006D3E28" w:rsidP="006D3E28">
      <w:pPr>
        <w:jc w:val="both"/>
        <w:rPr>
          <w:rFonts w:ascii="Verdana" w:hAnsi="Verdana"/>
        </w:rPr>
      </w:pPr>
      <w:r w:rsidRPr="006D3E28">
        <w:rPr>
          <w:rFonts w:ascii="Verdana" w:hAnsi="Verdana"/>
        </w:rPr>
        <w:t xml:space="preserve">Madagascar doit relever d'énormes défis pour améliorer la compétitivité du secteur du maïs. L'absence de politiques appropriées, la faiblesse des institutions de </w:t>
      </w:r>
      <w:r w:rsidRPr="006D3E28">
        <w:rPr>
          <w:rFonts w:ascii="Verdana" w:hAnsi="Verdana"/>
        </w:rPr>
        <w:lastRenderedPageBreak/>
        <w:t xml:space="preserve">soutien et des capacités de recherche, le manque de sensibilisation au niveau des secteurs public et privé, l'accès limité aux semences et aux engrais, les mauvaises techniques de production, le manque d'information et l'asymétrie sont autant de problèmes qui entravent le développement de la chaîne de valeur du maïs. </w:t>
      </w:r>
    </w:p>
    <w:p w14:paraId="1A7BA33C" w14:textId="2BB1EC0F" w:rsidR="006D3E28" w:rsidRDefault="006D3E28" w:rsidP="006D3E28">
      <w:pPr>
        <w:jc w:val="both"/>
        <w:rPr>
          <w:rFonts w:ascii="Verdana" w:hAnsi="Verdana"/>
        </w:rPr>
      </w:pPr>
      <w:r w:rsidRPr="006D3E28">
        <w:rPr>
          <w:rFonts w:ascii="Verdana" w:hAnsi="Verdana"/>
        </w:rPr>
        <w:t>Il est essentiel de résoudre les problèmes liés à l'accès aux terres, aux infrastructures routières médiocres et aux installations de stockage limitées si l'on veut que le maïs devienne compétitif sur le plan intérieur, sans parler de l'exportation. La récente demande du secteur privé d'importer du maïs pour répondre à la demande de l'industrie de la volaille et de l'alimentation animale illustre la situation du secteur.</w:t>
      </w:r>
    </w:p>
    <w:p w14:paraId="7A94CB57" w14:textId="18B8A1C5" w:rsidR="006D3E28" w:rsidRPr="006D3E28" w:rsidRDefault="006D3E28" w:rsidP="006D3E28">
      <w:pPr>
        <w:jc w:val="both"/>
        <w:rPr>
          <w:rFonts w:ascii="Verdana" w:hAnsi="Verdana"/>
        </w:rPr>
      </w:pPr>
      <w:r w:rsidRPr="006D3E28">
        <w:rPr>
          <w:rFonts w:ascii="Verdana" w:hAnsi="Verdana"/>
        </w:rPr>
        <w:t xml:space="preserve">Sur la base du développement de la </w:t>
      </w:r>
      <w:r w:rsidR="008D651D">
        <w:rPr>
          <w:rFonts w:ascii="Verdana" w:hAnsi="Verdana"/>
        </w:rPr>
        <w:t xml:space="preserve">chaîne de valeur </w:t>
      </w:r>
      <w:r w:rsidRPr="006D3E28">
        <w:rPr>
          <w:rFonts w:ascii="Verdana" w:hAnsi="Verdana"/>
        </w:rPr>
        <w:t>maïs dans d'autres pays confrontés à des circonstances similaires, Madagascar devrait envisager un horizon de 8 à 10 ans pour que le secteur atteigne sa maturité et envisage d'exporter le produit dans la région de l'IOI.</w:t>
      </w:r>
    </w:p>
    <w:p w14:paraId="6A63931F" w14:textId="3949C8F5" w:rsidR="006D3E28" w:rsidRDefault="006D3E28" w:rsidP="006D3E28">
      <w:pPr>
        <w:jc w:val="both"/>
        <w:rPr>
          <w:rFonts w:ascii="Verdana" w:hAnsi="Verdana"/>
        </w:rPr>
      </w:pPr>
      <w:r w:rsidRPr="006D3E28">
        <w:rPr>
          <w:rFonts w:ascii="Verdana" w:hAnsi="Verdana"/>
        </w:rPr>
        <w:t>Le secteur du maïs à Madagascar est à la croisée des chemins. Afin d'assurer un développement durable du secteur pour répondre à la demande future de maïs, certaines initiatives majeures doivent être entreprises et des décisions importantes doivent être prises. Un atelier national sur la CV du maïs est donc opportun pour aider les parties prenantes du gouvernement et du secteur privé à avoir une meilleure compréhension partagée de la situation du secteur, à créer une prise de conscience à la fois locale et internationale sur le potentiel du maïs et à commencer à penser à des stratégies qui pourraient être développées dans les années à venir et aider le secteur à devenir compétitif.</w:t>
      </w:r>
    </w:p>
    <w:p w14:paraId="5727C209" w14:textId="77777777" w:rsidR="008D651D" w:rsidRDefault="008D651D" w:rsidP="006D3E28">
      <w:pPr>
        <w:jc w:val="both"/>
        <w:rPr>
          <w:rFonts w:ascii="Verdana" w:hAnsi="Verdana"/>
        </w:rPr>
      </w:pPr>
    </w:p>
    <w:p w14:paraId="3EBC9750" w14:textId="77777777" w:rsidR="006D3E28" w:rsidRDefault="006D3E28" w:rsidP="008D651D">
      <w:pPr>
        <w:pStyle w:val="Paragraphedeliste"/>
        <w:numPr>
          <w:ilvl w:val="0"/>
          <w:numId w:val="1"/>
        </w:numPr>
        <w:jc w:val="both"/>
        <w:rPr>
          <w:rFonts w:ascii="Verdana" w:hAnsi="Verdana"/>
          <w:b/>
          <w:bCs/>
        </w:rPr>
      </w:pPr>
      <w:r w:rsidRPr="008D651D">
        <w:rPr>
          <w:rFonts w:ascii="Verdana" w:hAnsi="Verdana"/>
          <w:b/>
          <w:bCs/>
        </w:rPr>
        <w:t>Objectifs de l'atelier</w:t>
      </w:r>
    </w:p>
    <w:p w14:paraId="4AF393B4" w14:textId="71CEB199" w:rsidR="008D651D" w:rsidRPr="008D651D" w:rsidRDefault="008D651D" w:rsidP="008D651D">
      <w:pPr>
        <w:jc w:val="both"/>
        <w:rPr>
          <w:rFonts w:ascii="Verdana" w:hAnsi="Verdana"/>
        </w:rPr>
      </w:pPr>
      <w:r w:rsidRPr="008D651D">
        <w:rPr>
          <w:rFonts w:ascii="Verdana" w:hAnsi="Verdana"/>
        </w:rPr>
        <w:t xml:space="preserve">Il s’agit de : </w:t>
      </w:r>
    </w:p>
    <w:p w14:paraId="6405AB62" w14:textId="490E2109" w:rsidR="006D3E28" w:rsidRPr="008D651D" w:rsidRDefault="006D3E28" w:rsidP="008D651D">
      <w:pPr>
        <w:pStyle w:val="Paragraphedeliste"/>
        <w:numPr>
          <w:ilvl w:val="0"/>
          <w:numId w:val="2"/>
        </w:numPr>
        <w:jc w:val="both"/>
        <w:rPr>
          <w:rFonts w:ascii="Verdana" w:hAnsi="Verdana"/>
        </w:rPr>
      </w:pPr>
      <w:r w:rsidRPr="008D651D">
        <w:rPr>
          <w:rFonts w:ascii="Verdana" w:hAnsi="Verdana"/>
        </w:rPr>
        <w:t>Créer la prise de conscience nécessaire de l'importance croissante de la CV du maïs et de l'industrie de l'alimentation de la volaille dans l'économie malgache et des problèmes existants qui, s'ils ne sont pas résolus, compromettront le développement de ces secteurs.</w:t>
      </w:r>
    </w:p>
    <w:p w14:paraId="488CA7D7" w14:textId="5574333B" w:rsidR="006D3E28" w:rsidRPr="008D651D" w:rsidRDefault="006D3E28" w:rsidP="008D651D">
      <w:pPr>
        <w:pStyle w:val="Paragraphedeliste"/>
        <w:numPr>
          <w:ilvl w:val="0"/>
          <w:numId w:val="2"/>
        </w:numPr>
        <w:jc w:val="both"/>
        <w:rPr>
          <w:rFonts w:ascii="Verdana" w:hAnsi="Verdana"/>
        </w:rPr>
      </w:pPr>
      <w:r w:rsidRPr="008D651D">
        <w:rPr>
          <w:rFonts w:ascii="Verdana" w:hAnsi="Verdana"/>
        </w:rPr>
        <w:t>Partager les leçons tirées des meilleures pratiques et des réussites concernant le développement de la CV du maïs dans d'autres parties de la région de l'Afrique australe.</w:t>
      </w:r>
    </w:p>
    <w:p w14:paraId="570FC9C2" w14:textId="59789E11" w:rsidR="006D3E28" w:rsidRPr="008D651D" w:rsidRDefault="006D3E28" w:rsidP="008D651D">
      <w:pPr>
        <w:pStyle w:val="Paragraphedeliste"/>
        <w:numPr>
          <w:ilvl w:val="0"/>
          <w:numId w:val="2"/>
        </w:numPr>
        <w:jc w:val="both"/>
        <w:rPr>
          <w:rFonts w:ascii="Verdana" w:hAnsi="Verdana"/>
        </w:rPr>
      </w:pPr>
      <w:r w:rsidRPr="008D651D">
        <w:rPr>
          <w:rFonts w:ascii="Verdana" w:hAnsi="Verdana"/>
        </w:rPr>
        <w:t>Réunir toutes les parties prenantes concernées à Madagascar pour dialoguer et identifier les mécanismes appropriés pour lancer un processus de PPD dans le secteur du maïs.</w:t>
      </w:r>
    </w:p>
    <w:p w14:paraId="13BBEB79" w14:textId="79AC47A3" w:rsidR="006D3E28" w:rsidRPr="008D651D" w:rsidRDefault="006D3E28" w:rsidP="008D651D">
      <w:pPr>
        <w:pStyle w:val="Paragraphedeliste"/>
        <w:numPr>
          <w:ilvl w:val="0"/>
          <w:numId w:val="2"/>
        </w:numPr>
        <w:jc w:val="both"/>
        <w:rPr>
          <w:rFonts w:ascii="Verdana" w:hAnsi="Verdana"/>
        </w:rPr>
      </w:pPr>
      <w:r w:rsidRPr="008D651D">
        <w:rPr>
          <w:rFonts w:ascii="Verdana" w:hAnsi="Verdana"/>
        </w:rPr>
        <w:t xml:space="preserve">Recevoir, discuter et valider les résultats préliminaires des contraintes majeures auxquelles est confrontée la chaîne de valeur du maïs et les recommandations préliminaires proposées pour rendre le secteur du maïs compétitif. </w:t>
      </w:r>
    </w:p>
    <w:p w14:paraId="2B454C30" w14:textId="75C1555B" w:rsidR="006D3E28" w:rsidRPr="008D651D" w:rsidRDefault="006D3E28" w:rsidP="008D651D">
      <w:pPr>
        <w:pStyle w:val="Paragraphedeliste"/>
        <w:numPr>
          <w:ilvl w:val="0"/>
          <w:numId w:val="2"/>
        </w:numPr>
        <w:jc w:val="both"/>
        <w:rPr>
          <w:rFonts w:ascii="Verdana" w:hAnsi="Verdana"/>
        </w:rPr>
      </w:pPr>
      <w:r w:rsidRPr="008D651D">
        <w:rPr>
          <w:rFonts w:ascii="Verdana" w:hAnsi="Verdana"/>
        </w:rPr>
        <w:t>Inviter les producteurs et fournisseurs internationaux de semences, d'engrais et d'équipements à faire le point sur le potentiel de développement du maïs à Madagascar.</w:t>
      </w:r>
    </w:p>
    <w:p w14:paraId="0404BE0F" w14:textId="465FA5B2" w:rsidR="006D3E28" w:rsidRDefault="006D3E28" w:rsidP="008D651D">
      <w:pPr>
        <w:pStyle w:val="Paragraphedeliste"/>
        <w:numPr>
          <w:ilvl w:val="0"/>
          <w:numId w:val="2"/>
        </w:numPr>
        <w:jc w:val="both"/>
        <w:rPr>
          <w:rFonts w:ascii="Verdana" w:hAnsi="Verdana"/>
        </w:rPr>
      </w:pPr>
      <w:r w:rsidRPr="008D651D">
        <w:rPr>
          <w:rFonts w:ascii="Verdana" w:hAnsi="Verdana"/>
        </w:rPr>
        <w:lastRenderedPageBreak/>
        <w:t>Utiliser les résultats de l'atelier pour initier le développement d'un plan d'action stratégique pour le développement de l'industrie du maïs.</w:t>
      </w:r>
    </w:p>
    <w:p w14:paraId="78961A5E" w14:textId="77777777" w:rsidR="008D651D" w:rsidRPr="008D651D" w:rsidRDefault="008D651D" w:rsidP="008D651D">
      <w:pPr>
        <w:pStyle w:val="Paragraphedeliste"/>
        <w:jc w:val="both"/>
        <w:rPr>
          <w:rFonts w:ascii="Verdana" w:hAnsi="Verdana"/>
        </w:rPr>
      </w:pPr>
    </w:p>
    <w:p w14:paraId="6009F0CD" w14:textId="77777777" w:rsidR="006D3E28" w:rsidRDefault="006D3E28" w:rsidP="008D651D">
      <w:pPr>
        <w:pStyle w:val="Paragraphedeliste"/>
        <w:numPr>
          <w:ilvl w:val="0"/>
          <w:numId w:val="1"/>
        </w:numPr>
        <w:jc w:val="both"/>
        <w:rPr>
          <w:rFonts w:ascii="Verdana" w:hAnsi="Verdana"/>
          <w:b/>
          <w:bCs/>
        </w:rPr>
      </w:pPr>
      <w:r w:rsidRPr="008D651D">
        <w:rPr>
          <w:rFonts w:ascii="Verdana" w:hAnsi="Verdana"/>
          <w:b/>
          <w:bCs/>
        </w:rPr>
        <w:t>Public cible : environ 30 participants</w:t>
      </w:r>
    </w:p>
    <w:p w14:paraId="518A092E" w14:textId="77777777" w:rsidR="008D651D" w:rsidRPr="008D651D" w:rsidRDefault="008D651D" w:rsidP="008D651D">
      <w:pPr>
        <w:pStyle w:val="Paragraphedeliste"/>
        <w:jc w:val="both"/>
        <w:rPr>
          <w:rFonts w:ascii="Verdana" w:hAnsi="Verdana"/>
          <w:b/>
          <w:bCs/>
        </w:rPr>
      </w:pPr>
    </w:p>
    <w:p w14:paraId="7867C65B" w14:textId="36074E50" w:rsidR="006D3E28" w:rsidRPr="008D651D" w:rsidRDefault="006D3E28" w:rsidP="008D651D">
      <w:pPr>
        <w:pStyle w:val="Paragraphedeliste"/>
        <w:numPr>
          <w:ilvl w:val="0"/>
          <w:numId w:val="3"/>
        </w:numPr>
        <w:jc w:val="both"/>
        <w:rPr>
          <w:rFonts w:ascii="Verdana" w:hAnsi="Verdana"/>
        </w:rPr>
      </w:pPr>
      <w:r w:rsidRPr="008D651D">
        <w:rPr>
          <w:rFonts w:ascii="Verdana" w:hAnsi="Verdana"/>
        </w:rPr>
        <w:t>Gouvernement (Ministères de l'agriculture et de l'élevage, de l'industrie et du commerce, des transports/de la logistique et départements connexes).</w:t>
      </w:r>
    </w:p>
    <w:p w14:paraId="403181C0" w14:textId="01CFCE10" w:rsidR="006D3E28" w:rsidRPr="008D651D" w:rsidRDefault="006D3E28" w:rsidP="008D651D">
      <w:pPr>
        <w:pStyle w:val="Paragraphedeliste"/>
        <w:numPr>
          <w:ilvl w:val="0"/>
          <w:numId w:val="3"/>
        </w:numPr>
        <w:jc w:val="both"/>
        <w:rPr>
          <w:rFonts w:ascii="Verdana" w:hAnsi="Verdana"/>
        </w:rPr>
      </w:pPr>
      <w:r w:rsidRPr="008D651D">
        <w:rPr>
          <w:rFonts w:ascii="Verdana" w:hAnsi="Verdana"/>
        </w:rPr>
        <w:t>Institutions publiques (recherche (FOFIFA, SOC, IITA, CGAIR, etc.), services de vulgarisation, autres services d'appui).</w:t>
      </w:r>
    </w:p>
    <w:p w14:paraId="464B83C8" w14:textId="0C8C17B9" w:rsidR="006D3E28" w:rsidRPr="008D651D" w:rsidRDefault="006D3E28" w:rsidP="008D651D">
      <w:pPr>
        <w:pStyle w:val="Paragraphedeliste"/>
        <w:numPr>
          <w:ilvl w:val="0"/>
          <w:numId w:val="3"/>
        </w:numPr>
        <w:jc w:val="both"/>
        <w:rPr>
          <w:rFonts w:ascii="Verdana" w:hAnsi="Verdana"/>
        </w:rPr>
      </w:pPr>
      <w:r w:rsidRPr="008D651D">
        <w:rPr>
          <w:rFonts w:ascii="Verdana" w:hAnsi="Verdana"/>
        </w:rPr>
        <w:t>Producteurs de maïs (associations de producteurs de taille moyenne et grande, ainsi que les producteurs internationaux potentiels).</w:t>
      </w:r>
    </w:p>
    <w:p w14:paraId="5A0B721C" w14:textId="23513E08" w:rsidR="006D3E28" w:rsidRPr="008D651D" w:rsidRDefault="006D3E28" w:rsidP="008D651D">
      <w:pPr>
        <w:pStyle w:val="Paragraphedeliste"/>
        <w:numPr>
          <w:ilvl w:val="0"/>
          <w:numId w:val="3"/>
        </w:numPr>
        <w:jc w:val="both"/>
        <w:rPr>
          <w:rFonts w:ascii="Verdana" w:hAnsi="Verdana"/>
        </w:rPr>
      </w:pPr>
      <w:r w:rsidRPr="008D651D">
        <w:rPr>
          <w:rFonts w:ascii="Verdana" w:hAnsi="Verdana"/>
        </w:rPr>
        <w:t>Association malgache de l'élevage (MPE), association de producteurs d'œufs.</w:t>
      </w:r>
    </w:p>
    <w:p w14:paraId="04258FF1" w14:textId="56729C19" w:rsidR="006D3E28" w:rsidRPr="008D651D" w:rsidRDefault="006D3E28" w:rsidP="008D651D">
      <w:pPr>
        <w:pStyle w:val="Paragraphedeliste"/>
        <w:numPr>
          <w:ilvl w:val="0"/>
          <w:numId w:val="3"/>
        </w:numPr>
        <w:jc w:val="both"/>
        <w:rPr>
          <w:rFonts w:ascii="Verdana" w:hAnsi="Verdana"/>
        </w:rPr>
      </w:pPr>
      <w:r w:rsidRPr="008D651D">
        <w:rPr>
          <w:rFonts w:ascii="Verdana" w:hAnsi="Verdana"/>
        </w:rPr>
        <w:t>Producteurs d'aliments pour volailles (LFL, Arbiochem, Agrival, etc.).</w:t>
      </w:r>
    </w:p>
    <w:p w14:paraId="300FB604" w14:textId="6224FA55" w:rsidR="006D3E28" w:rsidRPr="008D651D" w:rsidRDefault="006D3E28" w:rsidP="008D651D">
      <w:pPr>
        <w:pStyle w:val="Paragraphedeliste"/>
        <w:numPr>
          <w:ilvl w:val="0"/>
          <w:numId w:val="3"/>
        </w:numPr>
        <w:jc w:val="both"/>
        <w:rPr>
          <w:rFonts w:ascii="Verdana" w:hAnsi="Verdana"/>
        </w:rPr>
      </w:pPr>
      <w:r w:rsidRPr="008D651D">
        <w:rPr>
          <w:rFonts w:ascii="Verdana" w:hAnsi="Verdana"/>
        </w:rPr>
        <w:t>Sociétés d'approvisionnement agricole (semences, produits chimiques, engrais, équipement, outils).</w:t>
      </w:r>
    </w:p>
    <w:p w14:paraId="65C68A66" w14:textId="4094285E" w:rsidR="006D3E28" w:rsidRPr="008D651D" w:rsidRDefault="006D3E28" w:rsidP="008D651D">
      <w:pPr>
        <w:pStyle w:val="Paragraphedeliste"/>
        <w:numPr>
          <w:ilvl w:val="0"/>
          <w:numId w:val="3"/>
        </w:numPr>
        <w:jc w:val="both"/>
        <w:rPr>
          <w:rFonts w:ascii="Verdana" w:hAnsi="Verdana"/>
        </w:rPr>
      </w:pPr>
      <w:r w:rsidRPr="008D651D">
        <w:rPr>
          <w:rFonts w:ascii="Verdana" w:hAnsi="Verdana"/>
        </w:rPr>
        <w:t>ONG (liées au maïs et à l'agro-industrie).</w:t>
      </w:r>
    </w:p>
    <w:p w14:paraId="0CB847D2" w14:textId="024F27CC" w:rsidR="006D3E28" w:rsidRPr="008D651D" w:rsidRDefault="006D3E28" w:rsidP="008D651D">
      <w:pPr>
        <w:pStyle w:val="Paragraphedeliste"/>
        <w:numPr>
          <w:ilvl w:val="0"/>
          <w:numId w:val="3"/>
        </w:numPr>
        <w:jc w:val="both"/>
        <w:rPr>
          <w:rFonts w:ascii="Verdana" w:hAnsi="Verdana"/>
        </w:rPr>
      </w:pPr>
      <w:r w:rsidRPr="008D651D">
        <w:rPr>
          <w:rFonts w:ascii="Verdana" w:hAnsi="Verdana"/>
        </w:rPr>
        <w:t>Bailleurs de fonds (projets existants, bailleurs de fonds présents à Madagascar).</w:t>
      </w:r>
    </w:p>
    <w:p w14:paraId="14A7F1D3" w14:textId="4A20DCA5" w:rsidR="006D3E28" w:rsidRPr="008D651D" w:rsidRDefault="006D3E28" w:rsidP="008D651D">
      <w:pPr>
        <w:pStyle w:val="Paragraphedeliste"/>
        <w:numPr>
          <w:ilvl w:val="0"/>
          <w:numId w:val="3"/>
        </w:numPr>
        <w:jc w:val="both"/>
        <w:rPr>
          <w:rFonts w:ascii="Verdana" w:hAnsi="Verdana"/>
        </w:rPr>
      </w:pPr>
      <w:r w:rsidRPr="008D651D">
        <w:rPr>
          <w:rFonts w:ascii="Verdana" w:hAnsi="Verdana"/>
        </w:rPr>
        <w:t>Institutions régionales (COI).</w:t>
      </w:r>
    </w:p>
    <w:p w14:paraId="09F4D76A" w14:textId="3CDFB6E4" w:rsidR="006D3E28" w:rsidRDefault="006D3E28" w:rsidP="008D651D">
      <w:pPr>
        <w:pStyle w:val="Paragraphedeliste"/>
        <w:numPr>
          <w:ilvl w:val="0"/>
          <w:numId w:val="3"/>
        </w:numPr>
        <w:jc w:val="both"/>
        <w:rPr>
          <w:rFonts w:ascii="Verdana" w:hAnsi="Verdana"/>
        </w:rPr>
      </w:pPr>
      <w:r w:rsidRPr="008D651D">
        <w:rPr>
          <w:rFonts w:ascii="Verdana" w:hAnsi="Verdana"/>
        </w:rPr>
        <w:t>Médias</w:t>
      </w:r>
    </w:p>
    <w:p w14:paraId="5DF09712" w14:textId="77777777" w:rsidR="008D651D" w:rsidRPr="008D651D" w:rsidRDefault="008D651D" w:rsidP="008D651D">
      <w:pPr>
        <w:pStyle w:val="Paragraphedeliste"/>
        <w:jc w:val="both"/>
        <w:rPr>
          <w:rFonts w:ascii="Verdana" w:hAnsi="Verdana"/>
        </w:rPr>
      </w:pPr>
    </w:p>
    <w:p w14:paraId="10F8B3FC" w14:textId="77777777" w:rsidR="006D3E28" w:rsidRPr="008D651D" w:rsidRDefault="006D3E28" w:rsidP="008D651D">
      <w:pPr>
        <w:pStyle w:val="Paragraphedeliste"/>
        <w:numPr>
          <w:ilvl w:val="0"/>
          <w:numId w:val="1"/>
        </w:numPr>
        <w:jc w:val="both"/>
        <w:rPr>
          <w:rFonts w:ascii="Verdana" w:hAnsi="Verdana"/>
          <w:b/>
          <w:bCs/>
        </w:rPr>
      </w:pPr>
      <w:r w:rsidRPr="008D651D">
        <w:rPr>
          <w:rFonts w:ascii="Verdana" w:hAnsi="Verdana"/>
          <w:b/>
          <w:bCs/>
        </w:rPr>
        <w:t>Informations complémentaires</w:t>
      </w:r>
    </w:p>
    <w:p w14:paraId="76C61A5B" w14:textId="79973E14" w:rsidR="006D3E28" w:rsidRPr="006D3E28" w:rsidRDefault="006D3E28" w:rsidP="006D3E28">
      <w:pPr>
        <w:jc w:val="both"/>
        <w:rPr>
          <w:rFonts w:ascii="Verdana" w:hAnsi="Verdana"/>
        </w:rPr>
      </w:pPr>
      <w:r w:rsidRPr="006D3E28">
        <w:rPr>
          <w:rFonts w:ascii="Verdana" w:hAnsi="Verdana"/>
        </w:rPr>
        <w:t xml:space="preserve">La majorité des participants seront des ressortissants de Madagascar. D'autres participants </w:t>
      </w:r>
      <w:r w:rsidR="005035B2">
        <w:rPr>
          <w:rFonts w:ascii="Verdana" w:hAnsi="Verdana"/>
        </w:rPr>
        <w:t xml:space="preserve">des Etats membres </w:t>
      </w:r>
      <w:r w:rsidRPr="006D3E28">
        <w:rPr>
          <w:rFonts w:ascii="Verdana" w:hAnsi="Verdana"/>
        </w:rPr>
        <w:t>de la COI peuvent être intéressés à se joindre au secteur privé.</w:t>
      </w:r>
    </w:p>
    <w:p w14:paraId="407A4A0C" w14:textId="20342B00" w:rsidR="006D3E28" w:rsidRDefault="005035B2" w:rsidP="006D3E28">
      <w:pPr>
        <w:jc w:val="both"/>
        <w:rPr>
          <w:rFonts w:ascii="Verdana" w:hAnsi="Verdana"/>
        </w:rPr>
      </w:pPr>
      <w:r>
        <w:rPr>
          <w:rFonts w:ascii="Verdana" w:hAnsi="Verdana"/>
        </w:rPr>
        <w:t xml:space="preserve">Les </w:t>
      </w:r>
      <w:r w:rsidR="006D3E28" w:rsidRPr="006D3E28">
        <w:rPr>
          <w:rFonts w:ascii="Verdana" w:hAnsi="Verdana"/>
        </w:rPr>
        <w:t xml:space="preserve">organisations </w:t>
      </w:r>
      <w:r>
        <w:rPr>
          <w:rFonts w:ascii="Verdana" w:hAnsi="Verdana"/>
        </w:rPr>
        <w:t>privées</w:t>
      </w:r>
      <w:r w:rsidR="006D3E28" w:rsidRPr="006D3E28">
        <w:rPr>
          <w:rFonts w:ascii="Verdana" w:hAnsi="Verdana"/>
        </w:rPr>
        <w:t xml:space="preserve"> </w:t>
      </w:r>
      <w:r>
        <w:rPr>
          <w:rFonts w:ascii="Verdana" w:hAnsi="Verdana"/>
        </w:rPr>
        <w:t xml:space="preserve">se prendront en charge pour </w:t>
      </w:r>
      <w:r w:rsidR="006D3E28" w:rsidRPr="006D3E28">
        <w:rPr>
          <w:rFonts w:ascii="Verdana" w:hAnsi="Verdana"/>
        </w:rPr>
        <w:t>leur participation.</w:t>
      </w:r>
    </w:p>
    <w:p w14:paraId="11677B01" w14:textId="77777777" w:rsidR="006D3E28" w:rsidRPr="005035B2" w:rsidRDefault="006D3E28" w:rsidP="005035B2">
      <w:pPr>
        <w:pStyle w:val="Paragraphedeliste"/>
        <w:numPr>
          <w:ilvl w:val="0"/>
          <w:numId w:val="1"/>
        </w:numPr>
        <w:jc w:val="both"/>
        <w:rPr>
          <w:rFonts w:ascii="Verdana" w:hAnsi="Verdana"/>
          <w:b/>
          <w:bCs/>
        </w:rPr>
      </w:pPr>
      <w:r w:rsidRPr="005035B2">
        <w:rPr>
          <w:rFonts w:ascii="Verdana" w:hAnsi="Verdana"/>
          <w:b/>
          <w:bCs/>
        </w:rPr>
        <w:t>Organisation</w:t>
      </w:r>
    </w:p>
    <w:tbl>
      <w:tblPr>
        <w:tblStyle w:val="Grilledutableau"/>
        <w:tblW w:w="9067" w:type="dxa"/>
        <w:tblLook w:val="04A0" w:firstRow="1" w:lastRow="0" w:firstColumn="1" w:lastColumn="0" w:noHBand="0" w:noVBand="1"/>
      </w:tblPr>
      <w:tblGrid>
        <w:gridCol w:w="2122"/>
        <w:gridCol w:w="6945"/>
      </w:tblGrid>
      <w:tr w:rsidR="006D3E28" w14:paraId="562BC883" w14:textId="77777777" w:rsidTr="00742622">
        <w:tc>
          <w:tcPr>
            <w:tcW w:w="2122" w:type="dxa"/>
          </w:tcPr>
          <w:p w14:paraId="7B7C1458" w14:textId="229AFFF1" w:rsidR="006D3E28" w:rsidRPr="00742622" w:rsidRDefault="006D3E28" w:rsidP="006D3E28">
            <w:pPr>
              <w:jc w:val="both"/>
              <w:rPr>
                <w:rFonts w:ascii="Verdana" w:hAnsi="Verdana"/>
                <w:b/>
                <w:bCs/>
              </w:rPr>
            </w:pPr>
            <w:r w:rsidRPr="00742622">
              <w:rPr>
                <w:rFonts w:ascii="Verdana" w:hAnsi="Verdana"/>
                <w:b/>
                <w:bCs/>
              </w:rPr>
              <w:t>Pays d’accueil</w:t>
            </w:r>
          </w:p>
        </w:tc>
        <w:tc>
          <w:tcPr>
            <w:tcW w:w="6945" w:type="dxa"/>
          </w:tcPr>
          <w:p w14:paraId="622566E8" w14:textId="0A9075F1" w:rsidR="006D3E28" w:rsidRDefault="006D3E28" w:rsidP="006D3E28">
            <w:pPr>
              <w:jc w:val="both"/>
              <w:rPr>
                <w:rFonts w:ascii="Verdana" w:hAnsi="Verdana"/>
              </w:rPr>
            </w:pPr>
            <w:r>
              <w:rPr>
                <w:rFonts w:ascii="Verdana" w:hAnsi="Verdana"/>
              </w:rPr>
              <w:t>Madagascar</w:t>
            </w:r>
          </w:p>
        </w:tc>
      </w:tr>
      <w:tr w:rsidR="006D3E28" w14:paraId="122ECB18" w14:textId="77777777" w:rsidTr="00742622">
        <w:tc>
          <w:tcPr>
            <w:tcW w:w="2122" w:type="dxa"/>
          </w:tcPr>
          <w:p w14:paraId="68B84059" w14:textId="028F121F" w:rsidR="006D3E28" w:rsidRPr="00742622" w:rsidRDefault="00742622" w:rsidP="006D3E28">
            <w:pPr>
              <w:jc w:val="both"/>
              <w:rPr>
                <w:rFonts w:ascii="Verdana" w:hAnsi="Verdana"/>
                <w:b/>
                <w:bCs/>
              </w:rPr>
            </w:pPr>
            <w:r w:rsidRPr="00742622">
              <w:rPr>
                <w:rFonts w:ascii="Verdana" w:hAnsi="Verdana"/>
                <w:b/>
                <w:bCs/>
              </w:rPr>
              <w:t>Durée</w:t>
            </w:r>
          </w:p>
        </w:tc>
        <w:tc>
          <w:tcPr>
            <w:tcW w:w="6945" w:type="dxa"/>
          </w:tcPr>
          <w:p w14:paraId="7F8992B6" w14:textId="2881F245" w:rsidR="006D3E28" w:rsidRDefault="00742622" w:rsidP="006D3E28">
            <w:pPr>
              <w:jc w:val="both"/>
              <w:rPr>
                <w:rFonts w:ascii="Verdana" w:hAnsi="Verdana"/>
              </w:rPr>
            </w:pPr>
            <w:r>
              <w:rPr>
                <w:rFonts w:ascii="Verdana" w:hAnsi="Verdana"/>
              </w:rPr>
              <w:t>02 jours</w:t>
            </w:r>
          </w:p>
        </w:tc>
      </w:tr>
      <w:tr w:rsidR="00742622" w14:paraId="3EBBF84B" w14:textId="77777777" w:rsidTr="00742622">
        <w:tc>
          <w:tcPr>
            <w:tcW w:w="2122" w:type="dxa"/>
          </w:tcPr>
          <w:p w14:paraId="1B5461D6" w14:textId="76235B10" w:rsidR="00742622" w:rsidRPr="00742622" w:rsidRDefault="00742622" w:rsidP="006D3E28">
            <w:pPr>
              <w:jc w:val="both"/>
              <w:rPr>
                <w:rFonts w:ascii="Verdana" w:hAnsi="Verdana"/>
                <w:b/>
                <w:bCs/>
              </w:rPr>
            </w:pPr>
            <w:r w:rsidRPr="00742622">
              <w:rPr>
                <w:rFonts w:ascii="Verdana" w:hAnsi="Verdana"/>
                <w:b/>
                <w:bCs/>
              </w:rPr>
              <w:t>Organisateurs</w:t>
            </w:r>
          </w:p>
        </w:tc>
        <w:tc>
          <w:tcPr>
            <w:tcW w:w="6945" w:type="dxa"/>
          </w:tcPr>
          <w:p w14:paraId="3FD1302B" w14:textId="2C3CACAF" w:rsidR="00742622" w:rsidRPr="00742622" w:rsidRDefault="00742622" w:rsidP="00742622">
            <w:pPr>
              <w:jc w:val="both"/>
              <w:rPr>
                <w:rFonts w:ascii="Verdana" w:hAnsi="Verdana"/>
              </w:rPr>
            </w:pPr>
            <w:r w:rsidRPr="00742622">
              <w:rPr>
                <w:rFonts w:ascii="Verdana" w:hAnsi="Verdana"/>
              </w:rPr>
              <w:t>Commission de l’océan Indien en partenariat avec :</w:t>
            </w:r>
          </w:p>
          <w:p w14:paraId="0F39FD6D" w14:textId="5731A967" w:rsidR="00742622" w:rsidRDefault="00742622" w:rsidP="00742622">
            <w:pPr>
              <w:jc w:val="both"/>
              <w:rPr>
                <w:rFonts w:ascii="Verdana" w:hAnsi="Verdana"/>
              </w:rPr>
            </w:pPr>
            <w:r w:rsidRPr="00742622">
              <w:rPr>
                <w:rFonts w:ascii="Verdana" w:hAnsi="Verdana"/>
              </w:rPr>
              <w:t>Gouvernement malgache, Mi Katsaka, l'Interprofessional Avaire, Africa Rise</w:t>
            </w:r>
          </w:p>
        </w:tc>
      </w:tr>
      <w:tr w:rsidR="006D3E28" w14:paraId="4D3D9B1E" w14:textId="77777777" w:rsidTr="00742622">
        <w:tc>
          <w:tcPr>
            <w:tcW w:w="2122" w:type="dxa"/>
          </w:tcPr>
          <w:p w14:paraId="283219CF" w14:textId="6A00C3AD" w:rsidR="006D3E28" w:rsidRPr="00742622" w:rsidRDefault="00742622" w:rsidP="006D3E28">
            <w:pPr>
              <w:jc w:val="both"/>
              <w:rPr>
                <w:rFonts w:ascii="Verdana" w:hAnsi="Verdana"/>
                <w:b/>
                <w:bCs/>
              </w:rPr>
            </w:pPr>
            <w:r w:rsidRPr="00742622">
              <w:rPr>
                <w:rFonts w:ascii="Verdana" w:hAnsi="Verdana"/>
                <w:b/>
                <w:bCs/>
              </w:rPr>
              <w:t>Nombre de participants</w:t>
            </w:r>
          </w:p>
        </w:tc>
        <w:tc>
          <w:tcPr>
            <w:tcW w:w="6945" w:type="dxa"/>
          </w:tcPr>
          <w:p w14:paraId="2514D59F" w14:textId="35A9C0A5" w:rsidR="006D3E28" w:rsidRDefault="00742622" w:rsidP="006D3E28">
            <w:pPr>
              <w:jc w:val="both"/>
              <w:rPr>
                <w:rFonts w:ascii="Verdana" w:hAnsi="Verdana"/>
              </w:rPr>
            </w:pPr>
            <w:r w:rsidRPr="00742622">
              <w:rPr>
                <w:rFonts w:ascii="Verdana" w:hAnsi="Verdana"/>
              </w:rPr>
              <w:t>30 participants ciblés</w:t>
            </w:r>
          </w:p>
        </w:tc>
      </w:tr>
      <w:tr w:rsidR="00742622" w14:paraId="56DF7E2E" w14:textId="77777777" w:rsidTr="00742622">
        <w:tc>
          <w:tcPr>
            <w:tcW w:w="2122" w:type="dxa"/>
          </w:tcPr>
          <w:p w14:paraId="1AC49683" w14:textId="2AADF3A8" w:rsidR="00742622" w:rsidRPr="00742622" w:rsidRDefault="00742622" w:rsidP="006D3E28">
            <w:pPr>
              <w:jc w:val="both"/>
              <w:rPr>
                <w:rFonts w:ascii="Verdana" w:hAnsi="Verdana"/>
                <w:b/>
                <w:bCs/>
              </w:rPr>
            </w:pPr>
            <w:r w:rsidRPr="00742622">
              <w:rPr>
                <w:rFonts w:ascii="Verdana" w:hAnsi="Verdana"/>
                <w:b/>
                <w:bCs/>
              </w:rPr>
              <w:t>Financement</w:t>
            </w:r>
          </w:p>
        </w:tc>
        <w:tc>
          <w:tcPr>
            <w:tcW w:w="6945" w:type="dxa"/>
          </w:tcPr>
          <w:p w14:paraId="02CEE979" w14:textId="0276038C" w:rsidR="00742622" w:rsidRDefault="00742622" w:rsidP="006D3E28">
            <w:pPr>
              <w:jc w:val="both"/>
              <w:rPr>
                <w:rFonts w:ascii="Verdana" w:hAnsi="Verdana"/>
              </w:rPr>
            </w:pPr>
            <w:r>
              <w:rPr>
                <w:rFonts w:ascii="Verdana" w:hAnsi="Verdana"/>
              </w:rPr>
              <w:t xml:space="preserve">Fonds communs : </w:t>
            </w:r>
            <w:r w:rsidR="005035B2">
              <w:rPr>
                <w:rFonts w:ascii="Verdana" w:hAnsi="Verdana"/>
              </w:rPr>
              <w:t>Africa Rise, Commission de l’océan Indien, d</w:t>
            </w:r>
            <w:r w:rsidRPr="00742622">
              <w:rPr>
                <w:rFonts w:ascii="Verdana" w:hAnsi="Verdana"/>
              </w:rPr>
              <w:t>onateurs, mécénat du secteur privé</w:t>
            </w:r>
          </w:p>
        </w:tc>
      </w:tr>
    </w:tbl>
    <w:p w14:paraId="0E2BE745" w14:textId="77777777" w:rsidR="006D3E28" w:rsidRDefault="006D3E28" w:rsidP="006D3E28">
      <w:pPr>
        <w:jc w:val="both"/>
        <w:rPr>
          <w:rFonts w:ascii="Verdana" w:hAnsi="Verdana"/>
        </w:rPr>
      </w:pPr>
    </w:p>
    <w:p w14:paraId="18E8F327" w14:textId="259B0A23" w:rsidR="006D3E28" w:rsidRPr="006D3E28" w:rsidRDefault="006D3E28" w:rsidP="006D3E28">
      <w:pPr>
        <w:jc w:val="both"/>
        <w:rPr>
          <w:rFonts w:ascii="Verdana" w:hAnsi="Verdana"/>
        </w:rPr>
      </w:pPr>
      <w:r w:rsidRPr="006D3E28">
        <w:rPr>
          <w:rFonts w:ascii="Verdana" w:hAnsi="Verdana"/>
        </w:rPr>
        <w:t>Des discussions ont déjà été engagées avec Mi Katsaka (plateforme de maïs pour les petits agriculteurs et IPA), qui a fait part de son intérêt pour l'organisation d'un tel événement.</w:t>
      </w:r>
    </w:p>
    <w:sectPr w:rsidR="006D3E28" w:rsidRPr="006D3E2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83801" w14:textId="77777777" w:rsidR="0007130D" w:rsidRDefault="0007130D" w:rsidP="0007130D">
      <w:pPr>
        <w:spacing w:after="0" w:line="240" w:lineRule="auto"/>
      </w:pPr>
      <w:r>
        <w:separator/>
      </w:r>
    </w:p>
  </w:endnote>
  <w:endnote w:type="continuationSeparator" w:id="0">
    <w:p w14:paraId="5DA45F0C" w14:textId="77777777" w:rsidR="0007130D" w:rsidRDefault="0007130D" w:rsidP="00071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63571" w14:textId="77777777" w:rsidR="0007130D" w:rsidRDefault="0007130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7A2FB" w14:textId="77777777" w:rsidR="0007130D" w:rsidRDefault="0007130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D9B26" w14:textId="77777777" w:rsidR="0007130D" w:rsidRDefault="0007130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0AE75" w14:textId="77777777" w:rsidR="0007130D" w:rsidRDefault="0007130D" w:rsidP="0007130D">
      <w:pPr>
        <w:spacing w:after="0" w:line="240" w:lineRule="auto"/>
      </w:pPr>
      <w:r>
        <w:separator/>
      </w:r>
    </w:p>
  </w:footnote>
  <w:footnote w:type="continuationSeparator" w:id="0">
    <w:p w14:paraId="3C8FBF63" w14:textId="77777777" w:rsidR="0007130D" w:rsidRDefault="0007130D" w:rsidP="00071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E82A0" w14:textId="77777777" w:rsidR="0007130D" w:rsidRDefault="0007130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56820" w14:textId="17F9C3C3" w:rsidR="0007130D" w:rsidRPr="0007130D" w:rsidRDefault="0007130D" w:rsidP="0007130D">
    <w:pPr>
      <w:pStyle w:val="En-tte"/>
      <w:jc w:val="right"/>
      <w:rPr>
        <w:sz w:val="28"/>
        <w:szCs w:val="28"/>
      </w:rPr>
    </w:pPr>
    <w:r w:rsidRPr="0007130D">
      <w:rPr>
        <w:sz w:val="28"/>
        <w:szCs w:val="28"/>
      </w:rPr>
      <w:t>2.2. Annexe 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43CA6" w14:textId="77777777" w:rsidR="0007130D" w:rsidRDefault="0007130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D70117"/>
    <w:multiLevelType w:val="hybridMultilevel"/>
    <w:tmpl w:val="F3E40DAA"/>
    <w:lvl w:ilvl="0" w:tplc="F8A43D3A">
      <w:start w:val="2"/>
      <w:numFmt w:val="bullet"/>
      <w:lvlText w:val="-"/>
      <w:lvlJc w:val="left"/>
      <w:pPr>
        <w:ind w:left="720" w:hanging="360"/>
      </w:pPr>
      <w:rPr>
        <w:rFonts w:ascii="Garamond" w:eastAsia="Times New Roman" w:hAnsi="Garamond" w:cs="Times New Roman" w:hint="default"/>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11E0C9B"/>
    <w:multiLevelType w:val="hybridMultilevel"/>
    <w:tmpl w:val="6AF0F4CE"/>
    <w:lvl w:ilvl="0" w:tplc="F8A43D3A">
      <w:start w:val="2"/>
      <w:numFmt w:val="bullet"/>
      <w:lvlText w:val="-"/>
      <w:lvlJc w:val="left"/>
      <w:pPr>
        <w:ind w:left="720" w:hanging="360"/>
      </w:pPr>
      <w:rPr>
        <w:rFonts w:ascii="Garamond" w:eastAsia="Times New Roman" w:hAnsi="Garamond" w:cs="Times New Roman" w:hint="default"/>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66D0918"/>
    <w:multiLevelType w:val="hybridMultilevel"/>
    <w:tmpl w:val="99F848EE"/>
    <w:lvl w:ilvl="0" w:tplc="A82E7558">
      <w:start w:val="1"/>
      <w:numFmt w:val="decimal"/>
      <w:lvlText w:val="%1-"/>
      <w:lvlJc w:val="left"/>
      <w:pPr>
        <w:ind w:left="720" w:hanging="360"/>
      </w:pPr>
      <w:rPr>
        <w:rFonts w:hint="default"/>
      </w:rPr>
    </w:lvl>
    <w:lvl w:ilvl="1" w:tplc="2AECF260">
      <w:numFmt w:val="bullet"/>
      <w:lvlText w:val="-"/>
      <w:lvlJc w:val="left"/>
      <w:pPr>
        <w:ind w:left="1440" w:hanging="360"/>
      </w:pPr>
      <w:rPr>
        <w:rFonts w:ascii="Verdana" w:eastAsiaTheme="minorHAnsi" w:hAnsi="Verdana" w:cstheme="minorBid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2955357">
    <w:abstractNumId w:val="2"/>
  </w:num>
  <w:num w:numId="2" w16cid:durableId="624114940">
    <w:abstractNumId w:val="1"/>
  </w:num>
  <w:num w:numId="3" w16cid:durableId="1115053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E28"/>
    <w:rsid w:val="0007130D"/>
    <w:rsid w:val="003D071E"/>
    <w:rsid w:val="005035B2"/>
    <w:rsid w:val="006D3E28"/>
    <w:rsid w:val="00742622"/>
    <w:rsid w:val="008D651D"/>
    <w:rsid w:val="00C14391"/>
    <w:rsid w:val="00DF4F21"/>
    <w:rsid w:val="00EA17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C231E"/>
  <w15:chartTrackingRefBased/>
  <w15:docId w15:val="{8A7A23BB-566E-41A1-BAAF-89648B412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D3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14391"/>
    <w:pPr>
      <w:ind w:left="720"/>
      <w:contextualSpacing/>
    </w:pPr>
  </w:style>
  <w:style w:type="paragraph" w:styleId="En-tte">
    <w:name w:val="header"/>
    <w:basedOn w:val="Normal"/>
    <w:link w:val="En-tteCar"/>
    <w:uiPriority w:val="99"/>
    <w:unhideWhenUsed/>
    <w:rsid w:val="0007130D"/>
    <w:pPr>
      <w:tabs>
        <w:tab w:val="center" w:pos="4513"/>
        <w:tab w:val="right" w:pos="9026"/>
      </w:tabs>
      <w:spacing w:after="0" w:line="240" w:lineRule="auto"/>
    </w:pPr>
  </w:style>
  <w:style w:type="character" w:customStyle="1" w:styleId="En-tteCar">
    <w:name w:val="En-tête Car"/>
    <w:basedOn w:val="Policepardfaut"/>
    <w:link w:val="En-tte"/>
    <w:uiPriority w:val="99"/>
    <w:rsid w:val="0007130D"/>
  </w:style>
  <w:style w:type="paragraph" w:styleId="Pieddepage">
    <w:name w:val="footer"/>
    <w:basedOn w:val="Normal"/>
    <w:link w:val="PieddepageCar"/>
    <w:uiPriority w:val="99"/>
    <w:unhideWhenUsed/>
    <w:rsid w:val="0007130D"/>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071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1168</Words>
  <Characters>6428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Tiana  RAZAFINDRAKOTO</dc:creator>
  <cp:keywords/>
  <dc:description/>
  <cp:lastModifiedBy>Gilles RIBOUET</cp:lastModifiedBy>
  <cp:revision>2</cp:revision>
  <dcterms:created xsi:type="dcterms:W3CDTF">2024-02-27T09:06:00Z</dcterms:created>
  <dcterms:modified xsi:type="dcterms:W3CDTF">2024-04-08T05:46:00Z</dcterms:modified>
</cp:coreProperties>
</file>