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A40CB" w14:textId="77777777" w:rsidR="00930B4E" w:rsidRPr="008474A2" w:rsidRDefault="00930B4E" w:rsidP="00930B4E">
      <w:pPr>
        <w:rPr>
          <w:rFonts w:ascii="Aptos" w:eastAsia="Times New Roman" w:hAnsi="Aptos" w:cs="Times New Roman"/>
          <w:color w:val="212121"/>
          <w:kern w:val="0"/>
          <w:sz w:val="6"/>
          <w:szCs w:val="6"/>
          <w:lang w:eastAsia="fr-FR"/>
          <w14:ligatures w14:val="none"/>
        </w:rPr>
      </w:pPr>
    </w:p>
    <w:p w14:paraId="12BB4A8B" w14:textId="77777777" w:rsidR="00930B4E" w:rsidRPr="00816DAC" w:rsidRDefault="00930B4E" w:rsidP="00930B4E">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182"/>
        <w:gridCol w:w="1834"/>
      </w:tblGrid>
      <w:tr w:rsidR="00930B4E" w14:paraId="20DFC9B8" w14:textId="77777777" w:rsidTr="00A930ED">
        <w:tc>
          <w:tcPr>
            <w:tcW w:w="9062" w:type="dxa"/>
            <w:gridSpan w:val="2"/>
          </w:tcPr>
          <w:p w14:paraId="36276879" w14:textId="1A9C0246" w:rsidR="00930B4E" w:rsidRDefault="00930B4E" w:rsidP="00A930ED">
            <w:pPr>
              <w:jc w:val="center"/>
              <w:rPr>
                <w:rFonts w:ascii="Verdana" w:hAnsi="Verdana"/>
                <w:b/>
                <w:bCs/>
                <w:sz w:val="20"/>
                <w:szCs w:val="20"/>
              </w:rPr>
            </w:pPr>
            <w:r>
              <w:rPr>
                <w:rFonts w:ascii="Verdana" w:hAnsi="Verdana"/>
                <w:b/>
                <w:bCs/>
                <w:sz w:val="20"/>
                <w:szCs w:val="20"/>
              </w:rPr>
              <w:t>SECURITE ALIMENTAIRE</w:t>
            </w:r>
          </w:p>
        </w:tc>
      </w:tr>
      <w:tr w:rsidR="00930B4E" w14:paraId="41342E9A" w14:textId="77777777" w:rsidTr="00A930ED">
        <w:tc>
          <w:tcPr>
            <w:tcW w:w="7225" w:type="dxa"/>
          </w:tcPr>
          <w:p w14:paraId="444A5091" w14:textId="77777777" w:rsidR="00930B4E" w:rsidRPr="002A096E" w:rsidRDefault="00930B4E" w:rsidP="00A930ED">
            <w:pPr>
              <w:rPr>
                <w:rFonts w:ascii="Verdana" w:hAnsi="Verdana"/>
                <w:sz w:val="20"/>
                <w:szCs w:val="20"/>
              </w:rPr>
            </w:pPr>
            <w:r>
              <w:rPr>
                <w:rFonts w:ascii="Verdana" w:hAnsi="Verdana"/>
                <w:sz w:val="20"/>
                <w:szCs w:val="20"/>
              </w:rPr>
              <w:t>Comité des OPL 01/24 des 22 et 23 avril 2024</w:t>
            </w:r>
          </w:p>
        </w:tc>
        <w:tc>
          <w:tcPr>
            <w:tcW w:w="1837" w:type="dxa"/>
          </w:tcPr>
          <w:p w14:paraId="72019168" w14:textId="0CD7B142" w:rsidR="00930B4E" w:rsidRPr="002A0933" w:rsidRDefault="00930B4E" w:rsidP="00A930ED">
            <w:pPr>
              <w:jc w:val="center"/>
              <w:rPr>
                <w:rFonts w:ascii="Verdana" w:hAnsi="Verdana"/>
                <w:sz w:val="20"/>
                <w:szCs w:val="20"/>
              </w:rPr>
            </w:pPr>
            <w:r w:rsidRPr="002A0933">
              <w:rPr>
                <w:rFonts w:ascii="Verdana" w:hAnsi="Verdana"/>
                <w:sz w:val="20"/>
                <w:szCs w:val="20"/>
              </w:rPr>
              <w:t xml:space="preserve">Point </w:t>
            </w:r>
            <w:r w:rsidR="008474A2">
              <w:rPr>
                <w:rFonts w:ascii="Verdana" w:hAnsi="Verdana"/>
                <w:sz w:val="20"/>
                <w:szCs w:val="20"/>
              </w:rPr>
              <w:t>2.16</w:t>
            </w:r>
          </w:p>
        </w:tc>
      </w:tr>
      <w:tr w:rsidR="00930B4E" w14:paraId="636C9D42" w14:textId="77777777" w:rsidTr="00A930ED">
        <w:tc>
          <w:tcPr>
            <w:tcW w:w="7225" w:type="dxa"/>
          </w:tcPr>
          <w:p w14:paraId="09ECB279" w14:textId="77777777" w:rsidR="00930B4E" w:rsidRPr="00A37C9F" w:rsidRDefault="00930B4E" w:rsidP="00A930ED">
            <w:pPr>
              <w:rPr>
                <w:rFonts w:ascii="Verdana" w:hAnsi="Verdana"/>
                <w:sz w:val="20"/>
                <w:szCs w:val="20"/>
              </w:rPr>
            </w:pPr>
            <w:r w:rsidRPr="00A148A1">
              <w:rPr>
                <w:rFonts w:ascii="Verdana" w:hAnsi="Verdana"/>
                <w:i/>
                <w:iCs/>
                <w:sz w:val="20"/>
                <w:szCs w:val="20"/>
              </w:rPr>
              <w:t>Dossier suivi par :</w:t>
            </w:r>
            <w:r w:rsidRPr="00A37C9F">
              <w:rPr>
                <w:rFonts w:ascii="Verdana" w:hAnsi="Verdana"/>
                <w:sz w:val="20"/>
                <w:szCs w:val="20"/>
              </w:rPr>
              <w:t xml:space="preserve"> </w:t>
            </w:r>
            <w:r>
              <w:rPr>
                <w:rFonts w:ascii="Verdana" w:hAnsi="Verdana"/>
                <w:sz w:val="20"/>
                <w:szCs w:val="20"/>
              </w:rPr>
              <w:t>Marc MAMINIAINA, Chargé de mission.</w:t>
            </w:r>
          </w:p>
        </w:tc>
        <w:tc>
          <w:tcPr>
            <w:tcW w:w="1837" w:type="dxa"/>
          </w:tcPr>
          <w:p w14:paraId="58878E58" w14:textId="7734859B" w:rsidR="00930B4E" w:rsidRPr="002A0933" w:rsidRDefault="00930B4E" w:rsidP="00A930ED">
            <w:pPr>
              <w:jc w:val="center"/>
              <w:rPr>
                <w:rFonts w:ascii="Verdana" w:hAnsi="Verdana"/>
                <w:sz w:val="20"/>
                <w:szCs w:val="20"/>
              </w:rPr>
            </w:pPr>
            <w:r>
              <w:rPr>
                <w:rFonts w:ascii="Verdana" w:hAnsi="Verdana"/>
                <w:sz w:val="20"/>
                <w:szCs w:val="20"/>
              </w:rPr>
              <w:t>Information</w:t>
            </w:r>
          </w:p>
        </w:tc>
      </w:tr>
      <w:tr w:rsidR="00930B4E" w14:paraId="3930C91F" w14:textId="77777777" w:rsidTr="00A930ED">
        <w:tc>
          <w:tcPr>
            <w:tcW w:w="9062" w:type="dxa"/>
            <w:gridSpan w:val="2"/>
          </w:tcPr>
          <w:p w14:paraId="58D9DE44" w14:textId="4E91390C" w:rsidR="00930B4E" w:rsidRDefault="00930B4E" w:rsidP="00A930ED">
            <w:pPr>
              <w:rPr>
                <w:rFonts w:ascii="Verdana" w:hAnsi="Verdana"/>
                <w:sz w:val="20"/>
                <w:szCs w:val="20"/>
              </w:rPr>
            </w:pPr>
            <w:r>
              <w:rPr>
                <w:rFonts w:ascii="Verdana" w:hAnsi="Verdana"/>
                <w:i/>
                <w:iCs/>
                <w:sz w:val="20"/>
                <w:szCs w:val="20"/>
              </w:rPr>
              <w:t xml:space="preserve">Version du 14 avril 2024 </w:t>
            </w:r>
          </w:p>
        </w:tc>
      </w:tr>
    </w:tbl>
    <w:p w14:paraId="1FA06BC0" w14:textId="77777777" w:rsidR="00930B4E" w:rsidRPr="007731A0" w:rsidRDefault="00930B4E" w:rsidP="00930B4E">
      <w:pPr>
        <w:pStyle w:val="Paragraphe"/>
        <w:rPr>
          <w:sz w:val="22"/>
          <w:szCs w:val="22"/>
        </w:rPr>
      </w:pPr>
      <w:bookmarkStart w:id="0" w:name="_Hlk24535240"/>
    </w:p>
    <w:p w14:paraId="68527525" w14:textId="40C5D568" w:rsidR="00930B4E" w:rsidRPr="007731A0" w:rsidRDefault="00930B4E" w:rsidP="00930B4E">
      <w:pPr>
        <w:pStyle w:val="Titrepartie"/>
        <w:rPr>
          <w:szCs w:val="22"/>
        </w:rPr>
      </w:pPr>
      <w:r w:rsidRPr="007731A0">
        <w:rPr>
          <w:szCs w:val="22"/>
        </w:rPr>
        <w:t>État de lieux de la mise en œuvre du programme régional de sécurité alimentaire et nutritionnelle (PRESAN)</w:t>
      </w:r>
    </w:p>
    <w:p w14:paraId="567BE3D8" w14:textId="67DD6432" w:rsidR="009D0D1F" w:rsidRPr="008474A2" w:rsidRDefault="009D0D1F" w:rsidP="009D0D1F">
      <w:pPr>
        <w:pStyle w:val="Sous-partie2"/>
      </w:pPr>
      <w:r w:rsidRPr="008474A2">
        <w:t>Rappel des objectifs du PRESAN :</w:t>
      </w:r>
    </w:p>
    <w:p w14:paraId="46EC35EE" w14:textId="3B7EBCE1" w:rsidR="00930B4E" w:rsidRPr="008474A2" w:rsidRDefault="00BE61E4" w:rsidP="008474A2">
      <w:pPr>
        <w:spacing w:after="120"/>
        <w:contextualSpacing/>
        <w:jc w:val="both"/>
        <w:rPr>
          <w:rFonts w:ascii="Verdana" w:hAnsi="Verdana"/>
          <w:sz w:val="20"/>
          <w:szCs w:val="20"/>
        </w:rPr>
      </w:pPr>
      <w:r w:rsidRPr="008474A2">
        <w:rPr>
          <w:rFonts w:ascii="Verdana" w:hAnsi="Verdana"/>
          <w:sz w:val="20"/>
          <w:szCs w:val="20"/>
        </w:rPr>
        <w:t>L</w:t>
      </w:r>
      <w:r w:rsidR="00930B4E" w:rsidRPr="008474A2">
        <w:rPr>
          <w:rFonts w:ascii="Verdana" w:hAnsi="Verdana"/>
          <w:sz w:val="20"/>
          <w:szCs w:val="20"/>
        </w:rPr>
        <w:t>e PRESAN a été adopté par le 31</w:t>
      </w:r>
      <w:r w:rsidR="00930B4E" w:rsidRPr="008474A2">
        <w:rPr>
          <w:rFonts w:ascii="Verdana" w:hAnsi="Verdana"/>
          <w:sz w:val="20"/>
          <w:szCs w:val="20"/>
          <w:vertAlign w:val="superscript"/>
        </w:rPr>
        <w:t>ème</w:t>
      </w:r>
      <w:r w:rsidR="00930B4E" w:rsidRPr="008474A2">
        <w:rPr>
          <w:rFonts w:ascii="Verdana" w:hAnsi="Verdana"/>
          <w:sz w:val="20"/>
          <w:szCs w:val="20"/>
        </w:rPr>
        <w:t xml:space="preserve"> Conseil des ministres de la COI. </w:t>
      </w:r>
      <w:r w:rsidR="007731A0" w:rsidRPr="008474A2">
        <w:rPr>
          <w:rFonts w:ascii="Verdana" w:hAnsi="Verdana"/>
          <w:sz w:val="20"/>
          <w:szCs w:val="20"/>
        </w:rPr>
        <w:t>C</w:t>
      </w:r>
      <w:r w:rsidR="009D0D1F" w:rsidRPr="008474A2">
        <w:rPr>
          <w:rFonts w:ascii="Verdana" w:hAnsi="Verdana"/>
          <w:sz w:val="20"/>
          <w:szCs w:val="20"/>
        </w:rPr>
        <w:t xml:space="preserve">e mécanisme régional de coopération dans le domaine de la sécurite àlimentaire et nutritionelle </w:t>
      </w:r>
      <w:r w:rsidR="00930B4E" w:rsidRPr="008474A2">
        <w:rPr>
          <w:rFonts w:ascii="Verdana" w:hAnsi="Verdana"/>
          <w:sz w:val="20"/>
          <w:szCs w:val="20"/>
        </w:rPr>
        <w:t>vise notamment</w:t>
      </w:r>
      <w:r w:rsidR="009D0D1F" w:rsidRPr="008474A2">
        <w:rPr>
          <w:rFonts w:ascii="Verdana" w:hAnsi="Verdana"/>
          <w:sz w:val="20"/>
          <w:szCs w:val="20"/>
        </w:rPr>
        <w:t xml:space="preserve"> à </w:t>
      </w:r>
      <w:r w:rsidR="00930B4E" w:rsidRPr="008474A2">
        <w:rPr>
          <w:rFonts w:ascii="Verdana" w:hAnsi="Verdana"/>
          <w:sz w:val="20"/>
          <w:szCs w:val="20"/>
        </w:rPr>
        <w:t xml:space="preserve">l’accroissement de la production agricole régionale, la dynamisation du commerce intrarégional et, in fine, la réduction à la dépendance aux importations de produits alimentaires. </w:t>
      </w:r>
    </w:p>
    <w:p w14:paraId="6445116B" w14:textId="77777777" w:rsidR="009D0D1F" w:rsidRPr="008474A2" w:rsidRDefault="00930B4E" w:rsidP="008474A2">
      <w:pPr>
        <w:spacing w:after="120"/>
        <w:contextualSpacing/>
        <w:jc w:val="both"/>
        <w:rPr>
          <w:rFonts w:ascii="Verdana" w:hAnsi="Verdana"/>
          <w:iCs/>
          <w:sz w:val="20"/>
          <w:szCs w:val="20"/>
        </w:rPr>
      </w:pPr>
      <w:r w:rsidRPr="008474A2">
        <w:rPr>
          <w:rFonts w:ascii="Verdana" w:hAnsi="Verdana"/>
          <w:iCs/>
          <w:sz w:val="20"/>
          <w:szCs w:val="20"/>
        </w:rPr>
        <w:t xml:space="preserve">L’objectif principal </w:t>
      </w:r>
      <w:r w:rsidRPr="008474A2">
        <w:rPr>
          <w:rFonts w:ascii="Verdana" w:hAnsi="Verdana"/>
          <w:sz w:val="20"/>
          <w:szCs w:val="20"/>
        </w:rPr>
        <w:t xml:space="preserve">est ainsi de créer les conditions d’un développement des industries de transformation et du commerce intra-régional bénéficiant à l’ensemble des Etats de la COI. </w:t>
      </w:r>
      <w:r w:rsidRPr="008474A2">
        <w:rPr>
          <w:rFonts w:ascii="Verdana" w:hAnsi="Verdana"/>
          <w:iCs/>
          <w:sz w:val="20"/>
          <w:szCs w:val="20"/>
        </w:rPr>
        <w:t>Le PRESAN a bénéficié de l’appui financier du FIDA et l’appui technique de la FAO dans le cadre de la première période de sa mise en œuvre (2018/2021).</w:t>
      </w:r>
    </w:p>
    <w:p w14:paraId="1A0981B6" w14:textId="48BA2032" w:rsidR="00930B4E" w:rsidRPr="008474A2" w:rsidRDefault="00930B4E" w:rsidP="008474A2">
      <w:pPr>
        <w:spacing w:after="120"/>
        <w:contextualSpacing/>
        <w:jc w:val="both"/>
        <w:rPr>
          <w:rFonts w:ascii="Verdana" w:hAnsi="Verdana"/>
          <w:iCs/>
          <w:sz w:val="20"/>
          <w:szCs w:val="20"/>
        </w:rPr>
      </w:pPr>
      <w:r w:rsidRPr="008474A2">
        <w:rPr>
          <w:rFonts w:ascii="Verdana" w:hAnsi="Verdana"/>
          <w:sz w:val="20"/>
          <w:szCs w:val="20"/>
        </w:rPr>
        <w:t xml:space="preserve">Le PRESAN repose sur trois axes opérationnels (ou sous-programmes) qui regroupent chacun des priorités d’interventions (ou composantes) auxquelles des facilités ou instruments spécifiques de mise en œuvre sont dédiés. Les activités du PRESAN consisteront à mettre en œuvre ces instruments. </w:t>
      </w:r>
    </w:p>
    <w:p w14:paraId="79C1EF64" w14:textId="77777777" w:rsidR="00930B4E" w:rsidRPr="008474A2" w:rsidRDefault="00930B4E" w:rsidP="008474A2">
      <w:pPr>
        <w:spacing w:after="120"/>
        <w:ind w:left="426"/>
        <w:contextualSpacing/>
        <w:jc w:val="both"/>
        <w:rPr>
          <w:rFonts w:ascii="Verdana" w:hAnsi="Verdana"/>
          <w:sz w:val="20"/>
          <w:szCs w:val="20"/>
        </w:rPr>
      </w:pPr>
      <w:r w:rsidRPr="008474A2">
        <w:rPr>
          <w:rFonts w:ascii="Verdana" w:hAnsi="Verdana"/>
          <w:sz w:val="20"/>
          <w:szCs w:val="20"/>
        </w:rPr>
        <w:sym w:font="Symbol" w:char="F0B7"/>
      </w:r>
      <w:r w:rsidRPr="008474A2">
        <w:rPr>
          <w:rFonts w:ascii="Verdana" w:hAnsi="Verdana"/>
          <w:sz w:val="20"/>
          <w:szCs w:val="20"/>
        </w:rPr>
        <w:t xml:space="preserve"> Axe 1 – Productivité, production et compétitivité dans les filières d’intérêt régional. </w:t>
      </w:r>
    </w:p>
    <w:p w14:paraId="32E72C1A" w14:textId="77777777" w:rsidR="00930B4E" w:rsidRPr="008474A2" w:rsidRDefault="00930B4E" w:rsidP="008474A2">
      <w:pPr>
        <w:spacing w:after="120"/>
        <w:ind w:left="426"/>
        <w:contextualSpacing/>
        <w:jc w:val="both"/>
        <w:rPr>
          <w:rFonts w:ascii="Verdana" w:hAnsi="Verdana"/>
          <w:sz w:val="20"/>
          <w:szCs w:val="20"/>
        </w:rPr>
      </w:pPr>
      <w:r w:rsidRPr="008474A2">
        <w:rPr>
          <w:rFonts w:ascii="Verdana" w:hAnsi="Verdana"/>
          <w:sz w:val="20"/>
          <w:szCs w:val="20"/>
        </w:rPr>
        <w:sym w:font="Symbol" w:char="F0B7"/>
      </w:r>
      <w:r w:rsidRPr="008474A2">
        <w:rPr>
          <w:rFonts w:ascii="Verdana" w:hAnsi="Verdana"/>
          <w:sz w:val="20"/>
          <w:szCs w:val="20"/>
        </w:rPr>
        <w:t xml:space="preserve"> Axe 2 – Commerce intra régional des produits agricoles d’intérêt régional. </w:t>
      </w:r>
    </w:p>
    <w:p w14:paraId="642889D1" w14:textId="77777777" w:rsidR="00930B4E" w:rsidRPr="008474A2" w:rsidRDefault="00930B4E" w:rsidP="008474A2">
      <w:pPr>
        <w:spacing w:before="100" w:beforeAutospacing="1" w:after="100" w:afterAutospacing="1"/>
        <w:ind w:left="426"/>
        <w:contextualSpacing/>
        <w:jc w:val="both"/>
        <w:rPr>
          <w:rFonts w:ascii="Verdana" w:hAnsi="Verdana"/>
          <w:sz w:val="20"/>
          <w:szCs w:val="20"/>
        </w:rPr>
      </w:pPr>
      <w:r w:rsidRPr="008474A2">
        <w:rPr>
          <w:rFonts w:ascii="Verdana" w:hAnsi="Verdana"/>
          <w:sz w:val="20"/>
          <w:szCs w:val="20"/>
        </w:rPr>
        <w:sym w:font="Symbol" w:char="F0B7"/>
      </w:r>
      <w:r w:rsidRPr="008474A2">
        <w:rPr>
          <w:rFonts w:ascii="Verdana" w:hAnsi="Verdana"/>
          <w:sz w:val="20"/>
          <w:szCs w:val="20"/>
        </w:rPr>
        <w:t xml:space="preserve"> Axe 3 – Sécurité nutritionnelle et résilience des populations. </w:t>
      </w:r>
    </w:p>
    <w:p w14:paraId="738E1D4E" w14:textId="77777777" w:rsidR="00930B4E" w:rsidRPr="008474A2" w:rsidRDefault="00930B4E" w:rsidP="00930B4E">
      <w:pPr>
        <w:ind w:right="399"/>
        <w:jc w:val="both"/>
        <w:rPr>
          <w:rFonts w:ascii="Verdana" w:hAnsi="Verdana"/>
          <w:sz w:val="20"/>
          <w:szCs w:val="20"/>
        </w:rPr>
      </w:pPr>
    </w:p>
    <w:p w14:paraId="3790B320" w14:textId="53FBCE23" w:rsidR="009D0D1F" w:rsidRPr="008474A2" w:rsidRDefault="009D0D1F" w:rsidP="009D0D1F">
      <w:pPr>
        <w:pStyle w:val="Sous-partie2"/>
        <w:numPr>
          <w:ilvl w:val="1"/>
          <w:numId w:val="13"/>
        </w:numPr>
      </w:pPr>
      <w:r w:rsidRPr="008474A2">
        <w:t>Les principales réalisations issues de la première période de mise en œuvre du PRESAN </w:t>
      </w:r>
      <w:r w:rsidR="00BD3900" w:rsidRPr="008474A2">
        <w:t>(2018-2021</w:t>
      </w:r>
      <w:r w:rsidR="00BE61E4" w:rsidRPr="008474A2">
        <w:t>) :</w:t>
      </w:r>
    </w:p>
    <w:p w14:paraId="6DBFA5D2" w14:textId="77777777" w:rsidR="007731A0" w:rsidRPr="008474A2" w:rsidRDefault="00BD3900" w:rsidP="007731A0">
      <w:pPr>
        <w:jc w:val="both"/>
        <w:rPr>
          <w:rFonts w:ascii="Verdana" w:hAnsi="Verdana"/>
          <w:bCs/>
          <w:sz w:val="20"/>
          <w:szCs w:val="20"/>
          <w:lang w:val="fr-FR"/>
        </w:rPr>
      </w:pPr>
      <w:r w:rsidRPr="008474A2">
        <w:rPr>
          <w:rFonts w:ascii="Verdana" w:hAnsi="Verdana"/>
          <w:bCs/>
          <w:sz w:val="20"/>
          <w:szCs w:val="20"/>
        </w:rPr>
        <w:t>La première période de mise en œuvre du PRESAN a été financée par le FIDA à hauteur de 500 000 USD a</w:t>
      </w:r>
      <w:proofErr w:type="spellStart"/>
      <w:r w:rsidRPr="008474A2">
        <w:rPr>
          <w:rFonts w:ascii="Verdana" w:hAnsi="Verdana"/>
          <w:bCs/>
          <w:sz w:val="20"/>
          <w:szCs w:val="20"/>
          <w:lang w:val="fr-FR"/>
        </w:rPr>
        <w:t>vec</w:t>
      </w:r>
      <w:proofErr w:type="spellEnd"/>
      <w:r w:rsidRPr="008474A2">
        <w:rPr>
          <w:rFonts w:ascii="Verdana" w:hAnsi="Verdana"/>
          <w:bCs/>
          <w:sz w:val="20"/>
          <w:szCs w:val="20"/>
          <w:lang w:val="fr-FR"/>
        </w:rPr>
        <w:t xml:space="preserve"> l’appui technique de la FAO, </w:t>
      </w:r>
      <w:r w:rsidRPr="008474A2">
        <w:rPr>
          <w:rFonts w:ascii="Verdana" w:hAnsi="Verdana"/>
          <w:bCs/>
          <w:sz w:val="20"/>
          <w:szCs w:val="20"/>
        </w:rPr>
        <w:t xml:space="preserve">dont l’objectif consiste à assurer la production de connaissances, les consultations et la mise en place des mécanismes institutionnels d’harmonisation des politiques et normes de qualité. </w:t>
      </w:r>
    </w:p>
    <w:p w14:paraId="7CBEC0E9" w14:textId="3227763C" w:rsidR="00BD3900" w:rsidRPr="008474A2" w:rsidRDefault="00BD3900" w:rsidP="007731A0">
      <w:pPr>
        <w:jc w:val="both"/>
        <w:rPr>
          <w:rFonts w:ascii="Verdana" w:hAnsi="Verdana" w:cs="Arial"/>
          <w:bCs/>
          <w:color w:val="000000" w:themeColor="text1"/>
          <w:spacing w:val="6"/>
          <w:sz w:val="20"/>
          <w:szCs w:val="20"/>
        </w:rPr>
      </w:pPr>
      <w:r w:rsidRPr="008474A2">
        <w:rPr>
          <w:rFonts w:ascii="Verdana" w:hAnsi="Verdana" w:cs="Arial"/>
          <w:bCs/>
          <w:color w:val="000000" w:themeColor="text1"/>
          <w:spacing w:val="6"/>
          <w:sz w:val="20"/>
          <w:szCs w:val="20"/>
        </w:rPr>
        <w:t>Les principales realisations sont les suivantes:</w:t>
      </w:r>
    </w:p>
    <w:p w14:paraId="28801533" w14:textId="4EC00971" w:rsidR="00BD3900" w:rsidRPr="008474A2" w:rsidRDefault="00BD3900" w:rsidP="00BD3900">
      <w:pPr>
        <w:pStyle w:val="Paragraphedeliste"/>
        <w:numPr>
          <w:ilvl w:val="0"/>
          <w:numId w:val="14"/>
        </w:numPr>
        <w:spacing w:line="276" w:lineRule="auto"/>
        <w:jc w:val="both"/>
        <w:rPr>
          <w:rFonts w:ascii="Verdana" w:eastAsia="Times New Roman" w:hAnsi="Verdana" w:cs="Arial"/>
          <w:color w:val="000000" w:themeColor="text1"/>
          <w:sz w:val="20"/>
          <w:szCs w:val="20"/>
        </w:rPr>
      </w:pPr>
      <w:r w:rsidRPr="008474A2">
        <w:rPr>
          <w:rFonts w:ascii="Verdana" w:eastAsia="Times New Roman" w:hAnsi="Verdana" w:cs="Arial"/>
          <w:color w:val="000000" w:themeColor="text1"/>
          <w:sz w:val="20"/>
          <w:szCs w:val="20"/>
        </w:rPr>
        <w:t xml:space="preserve">Operationnalisation </w:t>
      </w:r>
      <w:r w:rsidRPr="008474A2">
        <w:rPr>
          <w:rFonts w:ascii="Verdana" w:eastAsia="Times New Roman" w:hAnsi="Verdana" w:cs="Arial"/>
          <w:color w:val="000000" w:themeColor="text1"/>
          <w:sz w:val="20"/>
          <w:szCs w:val="20"/>
          <w:lang w:val="fr-FR"/>
        </w:rPr>
        <w:t>de l’Unité régionale de coordination régionale de sécurité alimentaire et nutritionnelle ( URSAN).</w:t>
      </w:r>
    </w:p>
    <w:p w14:paraId="0CE51A94" w14:textId="2BDB7A91" w:rsidR="00BD3900" w:rsidRPr="008474A2" w:rsidRDefault="00BD3900" w:rsidP="00BD3900">
      <w:pPr>
        <w:pStyle w:val="Paragraphedeliste"/>
        <w:numPr>
          <w:ilvl w:val="0"/>
          <w:numId w:val="14"/>
        </w:numPr>
        <w:spacing w:line="276" w:lineRule="auto"/>
        <w:jc w:val="both"/>
        <w:rPr>
          <w:rFonts w:ascii="Verdana" w:eastAsia="Times New Roman" w:hAnsi="Verdana" w:cs="Arial"/>
          <w:color w:val="000000" w:themeColor="text1"/>
          <w:sz w:val="20"/>
          <w:szCs w:val="20"/>
        </w:rPr>
      </w:pPr>
      <w:r w:rsidRPr="008474A2">
        <w:rPr>
          <w:rFonts w:ascii="Verdana" w:hAnsi="Verdana" w:cs="Arial"/>
          <w:bCs/>
          <w:color w:val="000000" w:themeColor="text1"/>
          <w:spacing w:val="6"/>
          <w:sz w:val="20"/>
          <w:szCs w:val="20"/>
        </w:rPr>
        <w:t>R</w:t>
      </w:r>
      <w:r w:rsidR="00BE61E4" w:rsidRPr="008474A2">
        <w:rPr>
          <w:rFonts w:ascii="Verdana" w:hAnsi="Verdana" w:cs="Arial"/>
          <w:bCs/>
          <w:color w:val="000000" w:themeColor="text1"/>
          <w:spacing w:val="6"/>
          <w:sz w:val="20"/>
          <w:szCs w:val="20"/>
        </w:rPr>
        <w:t>é</w:t>
      </w:r>
      <w:r w:rsidRPr="008474A2">
        <w:rPr>
          <w:rFonts w:ascii="Verdana" w:hAnsi="Verdana" w:cs="Arial"/>
          <w:bCs/>
          <w:color w:val="000000" w:themeColor="text1"/>
          <w:spacing w:val="6"/>
          <w:sz w:val="20"/>
          <w:szCs w:val="20"/>
        </w:rPr>
        <w:t xml:space="preserve">alisations des </w:t>
      </w:r>
      <w:r w:rsidR="009D0D1F" w:rsidRPr="008474A2">
        <w:rPr>
          <w:rFonts w:ascii="Verdana" w:hAnsi="Verdana" w:cs="Arial"/>
          <w:bCs/>
          <w:color w:val="000000" w:themeColor="text1"/>
          <w:spacing w:val="6"/>
          <w:sz w:val="20"/>
          <w:szCs w:val="20"/>
        </w:rPr>
        <w:t>études sur les chaines de valeurs des produits prioritaires</w:t>
      </w:r>
      <w:r w:rsidRPr="008474A2">
        <w:rPr>
          <w:rFonts w:ascii="Verdana" w:hAnsi="Verdana" w:cs="Arial"/>
          <w:bCs/>
          <w:color w:val="000000" w:themeColor="text1"/>
          <w:spacing w:val="6"/>
          <w:sz w:val="20"/>
          <w:szCs w:val="20"/>
        </w:rPr>
        <w:t xml:space="preserve"> (</w:t>
      </w:r>
      <w:r w:rsidR="009D0D1F" w:rsidRPr="008474A2">
        <w:rPr>
          <w:rFonts w:ascii="Verdana" w:hAnsi="Verdana" w:cs="Arial"/>
          <w:bCs/>
          <w:color w:val="000000" w:themeColor="text1"/>
          <w:spacing w:val="6"/>
          <w:sz w:val="20"/>
          <w:szCs w:val="20"/>
        </w:rPr>
        <w:t xml:space="preserve">le riz, le maïs, le soja, les différents types de viande, l’oignon. </w:t>
      </w:r>
    </w:p>
    <w:p w14:paraId="79898721" w14:textId="7D232E43" w:rsidR="00BD3900" w:rsidRPr="008474A2" w:rsidRDefault="00E01ACC" w:rsidP="00BD3900">
      <w:pPr>
        <w:pStyle w:val="Paragraphedeliste"/>
        <w:numPr>
          <w:ilvl w:val="0"/>
          <w:numId w:val="14"/>
        </w:numPr>
        <w:spacing w:line="276" w:lineRule="auto"/>
        <w:jc w:val="both"/>
        <w:rPr>
          <w:rFonts w:ascii="Verdana" w:eastAsia="Times New Roman" w:hAnsi="Verdana" w:cs="Arial"/>
          <w:color w:val="000000" w:themeColor="text1"/>
          <w:sz w:val="20"/>
          <w:szCs w:val="20"/>
        </w:rPr>
      </w:pPr>
      <w:r w:rsidRPr="008474A2">
        <w:rPr>
          <w:rFonts w:ascii="Verdana" w:hAnsi="Verdana" w:cs="Arial"/>
          <w:bCs/>
          <w:color w:val="000000" w:themeColor="text1"/>
          <w:spacing w:val="6"/>
          <w:sz w:val="20"/>
          <w:szCs w:val="20"/>
        </w:rPr>
        <w:t>Ré</w:t>
      </w:r>
      <w:r w:rsidR="00BD3900" w:rsidRPr="008474A2">
        <w:rPr>
          <w:rFonts w:ascii="Verdana" w:hAnsi="Verdana" w:cs="Arial"/>
          <w:bCs/>
          <w:color w:val="000000" w:themeColor="text1"/>
          <w:spacing w:val="6"/>
          <w:sz w:val="20"/>
          <w:szCs w:val="20"/>
        </w:rPr>
        <w:t>alisation d’</w:t>
      </w:r>
      <w:r w:rsidR="009D0D1F" w:rsidRPr="008474A2">
        <w:rPr>
          <w:rFonts w:ascii="Verdana" w:hAnsi="Verdana" w:cs="Arial"/>
          <w:bCs/>
          <w:color w:val="000000" w:themeColor="text1"/>
          <w:spacing w:val="6"/>
          <w:sz w:val="20"/>
          <w:szCs w:val="20"/>
        </w:rPr>
        <w:t xml:space="preserve">une étude sur </w:t>
      </w:r>
      <w:r w:rsidR="009D0D1F" w:rsidRPr="008474A2">
        <w:rPr>
          <w:rFonts w:ascii="Verdana" w:eastAsia="Times New Roman" w:hAnsi="Verdana" w:cs="Arial"/>
          <w:color w:val="000000" w:themeColor="text1"/>
          <w:sz w:val="20"/>
          <w:szCs w:val="20"/>
        </w:rPr>
        <w:t>l'harmonisation des mesures sanitaires et phytosanitaires des États-membres de la COI</w:t>
      </w:r>
      <w:r w:rsidR="00BD3900" w:rsidRPr="008474A2">
        <w:rPr>
          <w:rFonts w:ascii="Verdana" w:eastAsia="Times New Roman" w:hAnsi="Verdana" w:cs="Arial"/>
          <w:color w:val="000000" w:themeColor="text1"/>
          <w:sz w:val="20"/>
          <w:szCs w:val="20"/>
        </w:rPr>
        <w:t xml:space="preserve"> ainsi que </w:t>
      </w:r>
      <w:r w:rsidR="009D0D1F" w:rsidRPr="008474A2">
        <w:rPr>
          <w:rFonts w:ascii="Verdana" w:eastAsia="Times New Roman" w:hAnsi="Verdana" w:cs="Arial"/>
          <w:color w:val="000000" w:themeColor="text1"/>
          <w:sz w:val="20"/>
          <w:szCs w:val="20"/>
        </w:rPr>
        <w:t xml:space="preserve">les obstacles techniques au commerce </w:t>
      </w:r>
      <w:r w:rsidR="00BD3900" w:rsidRPr="008474A2">
        <w:rPr>
          <w:rFonts w:ascii="Verdana" w:eastAsia="Times New Roman" w:hAnsi="Verdana" w:cs="Arial"/>
          <w:color w:val="000000" w:themeColor="text1"/>
          <w:sz w:val="20"/>
          <w:szCs w:val="20"/>
        </w:rPr>
        <w:t>afin d’</w:t>
      </w:r>
      <w:r w:rsidR="009D0D1F" w:rsidRPr="008474A2">
        <w:rPr>
          <w:rFonts w:ascii="Verdana" w:eastAsia="Times New Roman" w:hAnsi="Verdana" w:cs="Arial"/>
          <w:color w:val="000000" w:themeColor="text1"/>
          <w:sz w:val="20"/>
          <w:szCs w:val="20"/>
        </w:rPr>
        <w:t>assurer le bon fonctionnement des relations commerciales au sein de l’Indianocéanie</w:t>
      </w:r>
      <w:r w:rsidR="007731A0" w:rsidRPr="008474A2">
        <w:rPr>
          <w:rFonts w:ascii="Verdana" w:eastAsia="Times New Roman" w:hAnsi="Verdana" w:cs="Arial"/>
          <w:color w:val="000000" w:themeColor="text1"/>
          <w:sz w:val="20"/>
          <w:szCs w:val="20"/>
          <w:lang w:val="fr-FR"/>
        </w:rPr>
        <w:t>.</w:t>
      </w:r>
    </w:p>
    <w:p w14:paraId="18F6DF42" w14:textId="6645FD16" w:rsidR="009D0D1F" w:rsidRPr="008474A2" w:rsidRDefault="00BD3900" w:rsidP="007731A0">
      <w:pPr>
        <w:pStyle w:val="Paragraphedeliste"/>
        <w:numPr>
          <w:ilvl w:val="0"/>
          <w:numId w:val="14"/>
        </w:numPr>
        <w:spacing w:line="276" w:lineRule="auto"/>
        <w:jc w:val="both"/>
        <w:rPr>
          <w:rFonts w:ascii="Verdana" w:eastAsia="Times New Roman" w:hAnsi="Verdana" w:cs="Arial"/>
          <w:color w:val="000000" w:themeColor="text1"/>
          <w:sz w:val="20"/>
          <w:szCs w:val="20"/>
        </w:rPr>
      </w:pPr>
      <w:r w:rsidRPr="008474A2">
        <w:rPr>
          <w:rFonts w:ascii="Verdana" w:eastAsia="Times New Roman" w:hAnsi="Verdana" w:cs="Arial"/>
          <w:color w:val="000000" w:themeColor="text1"/>
          <w:sz w:val="20"/>
          <w:szCs w:val="20"/>
        </w:rPr>
        <w:t xml:space="preserve">Réalisation d’une </w:t>
      </w:r>
      <w:r w:rsidR="009D0D1F" w:rsidRPr="008474A2">
        <w:rPr>
          <w:rFonts w:ascii="Verdana" w:eastAsia="Times New Roman" w:hAnsi="Verdana" w:cs="Arial"/>
          <w:color w:val="000000" w:themeColor="text1"/>
          <w:sz w:val="20"/>
          <w:szCs w:val="20"/>
        </w:rPr>
        <w:t>analyse des cadres législatifs</w:t>
      </w:r>
      <w:r w:rsidR="007731A0" w:rsidRPr="008474A2">
        <w:rPr>
          <w:rFonts w:ascii="Verdana" w:eastAsia="Times New Roman" w:hAnsi="Verdana" w:cs="Arial"/>
          <w:color w:val="000000" w:themeColor="text1"/>
          <w:sz w:val="20"/>
          <w:szCs w:val="20"/>
        </w:rPr>
        <w:t>.</w:t>
      </w:r>
    </w:p>
    <w:p w14:paraId="2E5B89F5" w14:textId="49DDDF07" w:rsidR="00E01ACC" w:rsidRPr="008474A2" w:rsidRDefault="00E01ACC" w:rsidP="00694AFB">
      <w:pPr>
        <w:pStyle w:val="Paragraphedeliste"/>
        <w:numPr>
          <w:ilvl w:val="0"/>
          <w:numId w:val="14"/>
        </w:numPr>
        <w:spacing w:line="276" w:lineRule="auto"/>
        <w:jc w:val="both"/>
        <w:rPr>
          <w:rFonts w:ascii="Verdana" w:hAnsi="Verdana" w:cs="Arial"/>
          <w:bCs/>
          <w:color w:val="000000" w:themeColor="text1"/>
          <w:spacing w:val="6"/>
          <w:sz w:val="20"/>
          <w:szCs w:val="20"/>
        </w:rPr>
      </w:pPr>
      <w:r w:rsidRPr="008474A2">
        <w:rPr>
          <w:rFonts w:ascii="Verdana" w:hAnsi="Verdana" w:cs="Arial"/>
          <w:sz w:val="20"/>
          <w:szCs w:val="20"/>
          <w:lang w:val="fr-FR"/>
        </w:rPr>
        <w:t xml:space="preserve">Mise en place </w:t>
      </w:r>
      <w:r w:rsidRPr="008474A2">
        <w:rPr>
          <w:rFonts w:ascii="Verdana" w:hAnsi="Verdana" w:cs="Arial"/>
          <w:sz w:val="20"/>
          <w:szCs w:val="20"/>
        </w:rPr>
        <w:t>du Comité scientifique régional (CSR) sur les normes, qualités et certification des denrées alimentaires sur le maïs et la volaille</w:t>
      </w:r>
      <w:r w:rsidR="007731A0" w:rsidRPr="008474A2">
        <w:rPr>
          <w:rFonts w:ascii="Verdana" w:hAnsi="Verdana" w:cs="Arial"/>
          <w:sz w:val="20"/>
          <w:szCs w:val="20"/>
        </w:rPr>
        <w:t>.</w:t>
      </w:r>
    </w:p>
    <w:p w14:paraId="76BE3946" w14:textId="1AA0E9A2" w:rsidR="009D0D1F" w:rsidRPr="008474A2" w:rsidRDefault="00BD3900" w:rsidP="00BD3900">
      <w:pPr>
        <w:pStyle w:val="Paragraphedeliste"/>
        <w:numPr>
          <w:ilvl w:val="0"/>
          <w:numId w:val="14"/>
        </w:numPr>
        <w:spacing w:line="276" w:lineRule="auto"/>
        <w:jc w:val="both"/>
        <w:rPr>
          <w:rFonts w:ascii="Verdana" w:hAnsi="Verdana" w:cs="Arial"/>
          <w:bCs/>
          <w:color w:val="000000" w:themeColor="text1"/>
          <w:spacing w:val="6"/>
          <w:sz w:val="20"/>
          <w:szCs w:val="20"/>
        </w:rPr>
      </w:pPr>
      <w:r w:rsidRPr="008474A2">
        <w:rPr>
          <w:rFonts w:ascii="Verdana" w:hAnsi="Verdana" w:cs="Arial"/>
          <w:bCs/>
          <w:color w:val="000000" w:themeColor="text1"/>
          <w:spacing w:val="6"/>
          <w:sz w:val="20"/>
          <w:szCs w:val="20"/>
        </w:rPr>
        <w:t xml:space="preserve">Mise en place de </w:t>
      </w:r>
      <w:r w:rsidR="009D0D1F" w:rsidRPr="008474A2">
        <w:rPr>
          <w:rFonts w:ascii="Verdana" w:hAnsi="Verdana" w:cs="Arial"/>
          <w:sz w:val="20"/>
          <w:szCs w:val="20"/>
        </w:rPr>
        <w:t>la plateforme d’informations sur les opportunités d’affaires intra régionales</w:t>
      </w:r>
      <w:r w:rsidRPr="008474A2">
        <w:rPr>
          <w:rFonts w:ascii="Verdana" w:hAnsi="Verdana" w:cs="Arial"/>
          <w:sz w:val="20"/>
          <w:szCs w:val="20"/>
        </w:rPr>
        <w:t>.</w:t>
      </w:r>
    </w:p>
    <w:p w14:paraId="6CB21784" w14:textId="1E799A67" w:rsidR="00930B4E" w:rsidRPr="008474A2" w:rsidRDefault="00BD3900" w:rsidP="007731A0">
      <w:pPr>
        <w:pStyle w:val="Paragraphedeliste"/>
        <w:numPr>
          <w:ilvl w:val="0"/>
          <w:numId w:val="9"/>
        </w:numPr>
        <w:spacing w:line="276" w:lineRule="auto"/>
        <w:jc w:val="both"/>
        <w:rPr>
          <w:rFonts w:ascii="Verdana" w:hAnsi="Verdana" w:cs="Arial"/>
          <w:sz w:val="20"/>
          <w:szCs w:val="20"/>
        </w:rPr>
      </w:pPr>
      <w:r w:rsidRPr="008474A2">
        <w:rPr>
          <w:rFonts w:ascii="Verdana" w:hAnsi="Verdana" w:cs="Arial"/>
          <w:bCs/>
          <w:color w:val="000000" w:themeColor="text1"/>
          <w:spacing w:val="6"/>
          <w:sz w:val="20"/>
          <w:szCs w:val="20"/>
        </w:rPr>
        <w:t>Réalisation d</w:t>
      </w:r>
      <w:r w:rsidR="00E01ACC" w:rsidRPr="008474A2">
        <w:rPr>
          <w:rFonts w:ascii="Verdana" w:hAnsi="Verdana" w:cs="Arial"/>
          <w:bCs/>
          <w:color w:val="000000" w:themeColor="text1"/>
          <w:spacing w:val="6"/>
          <w:sz w:val="20"/>
          <w:szCs w:val="20"/>
        </w:rPr>
        <w:t>’</w:t>
      </w:r>
      <w:r w:rsidR="009D0D1F" w:rsidRPr="008474A2">
        <w:rPr>
          <w:rFonts w:ascii="Verdana" w:hAnsi="Verdana" w:cs="Arial"/>
          <w:bCs/>
          <w:color w:val="000000" w:themeColor="text1"/>
          <w:spacing w:val="6"/>
          <w:sz w:val="20"/>
          <w:szCs w:val="20"/>
        </w:rPr>
        <w:t>une étude sur les impacts macroéconomiques du développement des filières prioritaires.</w:t>
      </w:r>
    </w:p>
    <w:p w14:paraId="71204579" w14:textId="77777777" w:rsidR="00930B4E" w:rsidRPr="007731A0" w:rsidRDefault="00930B4E" w:rsidP="00930B4E">
      <w:pPr>
        <w:ind w:right="399"/>
        <w:jc w:val="both"/>
        <w:rPr>
          <w:rFonts w:ascii="Verdana" w:hAnsi="Verdana"/>
          <w:sz w:val="22"/>
          <w:szCs w:val="22"/>
        </w:rPr>
      </w:pPr>
    </w:p>
    <w:p w14:paraId="5C9DD320" w14:textId="1DFEC4E4" w:rsidR="001D4D63" w:rsidRPr="007731A0" w:rsidRDefault="001D4D63" w:rsidP="001D4D63">
      <w:pPr>
        <w:pStyle w:val="Titrepartie"/>
        <w:rPr>
          <w:szCs w:val="22"/>
        </w:rPr>
      </w:pPr>
      <w:r w:rsidRPr="007731A0">
        <w:rPr>
          <w:szCs w:val="22"/>
        </w:rPr>
        <w:lastRenderedPageBreak/>
        <w:t>État d’avancement d</w:t>
      </w:r>
      <w:r w:rsidR="001210AD">
        <w:rPr>
          <w:szCs w:val="22"/>
        </w:rPr>
        <w:t>u</w:t>
      </w:r>
      <w:r w:rsidRPr="007731A0">
        <w:rPr>
          <w:szCs w:val="22"/>
        </w:rPr>
        <w:t xml:space="preserve"> programme régional</w:t>
      </w:r>
      <w:r w:rsidR="001210AD">
        <w:rPr>
          <w:szCs w:val="22"/>
        </w:rPr>
        <w:t xml:space="preserve"> </w:t>
      </w:r>
      <w:r w:rsidRPr="007731A0">
        <w:rPr>
          <w:szCs w:val="22"/>
        </w:rPr>
        <w:t>de sécurité alimentaire et nutritionnelle (SANOI).</w:t>
      </w:r>
    </w:p>
    <w:p w14:paraId="0040B53E" w14:textId="7BF8A4BF" w:rsidR="001D4D63" w:rsidRPr="008474A2" w:rsidRDefault="001D4D63" w:rsidP="007731A0">
      <w:pPr>
        <w:jc w:val="both"/>
        <w:rPr>
          <w:rFonts w:ascii="Verdana" w:hAnsi="Verdana"/>
          <w:iCs/>
          <w:sz w:val="20"/>
          <w:szCs w:val="20"/>
        </w:rPr>
      </w:pPr>
      <w:r w:rsidRPr="008474A2">
        <w:rPr>
          <w:rFonts w:ascii="Verdana" w:hAnsi="Verdana"/>
          <w:iCs/>
          <w:sz w:val="20"/>
          <w:szCs w:val="20"/>
        </w:rPr>
        <w:t>À titre de rappel, le programme SANOI est mis en œuvre par le DUE pour une periode de cinq ans (mars 2020 - mars 2025).</w:t>
      </w:r>
      <w:r w:rsidR="007731A0" w:rsidRPr="008474A2">
        <w:rPr>
          <w:rFonts w:ascii="Verdana" w:hAnsi="Verdana"/>
          <w:iCs/>
          <w:sz w:val="20"/>
          <w:szCs w:val="20"/>
        </w:rPr>
        <w:t xml:space="preserve"> </w:t>
      </w:r>
      <w:r w:rsidRPr="008474A2">
        <w:rPr>
          <w:rFonts w:ascii="Verdana" w:hAnsi="Verdana"/>
          <w:iCs/>
          <w:sz w:val="20"/>
          <w:szCs w:val="20"/>
        </w:rPr>
        <w:t>Le dernier rapport d’avancement soumis par la DUE donne un aperçu général des dernières réalisations pour l</w:t>
      </w:r>
      <w:r w:rsidR="00BE61E4" w:rsidRPr="008474A2">
        <w:rPr>
          <w:rFonts w:ascii="Verdana" w:hAnsi="Verdana"/>
          <w:iCs/>
          <w:sz w:val="20"/>
          <w:szCs w:val="20"/>
        </w:rPr>
        <w:t xml:space="preserve">e </w:t>
      </w:r>
      <w:r w:rsidRPr="008474A2">
        <w:rPr>
          <w:rFonts w:ascii="Verdana" w:hAnsi="Verdana"/>
          <w:iCs/>
          <w:sz w:val="20"/>
          <w:szCs w:val="20"/>
        </w:rPr>
        <w:t>deuxième semestre 2023</w:t>
      </w:r>
      <w:r w:rsidR="00E01ACC" w:rsidRPr="008474A2">
        <w:rPr>
          <w:rFonts w:ascii="Verdana" w:hAnsi="Verdana"/>
          <w:iCs/>
          <w:sz w:val="20"/>
          <w:szCs w:val="20"/>
        </w:rPr>
        <w:t xml:space="preserve"> ( en annexe)</w:t>
      </w:r>
      <w:r w:rsidR="00972D7D" w:rsidRPr="008474A2">
        <w:rPr>
          <w:rFonts w:ascii="Verdana" w:hAnsi="Verdana"/>
          <w:iCs/>
          <w:sz w:val="20"/>
          <w:szCs w:val="20"/>
        </w:rPr>
        <w:t>.</w:t>
      </w:r>
    </w:p>
    <w:p w14:paraId="24CD4583" w14:textId="7D28FC8D" w:rsidR="001D4D63" w:rsidRPr="008474A2" w:rsidRDefault="001D4D63" w:rsidP="007731A0">
      <w:pPr>
        <w:jc w:val="both"/>
        <w:rPr>
          <w:rFonts w:ascii="Verdana" w:hAnsi="Verdana"/>
          <w:iCs/>
          <w:sz w:val="20"/>
          <w:szCs w:val="20"/>
        </w:rPr>
      </w:pPr>
      <w:r w:rsidRPr="008474A2">
        <w:rPr>
          <w:rFonts w:ascii="Verdana" w:hAnsi="Verdana"/>
          <w:iCs/>
          <w:sz w:val="20"/>
          <w:szCs w:val="20"/>
        </w:rPr>
        <w:t>Le taux d’engagement (contractualisation) au 30 novembre 2023 est de 94,98 %.</w:t>
      </w:r>
      <w:r w:rsidR="00972D7D" w:rsidRPr="008474A2">
        <w:rPr>
          <w:rFonts w:ascii="Verdana" w:hAnsi="Verdana"/>
          <w:iCs/>
          <w:sz w:val="20"/>
          <w:szCs w:val="20"/>
        </w:rPr>
        <w:t xml:space="preserve"> </w:t>
      </w:r>
      <w:r w:rsidRPr="008474A2">
        <w:rPr>
          <w:rFonts w:ascii="Verdana" w:hAnsi="Verdana"/>
          <w:iCs/>
          <w:sz w:val="20"/>
          <w:szCs w:val="20"/>
        </w:rPr>
        <w:t xml:space="preserve">Le taux de décaissement au 30 novembre 2023 est de 58,84 % (paiements de préfinancements et factures). </w:t>
      </w:r>
    </w:p>
    <w:p w14:paraId="6EF0DDE2" w14:textId="571242D6" w:rsidR="00E01ACC" w:rsidRPr="008474A2" w:rsidRDefault="00972D7D" w:rsidP="007731A0">
      <w:pPr>
        <w:jc w:val="both"/>
        <w:rPr>
          <w:rFonts w:ascii="Verdana" w:hAnsi="Verdana"/>
          <w:iCs/>
          <w:sz w:val="20"/>
          <w:szCs w:val="20"/>
        </w:rPr>
      </w:pPr>
      <w:r w:rsidRPr="008474A2">
        <w:rPr>
          <w:rFonts w:ascii="Verdana" w:hAnsi="Verdana"/>
          <w:iCs/>
          <w:sz w:val="20"/>
          <w:szCs w:val="20"/>
        </w:rPr>
        <w:t>Concernant l’articulation entre le PRESAN et l’URSAN, il s’agit de capitaliser les acquis de la mise en œuvre de la premi</w:t>
      </w:r>
      <w:r w:rsidR="00E01ACC" w:rsidRPr="008474A2">
        <w:rPr>
          <w:rFonts w:ascii="Verdana" w:hAnsi="Verdana"/>
          <w:iCs/>
          <w:sz w:val="20"/>
          <w:szCs w:val="20"/>
        </w:rPr>
        <w:t>è</w:t>
      </w:r>
      <w:r w:rsidRPr="008474A2">
        <w:rPr>
          <w:rFonts w:ascii="Verdana" w:hAnsi="Verdana"/>
          <w:iCs/>
          <w:sz w:val="20"/>
          <w:szCs w:val="20"/>
        </w:rPr>
        <w:t>re p</w:t>
      </w:r>
      <w:r w:rsidR="00E01ACC" w:rsidRPr="008474A2">
        <w:rPr>
          <w:rFonts w:ascii="Verdana" w:hAnsi="Verdana"/>
          <w:iCs/>
          <w:sz w:val="20"/>
          <w:szCs w:val="20"/>
        </w:rPr>
        <w:t>é</w:t>
      </w:r>
      <w:r w:rsidRPr="008474A2">
        <w:rPr>
          <w:rFonts w:ascii="Verdana" w:hAnsi="Verdana"/>
          <w:iCs/>
          <w:sz w:val="20"/>
          <w:szCs w:val="20"/>
        </w:rPr>
        <w:t xml:space="preserve">riode de PRESAN, notamment sur les conclusions issues de l’étude sur l'harmonisation des mesures sanitaires et phytosanitaires et les recommandations </w:t>
      </w:r>
      <w:r w:rsidR="00E01ACC" w:rsidRPr="008474A2">
        <w:rPr>
          <w:rFonts w:ascii="Verdana" w:hAnsi="Verdana"/>
          <w:iCs/>
          <w:sz w:val="20"/>
          <w:szCs w:val="20"/>
        </w:rPr>
        <w:t xml:space="preserve">issues des travaux du Comité scientifique régional (CSR) sur les normes, qualités et certification des denrées alimentaires sur le maïs et la volaille. Ces filières ont été identifiées par les membres du CSR car elles pourraient déboucher sur des projets concrets de développement et d’échanges entre les îles. </w:t>
      </w:r>
    </w:p>
    <w:p w14:paraId="607572B0" w14:textId="2A0E9541" w:rsidR="00B84759" w:rsidRPr="008474A2" w:rsidRDefault="00E01ACC" w:rsidP="00B84759">
      <w:pPr>
        <w:jc w:val="both"/>
        <w:rPr>
          <w:rFonts w:ascii="Verdana" w:hAnsi="Verdana"/>
          <w:iCs/>
          <w:sz w:val="20"/>
          <w:szCs w:val="20"/>
        </w:rPr>
      </w:pPr>
      <w:r w:rsidRPr="008474A2">
        <w:rPr>
          <w:rFonts w:ascii="Verdana" w:hAnsi="Verdana"/>
          <w:iCs/>
          <w:sz w:val="20"/>
          <w:szCs w:val="20"/>
        </w:rPr>
        <w:t xml:space="preserve">La decision 6 </w:t>
      </w:r>
      <w:r w:rsidR="00C01218" w:rsidRPr="008474A2">
        <w:rPr>
          <w:rFonts w:ascii="Verdana" w:hAnsi="Verdana"/>
          <w:iCs/>
          <w:sz w:val="20"/>
          <w:szCs w:val="20"/>
        </w:rPr>
        <w:t>d) de la session extraordinaire du Conseil des ministres de novembre 2021 a demandé au Secretariat Général de poursuivre les consultations avec la Délégation de l’Union européenne pour une mise en œuvre effective d’activités concrètes visant à assurer une meilleure articulation et complémentarité entre</w:t>
      </w:r>
      <w:r w:rsidR="00BE61E4" w:rsidRPr="008474A2">
        <w:rPr>
          <w:rFonts w:ascii="Verdana" w:hAnsi="Verdana"/>
          <w:iCs/>
          <w:sz w:val="20"/>
          <w:szCs w:val="20"/>
        </w:rPr>
        <w:t xml:space="preserve"> </w:t>
      </w:r>
      <w:r w:rsidR="00C01218" w:rsidRPr="008474A2">
        <w:rPr>
          <w:rFonts w:ascii="Verdana" w:hAnsi="Verdana"/>
          <w:iCs/>
          <w:sz w:val="20"/>
          <w:szCs w:val="20"/>
        </w:rPr>
        <w:t>le PRESAN et l’URSAN.</w:t>
      </w:r>
    </w:p>
    <w:p w14:paraId="2649929F" w14:textId="7F985C26" w:rsidR="00C01218" w:rsidRPr="008474A2" w:rsidRDefault="00C01218" w:rsidP="00B84759">
      <w:pPr>
        <w:jc w:val="both"/>
        <w:rPr>
          <w:rFonts w:ascii="Verdana" w:hAnsi="Verdana"/>
          <w:iCs/>
          <w:sz w:val="20"/>
          <w:szCs w:val="20"/>
        </w:rPr>
      </w:pPr>
      <w:r w:rsidRPr="008474A2">
        <w:rPr>
          <w:rFonts w:ascii="Verdana" w:hAnsi="Verdana" w:cs="Arial"/>
          <w:bCs/>
          <w:color w:val="000000" w:themeColor="text1"/>
          <w:spacing w:val="6"/>
          <w:sz w:val="20"/>
          <w:szCs w:val="20"/>
          <w:lang w:val="fr-FR"/>
        </w:rPr>
        <w:t xml:space="preserve">A ce titre, des consultations </w:t>
      </w:r>
      <w:r w:rsidR="00B84759" w:rsidRPr="008474A2">
        <w:rPr>
          <w:rFonts w:ascii="Verdana" w:hAnsi="Verdana" w:cs="Arial"/>
          <w:bCs/>
          <w:color w:val="000000" w:themeColor="text1"/>
          <w:spacing w:val="6"/>
          <w:sz w:val="20"/>
          <w:szCs w:val="20"/>
          <w:lang w:val="fr-FR"/>
        </w:rPr>
        <w:t xml:space="preserve">ont été menées </w:t>
      </w:r>
      <w:r w:rsidRPr="008474A2">
        <w:rPr>
          <w:rFonts w:ascii="Verdana" w:hAnsi="Verdana" w:cs="Arial"/>
          <w:bCs/>
          <w:color w:val="000000" w:themeColor="text1"/>
          <w:spacing w:val="6"/>
          <w:sz w:val="20"/>
          <w:szCs w:val="20"/>
          <w:lang w:val="fr-FR"/>
        </w:rPr>
        <w:t xml:space="preserve">entre le Secrétariat et la DUE, lesquelles ont abouti à la mobilisation d’un expert en phytosanitaires en vue de la réalisation d’une analyse </w:t>
      </w:r>
      <w:r w:rsidR="00320B15" w:rsidRPr="008474A2">
        <w:rPr>
          <w:rFonts w:ascii="Verdana" w:hAnsi="Verdana" w:cs="Arial"/>
          <w:bCs/>
          <w:color w:val="000000" w:themeColor="text1"/>
          <w:spacing w:val="6"/>
          <w:sz w:val="20"/>
          <w:szCs w:val="20"/>
          <w:lang w:val="fr-FR"/>
        </w:rPr>
        <w:t xml:space="preserve">des risques phytosanitaires </w:t>
      </w:r>
      <w:r w:rsidRPr="008474A2">
        <w:rPr>
          <w:rFonts w:ascii="Verdana" w:hAnsi="Verdana"/>
          <w:color w:val="212121"/>
          <w:sz w:val="20"/>
          <w:szCs w:val="20"/>
        </w:rPr>
        <w:t xml:space="preserve">sur la filière </w:t>
      </w:r>
      <w:r w:rsidR="00320B15" w:rsidRPr="008474A2">
        <w:rPr>
          <w:rFonts w:ascii="Verdana" w:hAnsi="Verdana"/>
          <w:color w:val="212121"/>
          <w:sz w:val="20"/>
          <w:szCs w:val="20"/>
        </w:rPr>
        <w:t>m</w:t>
      </w:r>
      <w:r w:rsidRPr="008474A2">
        <w:rPr>
          <w:rFonts w:ascii="Verdana" w:hAnsi="Verdana"/>
          <w:color w:val="212121"/>
          <w:sz w:val="20"/>
          <w:szCs w:val="20"/>
        </w:rPr>
        <w:t>aïs.</w:t>
      </w:r>
    </w:p>
    <w:p w14:paraId="06F7AF5D" w14:textId="2FD1C873" w:rsidR="00320B15" w:rsidRPr="008474A2" w:rsidRDefault="00320B15" w:rsidP="00B84759">
      <w:pPr>
        <w:jc w:val="both"/>
        <w:rPr>
          <w:rFonts w:ascii="Verdana" w:hAnsi="Verdana" w:cs="Arial"/>
          <w:bCs/>
          <w:color w:val="000000" w:themeColor="text1"/>
          <w:spacing w:val="6"/>
          <w:sz w:val="20"/>
          <w:szCs w:val="20"/>
          <w:lang w:val="fr-FR"/>
        </w:rPr>
      </w:pPr>
      <w:r w:rsidRPr="008474A2">
        <w:rPr>
          <w:rFonts w:ascii="Verdana" w:hAnsi="Verdana" w:cs="Arial"/>
          <w:bCs/>
          <w:color w:val="000000" w:themeColor="text1"/>
          <w:spacing w:val="6"/>
          <w:sz w:val="20"/>
          <w:szCs w:val="20"/>
          <w:lang w:val="fr-FR"/>
        </w:rPr>
        <w:t>Un atelier sur les mesures sanitaires et phytosanitaires applicables aux fili</w:t>
      </w:r>
      <w:r w:rsidR="00B84759" w:rsidRPr="008474A2">
        <w:rPr>
          <w:rFonts w:ascii="Verdana" w:hAnsi="Verdana" w:cs="Arial"/>
          <w:bCs/>
          <w:color w:val="000000" w:themeColor="text1"/>
          <w:spacing w:val="6"/>
          <w:sz w:val="20"/>
          <w:szCs w:val="20"/>
          <w:lang w:val="fr-FR"/>
        </w:rPr>
        <w:t>è</w:t>
      </w:r>
      <w:r w:rsidRPr="008474A2">
        <w:rPr>
          <w:rFonts w:ascii="Verdana" w:hAnsi="Verdana" w:cs="Arial"/>
          <w:bCs/>
          <w:color w:val="000000" w:themeColor="text1"/>
          <w:spacing w:val="6"/>
          <w:sz w:val="20"/>
          <w:szCs w:val="20"/>
          <w:lang w:val="fr-FR"/>
        </w:rPr>
        <w:t>res ma</w:t>
      </w:r>
      <w:r w:rsidR="008474A2">
        <w:rPr>
          <w:rFonts w:ascii="Verdana" w:hAnsi="Verdana" w:cs="Arial"/>
          <w:bCs/>
          <w:color w:val="000000" w:themeColor="text1"/>
          <w:spacing w:val="6"/>
          <w:sz w:val="20"/>
          <w:szCs w:val="20"/>
          <w:lang w:val="fr-FR"/>
        </w:rPr>
        <w:t>ïs</w:t>
      </w:r>
      <w:r w:rsidRPr="008474A2">
        <w:rPr>
          <w:rFonts w:ascii="Verdana" w:hAnsi="Verdana" w:cs="Arial"/>
          <w:bCs/>
          <w:color w:val="000000" w:themeColor="text1"/>
          <w:spacing w:val="6"/>
          <w:sz w:val="20"/>
          <w:szCs w:val="20"/>
          <w:lang w:val="fr-FR"/>
        </w:rPr>
        <w:t xml:space="preserve"> et volailles dans les Etats membres de la COI se tiendra ainsi du 16 au 18 avril </w:t>
      </w:r>
      <w:r w:rsidR="00B84759" w:rsidRPr="008474A2">
        <w:rPr>
          <w:rFonts w:ascii="Verdana" w:hAnsi="Verdana" w:cs="Arial"/>
          <w:bCs/>
          <w:color w:val="000000" w:themeColor="text1"/>
          <w:spacing w:val="6"/>
          <w:sz w:val="20"/>
          <w:szCs w:val="20"/>
          <w:lang w:val="fr-FR"/>
        </w:rPr>
        <w:t xml:space="preserve">2024 </w:t>
      </w:r>
      <w:r w:rsidRPr="008474A2">
        <w:rPr>
          <w:rFonts w:ascii="Verdana" w:hAnsi="Verdana" w:cs="Arial"/>
          <w:bCs/>
          <w:color w:val="000000" w:themeColor="text1"/>
          <w:spacing w:val="6"/>
          <w:sz w:val="20"/>
          <w:szCs w:val="20"/>
          <w:lang w:val="fr-FR"/>
        </w:rPr>
        <w:t xml:space="preserve">à Antananarivo dont les objectifs et les resultats attendus sont les </w:t>
      </w:r>
      <w:r w:rsidR="00B84759" w:rsidRPr="008474A2">
        <w:rPr>
          <w:rFonts w:ascii="Verdana" w:hAnsi="Verdana" w:cs="Arial"/>
          <w:bCs/>
          <w:color w:val="000000" w:themeColor="text1"/>
          <w:spacing w:val="6"/>
          <w:sz w:val="20"/>
          <w:szCs w:val="20"/>
          <w:lang w:val="fr-FR"/>
        </w:rPr>
        <w:t>suivants :</w:t>
      </w:r>
    </w:p>
    <w:p w14:paraId="41441C6F" w14:textId="15C73B56" w:rsidR="00320B15" w:rsidRPr="008474A2" w:rsidRDefault="007731A0" w:rsidP="00320B15">
      <w:pPr>
        <w:pStyle w:val="NormalWeb"/>
        <w:rPr>
          <w:rFonts w:ascii="Verdana" w:hAnsi="Verdana"/>
          <w:sz w:val="20"/>
          <w:szCs w:val="20"/>
        </w:rPr>
      </w:pPr>
      <w:r w:rsidRPr="008474A2">
        <w:rPr>
          <w:rFonts w:ascii="Verdana" w:hAnsi="Verdana" w:cs="Arial"/>
          <w:b/>
          <w:bCs/>
          <w:sz w:val="20"/>
          <w:szCs w:val="20"/>
        </w:rPr>
        <w:t>Objectifs</w:t>
      </w:r>
      <w:r w:rsidR="00320B15" w:rsidRPr="008474A2">
        <w:rPr>
          <w:rFonts w:ascii="Verdana" w:hAnsi="Verdana" w:cs="Arial"/>
          <w:b/>
          <w:bCs/>
          <w:sz w:val="20"/>
          <w:szCs w:val="20"/>
        </w:rPr>
        <w:t xml:space="preserve"> : </w:t>
      </w:r>
    </w:p>
    <w:p w14:paraId="70EA0BA0" w14:textId="77777777" w:rsidR="00B84759" w:rsidRPr="008474A2" w:rsidRDefault="00320B15" w:rsidP="00B84759">
      <w:pPr>
        <w:pStyle w:val="Paragraphedeliste"/>
        <w:numPr>
          <w:ilvl w:val="0"/>
          <w:numId w:val="9"/>
        </w:numPr>
        <w:jc w:val="both"/>
        <w:rPr>
          <w:rFonts w:ascii="Verdana" w:hAnsi="Verdana" w:cs="Arial"/>
          <w:bCs/>
          <w:color w:val="000000" w:themeColor="text1"/>
          <w:spacing w:val="6"/>
          <w:sz w:val="20"/>
          <w:szCs w:val="20"/>
          <w:lang w:val="fr-FR"/>
        </w:rPr>
      </w:pPr>
      <w:r w:rsidRPr="008474A2">
        <w:rPr>
          <w:rFonts w:ascii="Verdana" w:hAnsi="Verdana" w:cs="Arial"/>
          <w:bCs/>
          <w:color w:val="000000" w:themeColor="text1"/>
          <w:spacing w:val="6"/>
          <w:sz w:val="20"/>
          <w:szCs w:val="20"/>
          <w:lang w:val="fr-FR"/>
        </w:rPr>
        <w:t xml:space="preserve">Fixer des principes communs d’une réglementation SPS entre les quatre pays pour favoriser les échanges dans le cadre des filières ‘maïs’ et ‘volailles’ ; </w:t>
      </w:r>
    </w:p>
    <w:p w14:paraId="4F2447E7" w14:textId="6A860ED4" w:rsidR="00B84759" w:rsidRPr="008474A2" w:rsidRDefault="00B84759" w:rsidP="00B84759">
      <w:pPr>
        <w:pStyle w:val="Paragraphedeliste"/>
        <w:numPr>
          <w:ilvl w:val="0"/>
          <w:numId w:val="9"/>
        </w:numPr>
        <w:jc w:val="both"/>
        <w:rPr>
          <w:rFonts w:ascii="Verdana" w:hAnsi="Verdana" w:cs="Arial"/>
          <w:bCs/>
          <w:color w:val="000000" w:themeColor="text1"/>
          <w:spacing w:val="6"/>
          <w:sz w:val="20"/>
          <w:szCs w:val="20"/>
          <w:lang w:val="fr-FR"/>
        </w:rPr>
      </w:pPr>
      <w:r w:rsidRPr="008474A2">
        <w:rPr>
          <w:rFonts w:ascii="Verdana" w:hAnsi="Verdana" w:cs="Arial"/>
          <w:bCs/>
          <w:color w:val="000000" w:themeColor="text1"/>
          <w:spacing w:val="6"/>
          <w:sz w:val="20"/>
          <w:szCs w:val="20"/>
          <w:lang w:val="fr-FR"/>
        </w:rPr>
        <w:t>Déterminer</w:t>
      </w:r>
      <w:r w:rsidR="00320B15" w:rsidRPr="008474A2">
        <w:rPr>
          <w:rFonts w:ascii="Verdana" w:hAnsi="Verdana" w:cs="Arial"/>
          <w:bCs/>
          <w:color w:val="000000" w:themeColor="text1"/>
          <w:spacing w:val="6"/>
          <w:sz w:val="20"/>
          <w:szCs w:val="20"/>
          <w:lang w:val="fr-FR"/>
        </w:rPr>
        <w:t xml:space="preserve"> les risques, moyens de mai</w:t>
      </w:r>
      <w:r w:rsidR="00320B15" w:rsidRPr="008474A2">
        <w:rPr>
          <w:rFonts w:ascii="Arial" w:hAnsi="Arial" w:cs="Arial"/>
          <w:bCs/>
          <w:color w:val="000000" w:themeColor="text1"/>
          <w:spacing w:val="6"/>
          <w:sz w:val="20"/>
          <w:szCs w:val="20"/>
          <w:lang w:val="fr-FR"/>
        </w:rPr>
        <w:t>̂</w:t>
      </w:r>
      <w:r w:rsidR="00320B15" w:rsidRPr="008474A2">
        <w:rPr>
          <w:rFonts w:ascii="Verdana" w:hAnsi="Verdana" w:cs="Arial"/>
          <w:bCs/>
          <w:color w:val="000000" w:themeColor="text1"/>
          <w:spacing w:val="6"/>
          <w:sz w:val="20"/>
          <w:szCs w:val="20"/>
          <w:lang w:val="fr-FR"/>
        </w:rPr>
        <w:t>trise à mettre en œuvre par les opérateurs dans les filières, et méthodes de surveillance et de contro</w:t>
      </w:r>
      <w:r w:rsidR="00320B15" w:rsidRPr="008474A2">
        <w:rPr>
          <w:rFonts w:ascii="Arial" w:hAnsi="Arial" w:cs="Arial"/>
          <w:bCs/>
          <w:color w:val="000000" w:themeColor="text1"/>
          <w:spacing w:val="6"/>
          <w:sz w:val="20"/>
          <w:szCs w:val="20"/>
          <w:lang w:val="fr-FR"/>
        </w:rPr>
        <w:t>̂</w:t>
      </w:r>
      <w:r w:rsidR="00320B15" w:rsidRPr="008474A2">
        <w:rPr>
          <w:rFonts w:ascii="Verdana" w:hAnsi="Verdana" w:cs="Arial"/>
          <w:bCs/>
          <w:color w:val="000000" w:themeColor="text1"/>
          <w:spacing w:val="6"/>
          <w:sz w:val="20"/>
          <w:szCs w:val="20"/>
          <w:lang w:val="fr-FR"/>
        </w:rPr>
        <w:t xml:space="preserve">le à mettre en œuvre par les autorités compétentes ; </w:t>
      </w:r>
    </w:p>
    <w:p w14:paraId="7F037E00" w14:textId="27CF83AD" w:rsidR="00320B15" w:rsidRPr="008474A2" w:rsidRDefault="00320B15" w:rsidP="00B84759">
      <w:pPr>
        <w:pStyle w:val="Paragraphedeliste"/>
        <w:numPr>
          <w:ilvl w:val="0"/>
          <w:numId w:val="9"/>
        </w:numPr>
        <w:jc w:val="both"/>
        <w:rPr>
          <w:rFonts w:ascii="Verdana" w:hAnsi="Verdana" w:cs="Arial"/>
          <w:bCs/>
          <w:color w:val="000000" w:themeColor="text1"/>
          <w:spacing w:val="6"/>
          <w:sz w:val="20"/>
          <w:szCs w:val="20"/>
          <w:lang w:val="fr-FR"/>
        </w:rPr>
      </w:pPr>
      <w:r w:rsidRPr="008474A2">
        <w:rPr>
          <w:rFonts w:ascii="Verdana" w:hAnsi="Verdana" w:cs="Arial"/>
          <w:bCs/>
          <w:color w:val="000000" w:themeColor="text1"/>
          <w:spacing w:val="6"/>
          <w:sz w:val="20"/>
          <w:szCs w:val="20"/>
          <w:lang w:val="fr-FR"/>
        </w:rPr>
        <w:t xml:space="preserve">En </w:t>
      </w:r>
      <w:r w:rsidR="00B84759" w:rsidRPr="008474A2">
        <w:rPr>
          <w:rFonts w:ascii="Verdana" w:hAnsi="Verdana" w:cs="Arial"/>
          <w:bCs/>
          <w:color w:val="000000" w:themeColor="text1"/>
          <w:spacing w:val="6"/>
          <w:sz w:val="20"/>
          <w:szCs w:val="20"/>
          <w:lang w:val="fr-FR"/>
        </w:rPr>
        <w:t>déduire</w:t>
      </w:r>
      <w:r w:rsidRPr="008474A2">
        <w:rPr>
          <w:rFonts w:ascii="Verdana" w:hAnsi="Verdana" w:cs="Arial"/>
          <w:bCs/>
          <w:color w:val="000000" w:themeColor="text1"/>
          <w:spacing w:val="6"/>
          <w:sz w:val="20"/>
          <w:szCs w:val="20"/>
          <w:lang w:val="fr-FR"/>
        </w:rPr>
        <w:t xml:space="preserve"> une </w:t>
      </w:r>
      <w:r w:rsidR="00B84759" w:rsidRPr="008474A2">
        <w:rPr>
          <w:rFonts w:ascii="Verdana" w:hAnsi="Verdana" w:cs="Arial"/>
          <w:bCs/>
          <w:color w:val="000000" w:themeColor="text1"/>
          <w:spacing w:val="6"/>
          <w:sz w:val="20"/>
          <w:szCs w:val="20"/>
          <w:lang w:val="fr-FR"/>
        </w:rPr>
        <w:t>stratégie</w:t>
      </w:r>
      <w:r w:rsidRPr="008474A2">
        <w:rPr>
          <w:rFonts w:ascii="Verdana" w:hAnsi="Verdana" w:cs="Arial"/>
          <w:bCs/>
          <w:color w:val="000000" w:themeColor="text1"/>
          <w:spacing w:val="6"/>
          <w:sz w:val="20"/>
          <w:szCs w:val="20"/>
          <w:lang w:val="fr-FR"/>
        </w:rPr>
        <w:t xml:space="preserve"> de renforcement et un plan d’action définissant une série d’activités à court terme (formations à réaliser dans le cadre de l’AT SANOI sur 2024-2025), moyen et long terme, portant notamment sur le renforcement des moyens des autorités en matière de : (i) vulgarisation de bonnes pratiques auprès des opérateurs (préparation de guides et autres matériels pédagogiques et organisation de formations pour les opérateurs à partir de ces outils pédagogiques) ; (ii) formation à la préparation et mise en œuvre de plans de surveillance et de plans de contrôle ; (iii) actions de conseil et formation visant au renforcement des capacités de contrôle [1- édification réglementaire, 2- organisation des contrôles officiels, 3- formation aux méthodes d’échantillonnage et d’inspection basée sur l’analyse des risques]. </w:t>
      </w:r>
    </w:p>
    <w:p w14:paraId="13141DC1" w14:textId="4A77A552" w:rsidR="00320B15" w:rsidRPr="008474A2" w:rsidRDefault="007731A0" w:rsidP="00320B15">
      <w:pPr>
        <w:pStyle w:val="NormalWeb"/>
        <w:rPr>
          <w:rFonts w:ascii="Verdana" w:hAnsi="Verdana"/>
          <w:sz w:val="20"/>
          <w:szCs w:val="20"/>
        </w:rPr>
      </w:pPr>
      <w:r w:rsidRPr="008474A2">
        <w:rPr>
          <w:rFonts w:ascii="Verdana" w:hAnsi="Verdana" w:cs="Arial"/>
          <w:b/>
          <w:bCs/>
          <w:sz w:val="20"/>
          <w:szCs w:val="20"/>
        </w:rPr>
        <w:t>Résultats atttendus</w:t>
      </w:r>
      <w:r w:rsidR="00320B15" w:rsidRPr="008474A2">
        <w:rPr>
          <w:rFonts w:ascii="Verdana" w:hAnsi="Verdana" w:cs="Arial"/>
          <w:b/>
          <w:bCs/>
          <w:sz w:val="20"/>
          <w:szCs w:val="20"/>
        </w:rPr>
        <w:t xml:space="preserve">: </w:t>
      </w:r>
    </w:p>
    <w:p w14:paraId="74813F5B" w14:textId="3755904B" w:rsidR="00320B15" w:rsidRPr="008474A2" w:rsidRDefault="00320B15" w:rsidP="00B84759">
      <w:pPr>
        <w:pStyle w:val="Paragraphedeliste"/>
        <w:numPr>
          <w:ilvl w:val="0"/>
          <w:numId w:val="9"/>
        </w:numPr>
        <w:jc w:val="both"/>
        <w:rPr>
          <w:rFonts w:ascii="Verdana" w:hAnsi="Verdana" w:cs="Arial"/>
          <w:bCs/>
          <w:color w:val="000000" w:themeColor="text1"/>
          <w:spacing w:val="6"/>
          <w:sz w:val="20"/>
          <w:szCs w:val="20"/>
          <w:lang w:val="fr-FR"/>
        </w:rPr>
      </w:pPr>
      <w:r w:rsidRPr="008474A2">
        <w:rPr>
          <w:rFonts w:ascii="Verdana" w:hAnsi="Verdana"/>
          <w:sz w:val="20"/>
          <w:szCs w:val="20"/>
        </w:rPr>
        <w:t>L</w:t>
      </w:r>
      <w:r w:rsidRPr="008474A2">
        <w:rPr>
          <w:rFonts w:ascii="Verdana" w:hAnsi="Verdana" w:cs="Arial"/>
          <w:bCs/>
          <w:color w:val="000000" w:themeColor="text1"/>
          <w:spacing w:val="6"/>
          <w:sz w:val="20"/>
          <w:szCs w:val="20"/>
          <w:lang w:val="fr-FR"/>
        </w:rPr>
        <w:t xml:space="preserve">es recommandations des experts nationaux sur les axes stratégiques à suivre pour faciliter la mise en place d’un contexte réglementaire et de dispositifs de promotion de bonnes pratiques, surveillance et de contrôles sanitaires et phytosanitaires susceptibles de faciliter l’émergence de filières régionales dans </w:t>
      </w:r>
      <w:r w:rsidRPr="008474A2">
        <w:rPr>
          <w:rFonts w:ascii="Verdana" w:hAnsi="Verdana" w:cs="Arial"/>
          <w:bCs/>
          <w:color w:val="000000" w:themeColor="text1"/>
          <w:spacing w:val="6"/>
          <w:sz w:val="20"/>
          <w:szCs w:val="20"/>
          <w:lang w:val="fr-FR"/>
        </w:rPr>
        <w:lastRenderedPageBreak/>
        <w:t xml:space="preserve">lesquelles les risques sont maîtrisés ; ainsi qu’une répartition des </w:t>
      </w:r>
      <w:r w:rsidR="0035410D" w:rsidRPr="008474A2">
        <w:rPr>
          <w:rFonts w:ascii="Verdana" w:hAnsi="Verdana" w:cs="Arial"/>
          <w:bCs/>
          <w:color w:val="000000" w:themeColor="text1"/>
          <w:spacing w:val="6"/>
          <w:sz w:val="20"/>
          <w:szCs w:val="20"/>
          <w:lang w:val="fr-FR"/>
        </w:rPr>
        <w:t>responsabilités</w:t>
      </w:r>
      <w:r w:rsidRPr="008474A2">
        <w:rPr>
          <w:rFonts w:ascii="Verdana" w:hAnsi="Verdana" w:cs="Arial"/>
          <w:bCs/>
          <w:color w:val="000000" w:themeColor="text1"/>
          <w:spacing w:val="6"/>
          <w:sz w:val="20"/>
          <w:szCs w:val="20"/>
          <w:lang w:val="fr-FR"/>
        </w:rPr>
        <w:t xml:space="preserve"> entre parties prenantes. </w:t>
      </w:r>
    </w:p>
    <w:p w14:paraId="3F03C707" w14:textId="77777777" w:rsidR="007731A0" w:rsidRPr="008474A2" w:rsidRDefault="00320B15" w:rsidP="00B84759">
      <w:pPr>
        <w:pStyle w:val="Paragraphedeliste"/>
        <w:numPr>
          <w:ilvl w:val="0"/>
          <w:numId w:val="9"/>
        </w:numPr>
        <w:jc w:val="both"/>
        <w:rPr>
          <w:rFonts w:ascii="Verdana" w:hAnsi="Verdana" w:cs="Arial"/>
          <w:bCs/>
          <w:color w:val="000000" w:themeColor="text1"/>
          <w:spacing w:val="6"/>
          <w:sz w:val="20"/>
          <w:szCs w:val="20"/>
          <w:lang w:val="fr-FR"/>
        </w:rPr>
      </w:pPr>
      <w:r w:rsidRPr="008474A2">
        <w:rPr>
          <w:rFonts w:ascii="Verdana" w:hAnsi="Verdana" w:cs="Arial"/>
          <w:bCs/>
          <w:color w:val="000000" w:themeColor="text1"/>
          <w:spacing w:val="6"/>
          <w:sz w:val="20"/>
          <w:szCs w:val="20"/>
          <w:lang w:val="fr-FR"/>
        </w:rPr>
        <w:t>Un plan d’action à long terme pour le renforcement des capacités des états de la COI dans la mai</w:t>
      </w:r>
      <w:r w:rsidRPr="008474A2">
        <w:rPr>
          <w:rFonts w:ascii="Arial" w:hAnsi="Arial" w:cs="Arial"/>
          <w:bCs/>
          <w:color w:val="000000" w:themeColor="text1"/>
          <w:spacing w:val="6"/>
          <w:sz w:val="20"/>
          <w:szCs w:val="20"/>
          <w:lang w:val="fr-FR"/>
        </w:rPr>
        <w:t>̂</w:t>
      </w:r>
      <w:r w:rsidRPr="008474A2">
        <w:rPr>
          <w:rFonts w:ascii="Verdana" w:hAnsi="Verdana" w:cs="Arial"/>
          <w:bCs/>
          <w:color w:val="000000" w:themeColor="text1"/>
          <w:spacing w:val="6"/>
          <w:sz w:val="20"/>
          <w:szCs w:val="20"/>
          <w:lang w:val="fr-FR"/>
        </w:rPr>
        <w:t>trise des risques sanitaires et phytosanitaires pour la filière mai</w:t>
      </w:r>
      <w:r w:rsidRPr="008474A2">
        <w:rPr>
          <w:rFonts w:ascii="Arial" w:hAnsi="Arial" w:cs="Arial"/>
          <w:bCs/>
          <w:color w:val="000000" w:themeColor="text1"/>
          <w:spacing w:val="6"/>
          <w:sz w:val="20"/>
          <w:szCs w:val="20"/>
          <w:lang w:val="fr-FR"/>
        </w:rPr>
        <w:t>̈</w:t>
      </w:r>
      <w:r w:rsidRPr="008474A2">
        <w:rPr>
          <w:rFonts w:ascii="Verdana" w:hAnsi="Verdana" w:cs="Arial"/>
          <w:bCs/>
          <w:color w:val="000000" w:themeColor="text1"/>
          <w:spacing w:val="6"/>
          <w:sz w:val="20"/>
          <w:szCs w:val="20"/>
          <w:lang w:val="fr-FR"/>
        </w:rPr>
        <w:t xml:space="preserve">s. </w:t>
      </w:r>
    </w:p>
    <w:p w14:paraId="6AC1DBF5" w14:textId="6ABBD730" w:rsidR="007731A0" w:rsidRPr="008474A2" w:rsidRDefault="00320B15" w:rsidP="00B84759">
      <w:pPr>
        <w:pStyle w:val="Paragraphedeliste"/>
        <w:numPr>
          <w:ilvl w:val="0"/>
          <w:numId w:val="9"/>
        </w:numPr>
        <w:jc w:val="both"/>
        <w:rPr>
          <w:rFonts w:ascii="Verdana" w:hAnsi="Verdana" w:cs="Arial"/>
          <w:bCs/>
          <w:color w:val="000000" w:themeColor="text1"/>
          <w:spacing w:val="6"/>
          <w:sz w:val="20"/>
          <w:szCs w:val="20"/>
          <w:lang w:val="fr-FR"/>
        </w:rPr>
      </w:pPr>
      <w:r w:rsidRPr="008474A2">
        <w:rPr>
          <w:rFonts w:ascii="Verdana" w:hAnsi="Verdana" w:cs="Arial"/>
          <w:bCs/>
          <w:color w:val="000000" w:themeColor="text1"/>
          <w:spacing w:val="6"/>
          <w:sz w:val="20"/>
          <w:szCs w:val="20"/>
          <w:lang w:val="fr-FR"/>
        </w:rPr>
        <w:t>Un plan d’action à long terme pour le renforcement des capacités des états de la COI dans la mai</w:t>
      </w:r>
      <w:r w:rsidRPr="008474A2">
        <w:rPr>
          <w:rFonts w:ascii="Arial" w:hAnsi="Arial" w:cs="Arial"/>
          <w:bCs/>
          <w:color w:val="000000" w:themeColor="text1"/>
          <w:spacing w:val="6"/>
          <w:sz w:val="20"/>
          <w:szCs w:val="20"/>
          <w:lang w:val="fr-FR"/>
        </w:rPr>
        <w:t>̂</w:t>
      </w:r>
      <w:r w:rsidRPr="008474A2">
        <w:rPr>
          <w:rFonts w:ascii="Verdana" w:hAnsi="Verdana" w:cs="Arial"/>
          <w:bCs/>
          <w:color w:val="000000" w:themeColor="text1"/>
          <w:spacing w:val="6"/>
          <w:sz w:val="20"/>
          <w:szCs w:val="20"/>
          <w:lang w:val="fr-FR"/>
        </w:rPr>
        <w:t xml:space="preserve">trise des risques sanitaires pour la filière volailles, notamment en ce qui concerne le renforcement des capacités de </w:t>
      </w:r>
      <w:r w:rsidR="008474A2" w:rsidRPr="008474A2">
        <w:rPr>
          <w:rFonts w:ascii="Verdana" w:hAnsi="Verdana" w:cs="Arial"/>
          <w:bCs/>
          <w:color w:val="000000" w:themeColor="text1"/>
          <w:spacing w:val="6"/>
          <w:sz w:val="20"/>
          <w:szCs w:val="20"/>
          <w:lang w:val="fr-FR"/>
        </w:rPr>
        <w:t>mai</w:t>
      </w:r>
      <w:r w:rsidR="008474A2" w:rsidRPr="008474A2">
        <w:rPr>
          <w:rFonts w:ascii="Arial" w:hAnsi="Arial" w:cs="Arial"/>
          <w:bCs/>
          <w:color w:val="000000" w:themeColor="text1"/>
          <w:spacing w:val="6"/>
          <w:sz w:val="20"/>
          <w:szCs w:val="20"/>
          <w:lang w:val="fr-FR"/>
        </w:rPr>
        <w:t>t</w:t>
      </w:r>
      <w:r w:rsidR="008474A2" w:rsidRPr="008474A2">
        <w:rPr>
          <w:rFonts w:ascii="Verdana" w:hAnsi="Verdana" w:cs="Arial"/>
          <w:bCs/>
          <w:color w:val="000000" w:themeColor="text1"/>
          <w:spacing w:val="6"/>
          <w:sz w:val="20"/>
          <w:szCs w:val="20"/>
          <w:lang w:val="fr-FR"/>
        </w:rPr>
        <w:t>rise</w:t>
      </w:r>
      <w:r w:rsidRPr="008474A2">
        <w:rPr>
          <w:rFonts w:ascii="Verdana" w:hAnsi="Verdana" w:cs="Arial"/>
          <w:bCs/>
          <w:color w:val="000000" w:themeColor="text1"/>
          <w:spacing w:val="6"/>
          <w:sz w:val="20"/>
          <w:szCs w:val="20"/>
          <w:lang w:val="fr-FR"/>
        </w:rPr>
        <w:t xml:space="preserve"> des risques </w:t>
      </w:r>
      <w:r w:rsidR="008474A2" w:rsidRPr="008474A2">
        <w:rPr>
          <w:rFonts w:ascii="Verdana" w:hAnsi="Verdana" w:cs="Arial"/>
          <w:bCs/>
          <w:color w:val="000000" w:themeColor="text1"/>
          <w:spacing w:val="6"/>
          <w:sz w:val="20"/>
          <w:szCs w:val="20"/>
          <w:lang w:val="fr-FR"/>
        </w:rPr>
        <w:t>sur le</w:t>
      </w:r>
      <w:r w:rsidRPr="008474A2">
        <w:rPr>
          <w:rFonts w:ascii="Verdana" w:hAnsi="Verdana" w:cs="Arial"/>
          <w:bCs/>
          <w:color w:val="000000" w:themeColor="text1"/>
          <w:spacing w:val="6"/>
          <w:sz w:val="20"/>
          <w:szCs w:val="20"/>
          <w:lang w:val="fr-FR"/>
        </w:rPr>
        <w:t xml:space="preserve"> plan national comme point de départ à la mise en œuvre de </w:t>
      </w:r>
      <w:r w:rsidR="0035410D" w:rsidRPr="008474A2">
        <w:rPr>
          <w:rFonts w:ascii="Verdana" w:hAnsi="Verdana" w:cs="Arial"/>
          <w:bCs/>
          <w:color w:val="000000" w:themeColor="text1"/>
          <w:spacing w:val="6"/>
          <w:sz w:val="20"/>
          <w:szCs w:val="20"/>
          <w:lang w:val="fr-FR"/>
        </w:rPr>
        <w:t>coopération</w:t>
      </w:r>
      <w:r w:rsidRPr="008474A2">
        <w:rPr>
          <w:rFonts w:ascii="Verdana" w:hAnsi="Verdana" w:cs="Arial"/>
          <w:bCs/>
          <w:color w:val="000000" w:themeColor="text1"/>
          <w:spacing w:val="6"/>
          <w:sz w:val="20"/>
          <w:szCs w:val="20"/>
          <w:lang w:val="fr-FR"/>
        </w:rPr>
        <w:t xml:space="preserve"> </w:t>
      </w:r>
      <w:r w:rsidR="0035410D" w:rsidRPr="008474A2">
        <w:rPr>
          <w:rFonts w:ascii="Verdana" w:hAnsi="Verdana" w:cs="Arial"/>
          <w:bCs/>
          <w:color w:val="000000" w:themeColor="text1"/>
          <w:spacing w:val="6"/>
          <w:sz w:val="20"/>
          <w:szCs w:val="20"/>
          <w:lang w:val="fr-FR"/>
        </w:rPr>
        <w:t>régionale</w:t>
      </w:r>
      <w:r w:rsidRPr="008474A2">
        <w:rPr>
          <w:rFonts w:ascii="Verdana" w:hAnsi="Verdana" w:cs="Arial"/>
          <w:bCs/>
          <w:color w:val="000000" w:themeColor="text1"/>
          <w:spacing w:val="6"/>
          <w:sz w:val="20"/>
          <w:szCs w:val="20"/>
          <w:lang w:val="fr-FR"/>
        </w:rPr>
        <w:t xml:space="preserve"> entre parties prenantes. </w:t>
      </w:r>
    </w:p>
    <w:p w14:paraId="18BA0130" w14:textId="11FE7163" w:rsidR="00320B15" w:rsidRPr="008474A2" w:rsidRDefault="00320B15" w:rsidP="00B84759">
      <w:pPr>
        <w:pStyle w:val="Paragraphedeliste"/>
        <w:numPr>
          <w:ilvl w:val="0"/>
          <w:numId w:val="9"/>
        </w:numPr>
        <w:jc w:val="both"/>
        <w:rPr>
          <w:rFonts w:ascii="Verdana" w:hAnsi="Verdana" w:cs="Arial"/>
          <w:bCs/>
          <w:color w:val="000000" w:themeColor="text1"/>
          <w:spacing w:val="6"/>
          <w:sz w:val="20"/>
          <w:szCs w:val="20"/>
          <w:lang w:val="fr-FR"/>
        </w:rPr>
      </w:pPr>
      <w:r w:rsidRPr="008474A2">
        <w:rPr>
          <w:rFonts w:ascii="Verdana" w:hAnsi="Verdana" w:cs="Arial"/>
          <w:bCs/>
          <w:color w:val="000000" w:themeColor="text1"/>
          <w:spacing w:val="6"/>
          <w:sz w:val="20"/>
          <w:szCs w:val="20"/>
          <w:lang w:val="fr-FR"/>
        </w:rPr>
        <w:t xml:space="preserve">Un mécanisme de coordination renforcée entre l’AT SANOI et le projet de Jumelage France-Italie-Madagascar, permettant notamment au projet de jumelage de relayer en partie certaines actions du plan d’actions régionale au niveau national à Madagascar, et à l’AT SANOI d’apporter un soutien technique (formation régionales et appui national) aux activités du projet de Jumelage. </w:t>
      </w:r>
    </w:p>
    <w:p w14:paraId="7CFC170D" w14:textId="77777777" w:rsidR="00B84759" w:rsidRPr="00B84759" w:rsidRDefault="00B84759" w:rsidP="00B84759">
      <w:pPr>
        <w:pStyle w:val="Paragraphedeliste"/>
        <w:jc w:val="both"/>
        <w:rPr>
          <w:rFonts w:ascii="Verdana" w:hAnsi="Verdana" w:cs="Arial"/>
          <w:bCs/>
          <w:color w:val="000000" w:themeColor="text1"/>
          <w:spacing w:val="6"/>
          <w:sz w:val="22"/>
          <w:szCs w:val="22"/>
          <w:lang w:val="fr-FR"/>
        </w:rPr>
      </w:pPr>
    </w:p>
    <w:p w14:paraId="2A0BE7DD" w14:textId="6409BCA9" w:rsidR="00B84759" w:rsidRPr="007731A0" w:rsidRDefault="001C4CE0" w:rsidP="0035410D">
      <w:pPr>
        <w:pStyle w:val="Titrepartie"/>
      </w:pPr>
      <w:r w:rsidRPr="007731A0">
        <w:t>Défis et perspectives :</w:t>
      </w:r>
      <w:r w:rsidR="00B84759" w:rsidRPr="00B84759">
        <w:t xml:space="preserve"> </w:t>
      </w:r>
      <w:r w:rsidR="00B84759" w:rsidRPr="007731A0">
        <w:t xml:space="preserve">extension de </w:t>
      </w:r>
      <w:r w:rsidR="001D2353">
        <w:t xml:space="preserve">la </w:t>
      </w:r>
      <w:r w:rsidR="00B84759" w:rsidRPr="007731A0">
        <w:t>période de mise en œuvre du PRESAN</w:t>
      </w:r>
      <w:r w:rsidR="001D2353">
        <w:t xml:space="preserve"> et p</w:t>
      </w:r>
      <w:r w:rsidR="001D2353" w:rsidRPr="007731A0">
        <w:t>érennisation de l’URSAN</w:t>
      </w:r>
      <w:r w:rsidR="001D2353">
        <w:t>.</w:t>
      </w:r>
    </w:p>
    <w:p w14:paraId="70B3FB34" w14:textId="47398458" w:rsidR="00B84759" w:rsidRPr="008474A2" w:rsidRDefault="000C31D5" w:rsidP="00A85A44">
      <w:pPr>
        <w:jc w:val="both"/>
        <w:rPr>
          <w:rFonts w:ascii="Verdana" w:hAnsi="Verdana"/>
          <w:iCs/>
          <w:sz w:val="20"/>
          <w:szCs w:val="20"/>
        </w:rPr>
      </w:pPr>
      <w:r w:rsidRPr="008474A2">
        <w:rPr>
          <w:rFonts w:ascii="Verdana" w:hAnsi="Verdana"/>
          <w:iCs/>
          <w:sz w:val="20"/>
          <w:szCs w:val="20"/>
        </w:rPr>
        <w:t>Le fonctionnement de l’URSAN depuis sa mise en place, y compris le salaire du coordonnateur, a été pris en charge par le financement du don FIDA dont la période de mise en œuvre a pris fin le 30 Septembre 2021. Le bureau de l’URSAN à Antananarivo est fermé depuis cette date.</w:t>
      </w:r>
    </w:p>
    <w:p w14:paraId="77D6513B" w14:textId="43B8DA8C" w:rsidR="00A85A44" w:rsidRPr="008474A2" w:rsidRDefault="00A85A44" w:rsidP="00A85A44">
      <w:pPr>
        <w:jc w:val="both"/>
        <w:rPr>
          <w:rFonts w:ascii="Verdana" w:hAnsi="Verdana"/>
          <w:iCs/>
          <w:sz w:val="20"/>
          <w:szCs w:val="20"/>
        </w:rPr>
      </w:pPr>
      <w:r w:rsidRPr="008474A2">
        <w:rPr>
          <w:rFonts w:ascii="Verdana" w:hAnsi="Verdana"/>
          <w:iCs/>
          <w:sz w:val="20"/>
          <w:szCs w:val="20"/>
        </w:rPr>
        <w:t>En ce qui concerne le PRESAN, la decision f) du conseil extraordinaire du 26 novembre 2021 a approuvé la prolongation de la période de mise en œuvre du document de formulation du PRESAN pour une période de cinq ans (2016-2025).</w:t>
      </w:r>
    </w:p>
    <w:p w14:paraId="6C7C07AA" w14:textId="4A0E8DC6" w:rsidR="00A85A44" w:rsidRPr="008474A2" w:rsidRDefault="00A85A44" w:rsidP="00A85A44">
      <w:pPr>
        <w:jc w:val="both"/>
        <w:rPr>
          <w:rFonts w:ascii="Verdana" w:hAnsi="Verdana"/>
          <w:iCs/>
          <w:sz w:val="20"/>
          <w:szCs w:val="20"/>
        </w:rPr>
      </w:pPr>
      <w:r w:rsidRPr="008474A2">
        <w:rPr>
          <w:rFonts w:ascii="Verdana" w:hAnsi="Verdana"/>
          <w:iCs/>
          <w:sz w:val="20"/>
          <w:szCs w:val="20"/>
        </w:rPr>
        <w:t>Il est ainsi n</w:t>
      </w:r>
      <w:r w:rsidR="00B84759" w:rsidRPr="008474A2">
        <w:rPr>
          <w:rFonts w:ascii="Verdana" w:hAnsi="Verdana"/>
          <w:iCs/>
          <w:sz w:val="20"/>
          <w:szCs w:val="20"/>
        </w:rPr>
        <w:t>é</w:t>
      </w:r>
      <w:r w:rsidRPr="008474A2">
        <w:rPr>
          <w:rFonts w:ascii="Verdana" w:hAnsi="Verdana"/>
          <w:iCs/>
          <w:sz w:val="20"/>
          <w:szCs w:val="20"/>
        </w:rPr>
        <w:t xml:space="preserve">cessaire de mener une réflexion en vue d’une extension de la période de la mise en œuvre du PRESAN au-delà de 2025 tout en </w:t>
      </w:r>
      <w:r w:rsidR="00BC13D1" w:rsidRPr="008474A2">
        <w:rPr>
          <w:rFonts w:ascii="Verdana" w:hAnsi="Verdana"/>
          <w:iCs/>
          <w:sz w:val="20"/>
          <w:szCs w:val="20"/>
        </w:rPr>
        <w:t>intégrant les amendement nécessaires tenant compte de l’évolution de la situation dans la région depuis son adoption en 2016 et les réels besoins des États membres dans le domaine de la sécurité alimentaire et nutri</w:t>
      </w:r>
      <w:r w:rsidR="00B84759" w:rsidRPr="008474A2">
        <w:rPr>
          <w:rFonts w:ascii="Verdana" w:hAnsi="Verdana"/>
          <w:iCs/>
          <w:sz w:val="20"/>
          <w:szCs w:val="20"/>
        </w:rPr>
        <w:t>tio</w:t>
      </w:r>
      <w:r w:rsidR="00BC13D1" w:rsidRPr="008474A2">
        <w:rPr>
          <w:rFonts w:ascii="Verdana" w:hAnsi="Verdana"/>
          <w:iCs/>
          <w:sz w:val="20"/>
          <w:szCs w:val="20"/>
        </w:rPr>
        <w:t>nelle.</w:t>
      </w:r>
    </w:p>
    <w:p w14:paraId="799F882A" w14:textId="7F5B67E5" w:rsidR="000C31D5" w:rsidRPr="008474A2" w:rsidRDefault="00BC13D1" w:rsidP="00BC13D1">
      <w:pPr>
        <w:jc w:val="both"/>
        <w:rPr>
          <w:rFonts w:ascii="Verdana" w:hAnsi="Verdana"/>
          <w:iCs/>
          <w:sz w:val="20"/>
          <w:szCs w:val="20"/>
        </w:rPr>
      </w:pPr>
      <w:r w:rsidRPr="008474A2">
        <w:rPr>
          <w:rFonts w:ascii="Verdana" w:hAnsi="Verdana"/>
          <w:iCs/>
          <w:sz w:val="20"/>
          <w:szCs w:val="20"/>
        </w:rPr>
        <w:t xml:space="preserve">Cette réflexion doit émaner des États membres, lesquels décident en premier lieu des questions relatives à la souveraineté alimentaire. La COI reste en appui des initiatives nationales pour apporter une valeur ajoutée sur le plan régional. A ce titre, l’organisation d’une conférence ministérielle sur la sécurité alimentaire sera l’occasion d’échanger sur </w:t>
      </w:r>
      <w:bookmarkStart w:id="1" w:name="_Hlk74899934"/>
      <w:r w:rsidR="000C31D5" w:rsidRPr="008474A2">
        <w:rPr>
          <w:rFonts w:ascii="Verdana" w:hAnsi="Verdana"/>
          <w:iCs/>
          <w:sz w:val="20"/>
          <w:szCs w:val="20"/>
        </w:rPr>
        <w:t xml:space="preserve">le renforcement et la pérennisation de la structure mise en place dans le cadre de l’URSAN, la création d’un groupe de travail pour actualiser les termes de référence relatifs aux missions de l’URSAN et les options à retenir en vue de </w:t>
      </w:r>
      <w:r w:rsidR="003C1902" w:rsidRPr="008474A2">
        <w:rPr>
          <w:rFonts w:ascii="Verdana" w:hAnsi="Verdana"/>
          <w:iCs/>
          <w:sz w:val="20"/>
          <w:szCs w:val="20"/>
        </w:rPr>
        <w:t>s</w:t>
      </w:r>
      <w:r w:rsidR="000C31D5" w:rsidRPr="008474A2">
        <w:rPr>
          <w:rFonts w:ascii="Verdana" w:hAnsi="Verdana"/>
          <w:iCs/>
          <w:sz w:val="20"/>
          <w:szCs w:val="20"/>
        </w:rPr>
        <w:t>a pérennisation.</w:t>
      </w:r>
    </w:p>
    <w:bookmarkEnd w:id="1"/>
    <w:p w14:paraId="036B7B97" w14:textId="12B06AFD" w:rsidR="000C31D5" w:rsidRPr="008474A2" w:rsidRDefault="003C1902" w:rsidP="000C31D5">
      <w:pPr>
        <w:jc w:val="both"/>
        <w:rPr>
          <w:rFonts w:ascii="Verdana" w:hAnsi="Verdana"/>
          <w:iCs/>
          <w:sz w:val="20"/>
          <w:szCs w:val="20"/>
        </w:rPr>
      </w:pPr>
      <w:r w:rsidRPr="008474A2">
        <w:rPr>
          <w:rFonts w:ascii="Verdana" w:hAnsi="Verdana"/>
          <w:iCs/>
          <w:sz w:val="20"/>
          <w:szCs w:val="20"/>
        </w:rPr>
        <w:t xml:space="preserve">Cette conference sera egalement l’occasion de </w:t>
      </w:r>
      <w:r w:rsidR="007731A0" w:rsidRPr="008474A2">
        <w:rPr>
          <w:rFonts w:ascii="Verdana" w:hAnsi="Verdana"/>
          <w:iCs/>
          <w:sz w:val="20"/>
          <w:szCs w:val="20"/>
        </w:rPr>
        <w:t>m</w:t>
      </w:r>
      <w:r w:rsidR="000C31D5" w:rsidRPr="008474A2">
        <w:rPr>
          <w:rFonts w:ascii="Verdana" w:hAnsi="Verdana"/>
          <w:iCs/>
          <w:sz w:val="20"/>
          <w:szCs w:val="20"/>
        </w:rPr>
        <w:t>obilis</w:t>
      </w:r>
      <w:r w:rsidR="007731A0" w:rsidRPr="008474A2">
        <w:rPr>
          <w:rFonts w:ascii="Verdana" w:hAnsi="Verdana"/>
          <w:iCs/>
          <w:sz w:val="20"/>
          <w:szCs w:val="20"/>
        </w:rPr>
        <w:t>er davantage toutes les parties prenantes, en l’occurrence, l</w:t>
      </w:r>
      <w:r w:rsidR="000C31D5" w:rsidRPr="008474A2">
        <w:rPr>
          <w:rFonts w:ascii="Verdana" w:hAnsi="Verdana"/>
          <w:iCs/>
          <w:sz w:val="20"/>
          <w:szCs w:val="20"/>
        </w:rPr>
        <w:t>es partenaires technico-financiers</w:t>
      </w:r>
      <w:r w:rsidR="007731A0" w:rsidRPr="008474A2">
        <w:rPr>
          <w:rFonts w:ascii="Verdana" w:hAnsi="Verdana"/>
          <w:iCs/>
          <w:sz w:val="20"/>
          <w:szCs w:val="20"/>
        </w:rPr>
        <w:t xml:space="preserve"> et le secteur privé, </w:t>
      </w:r>
      <w:r w:rsidR="000C31D5" w:rsidRPr="008474A2">
        <w:rPr>
          <w:rFonts w:ascii="Verdana" w:hAnsi="Verdana"/>
          <w:iCs/>
          <w:sz w:val="20"/>
          <w:szCs w:val="20"/>
        </w:rPr>
        <w:t>en vue de l’indentification de nouveaux projets à mettre en œuvre dans le cadre d</w:t>
      </w:r>
      <w:r w:rsidR="007731A0" w:rsidRPr="008474A2">
        <w:rPr>
          <w:rFonts w:ascii="Verdana" w:hAnsi="Verdana"/>
          <w:iCs/>
          <w:sz w:val="20"/>
          <w:szCs w:val="20"/>
        </w:rPr>
        <w:t xml:space="preserve">’un mécanisme </w:t>
      </w:r>
      <w:r w:rsidR="000C31D5" w:rsidRPr="008474A2">
        <w:rPr>
          <w:rFonts w:ascii="Verdana" w:hAnsi="Verdana"/>
          <w:iCs/>
          <w:sz w:val="20"/>
          <w:szCs w:val="20"/>
        </w:rPr>
        <w:t>PRESAN</w:t>
      </w:r>
      <w:r w:rsidR="007731A0" w:rsidRPr="008474A2">
        <w:rPr>
          <w:rFonts w:ascii="Verdana" w:hAnsi="Verdana"/>
          <w:iCs/>
          <w:sz w:val="20"/>
          <w:szCs w:val="20"/>
        </w:rPr>
        <w:t xml:space="preserve"> post 2025.</w:t>
      </w:r>
    </w:p>
    <w:p w14:paraId="33C6D986" w14:textId="77777777" w:rsidR="00930B4E" w:rsidRPr="008474A2" w:rsidRDefault="00930B4E" w:rsidP="00930B4E">
      <w:pPr>
        <w:pStyle w:val="Paragraphe"/>
        <w:rPr>
          <w:sz w:val="18"/>
          <w:szCs w:val="18"/>
        </w:rPr>
      </w:pPr>
    </w:p>
    <w:p w14:paraId="6E93BCFF" w14:textId="77777777" w:rsidR="00930B4E" w:rsidRPr="0008468B" w:rsidRDefault="00930B4E" w:rsidP="00930B4E">
      <w:pPr>
        <w:pStyle w:val="Titrepartie"/>
      </w:pPr>
      <w:r w:rsidRPr="0008468B">
        <w:t>Rappel des décisions antérieures</w:t>
      </w:r>
    </w:p>
    <w:bookmarkEnd w:id="0"/>
    <w:p w14:paraId="37F5929C" w14:textId="63064B41" w:rsidR="00B84759" w:rsidRDefault="00930B4E" w:rsidP="00930B4E">
      <w:pPr>
        <w:pStyle w:val="Exergue"/>
        <w:rPr>
          <w:rFonts w:cs="Arial"/>
          <w:bCs w:val="0"/>
          <w:color w:val="000000" w:themeColor="text1"/>
          <w:spacing w:val="6"/>
        </w:rPr>
      </w:pPr>
      <w:r>
        <w:t>Cf.</w:t>
      </w:r>
      <w:r w:rsidRPr="00FE285D">
        <w:t xml:space="preserve"> </w:t>
      </w:r>
      <w:r w:rsidR="00C01218">
        <w:rPr>
          <w:rFonts w:cs="Arial"/>
          <w:bCs w:val="0"/>
          <w:color w:val="000000" w:themeColor="text1"/>
          <w:spacing w:val="6"/>
        </w:rPr>
        <w:t xml:space="preserve">Décision </w:t>
      </w:r>
      <w:r w:rsidR="00C01218" w:rsidRPr="00C01218">
        <w:rPr>
          <w:rFonts w:cs="Arial"/>
          <w:bCs w:val="0"/>
          <w:color w:val="000000" w:themeColor="text1"/>
          <w:spacing w:val="6"/>
        </w:rPr>
        <w:t>6 d)</w:t>
      </w:r>
      <w:r w:rsidR="00C01218">
        <w:rPr>
          <w:rFonts w:cs="Arial"/>
          <w:bCs w:val="0"/>
          <w:color w:val="000000" w:themeColor="text1"/>
          <w:spacing w:val="6"/>
        </w:rPr>
        <w:t xml:space="preserve"> ; e) ; f) </w:t>
      </w:r>
      <w:r w:rsidR="00C01218" w:rsidRPr="00C01218">
        <w:rPr>
          <w:rFonts w:cs="Arial"/>
          <w:bCs w:val="0"/>
          <w:color w:val="000000" w:themeColor="text1"/>
          <w:spacing w:val="6"/>
        </w:rPr>
        <w:t>de la se</w:t>
      </w:r>
      <w:r w:rsidR="00C01218">
        <w:rPr>
          <w:rFonts w:cs="Arial"/>
          <w:bCs w:val="0"/>
          <w:color w:val="000000" w:themeColor="text1"/>
          <w:spacing w:val="6"/>
        </w:rPr>
        <w:t xml:space="preserve">ssion extraordinaire du Conseil des ministres du 26 novembre 2021 </w:t>
      </w:r>
    </w:p>
    <w:p w14:paraId="27D348E4" w14:textId="77777777" w:rsidR="00B84759" w:rsidRDefault="00B84759" w:rsidP="00930B4E">
      <w:pPr>
        <w:pStyle w:val="Exergue"/>
        <w:rPr>
          <w:rFonts w:cs="Arial"/>
          <w:bCs w:val="0"/>
          <w:color w:val="000000" w:themeColor="text1"/>
          <w:spacing w:val="6"/>
        </w:rPr>
      </w:pPr>
    </w:p>
    <w:p w14:paraId="3382936E" w14:textId="77777777" w:rsidR="00930B4E" w:rsidRPr="0008468B" w:rsidRDefault="00930B4E" w:rsidP="00930B4E">
      <w:pPr>
        <w:pStyle w:val="Titrepartie"/>
      </w:pPr>
      <w:r w:rsidRPr="0008468B">
        <w:t>Annexes :</w:t>
      </w:r>
    </w:p>
    <w:p w14:paraId="335EAA12" w14:textId="117FA0EB" w:rsidR="00930B4E" w:rsidRDefault="00930B4E" w:rsidP="00930B4E">
      <w:pPr>
        <w:pStyle w:val="Paragraphe"/>
        <w:numPr>
          <w:ilvl w:val="0"/>
          <w:numId w:val="2"/>
        </w:numPr>
      </w:pPr>
      <w:r>
        <w:t xml:space="preserve">Annexe 1 : </w:t>
      </w:r>
      <w:r w:rsidR="00320B15">
        <w:t>Tableau de bord, semestre 2/ 2023, SANOI.</w:t>
      </w:r>
    </w:p>
    <w:p w14:paraId="57FDE934" w14:textId="77777777" w:rsidR="007D2AA9" w:rsidRDefault="007D2AA9"/>
    <w:sectPr w:rsidR="007D2AA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BBBAA" w14:textId="77777777" w:rsidR="008474A2" w:rsidRDefault="008474A2" w:rsidP="008474A2">
      <w:r>
        <w:separator/>
      </w:r>
    </w:p>
  </w:endnote>
  <w:endnote w:type="continuationSeparator" w:id="0">
    <w:p w14:paraId="46137D29" w14:textId="77777777" w:rsidR="008474A2" w:rsidRDefault="008474A2" w:rsidP="0084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778385"/>
      <w:docPartObj>
        <w:docPartGallery w:val="Page Numbers (Bottom of Page)"/>
        <w:docPartUnique/>
      </w:docPartObj>
    </w:sdtPr>
    <w:sdtContent>
      <w:p w14:paraId="231D1686" w14:textId="0AE5B725" w:rsidR="008474A2" w:rsidRDefault="008474A2" w:rsidP="008474A2">
        <w:pPr>
          <w:pStyle w:val="Pieddepage"/>
          <w:pBdr>
            <w:top w:val="single" w:sz="4" w:space="1" w:color="E97132" w:themeColor="accent2"/>
          </w:pBdr>
          <w:jc w:val="right"/>
        </w:pPr>
        <w:r>
          <w:fldChar w:fldCharType="begin"/>
        </w:r>
        <w:r>
          <w:instrText>PAGE   \* MERGEFORMAT</w:instrText>
        </w:r>
        <w:r>
          <w:fldChar w:fldCharType="separate"/>
        </w:r>
        <w:r>
          <w:rPr>
            <w:lang w:val="fr-FR"/>
          </w:rPr>
          <w:t>2</w:t>
        </w:r>
        <w:r>
          <w:fldChar w:fldCharType="end"/>
        </w:r>
      </w:p>
    </w:sdtContent>
  </w:sdt>
  <w:p w14:paraId="3762F76D" w14:textId="77777777" w:rsidR="008474A2" w:rsidRDefault="008474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138D8" w14:textId="77777777" w:rsidR="008474A2" w:rsidRDefault="008474A2" w:rsidP="008474A2">
      <w:r>
        <w:separator/>
      </w:r>
    </w:p>
  </w:footnote>
  <w:footnote w:type="continuationSeparator" w:id="0">
    <w:p w14:paraId="2C679A4A" w14:textId="77777777" w:rsidR="008474A2" w:rsidRDefault="008474A2" w:rsidP="00847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5BC44" w14:textId="325214C4" w:rsidR="008474A2" w:rsidRPr="008474A2" w:rsidRDefault="008474A2" w:rsidP="008474A2">
    <w:pPr>
      <w:pStyle w:val="En-tte"/>
      <w:pBdr>
        <w:bottom w:val="single" w:sz="4" w:space="1" w:color="0070C0"/>
      </w:pBdr>
      <w:rPr>
        <w:lang w:val="fr-FR"/>
      </w:rPr>
    </w:pPr>
    <w:r>
      <w:rPr>
        <w:noProof/>
      </w:rPr>
      <w:drawing>
        <wp:inline distT="0" distB="0" distL="0" distR="0" wp14:anchorId="7514E490" wp14:editId="5AC7D125">
          <wp:extent cx="1582352" cy="720000"/>
          <wp:effectExtent l="0" t="0" r="0" b="4445"/>
          <wp:docPr id="8729470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947042" name="Image 872947042"/>
                  <pic:cNvPicPr/>
                </pic:nvPicPr>
                <pic:blipFill>
                  <a:blip r:embed="rId1" cstate="screen">
                    <a:extLst>
                      <a:ext uri="{28A0092B-C50C-407E-A947-70E740481C1C}">
                        <a14:useLocalDpi xmlns:a14="http://schemas.microsoft.com/office/drawing/2010/main"/>
                      </a:ext>
                    </a:extLst>
                  </a:blip>
                  <a:stretch>
                    <a:fillRect/>
                  </a:stretch>
                </pic:blipFill>
                <pic:spPr>
                  <a:xfrm>
                    <a:off x="0" y="0"/>
                    <a:ext cx="1582352" cy="720000"/>
                  </a:xfrm>
                  <a:prstGeom prst="rect">
                    <a:avLst/>
                  </a:prstGeom>
                </pic:spPr>
              </pic:pic>
            </a:graphicData>
          </a:graphic>
        </wp:inline>
      </w:drawing>
    </w:r>
    <w:r>
      <w:rPr>
        <w:lang w:val="fr-FR"/>
      </w:rPr>
      <w:tab/>
    </w:r>
    <w:r>
      <w:rPr>
        <w:lang w:val="fr-FR"/>
      </w:rPr>
      <w:tab/>
      <w:t>Point 2.16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B93"/>
    <w:multiLevelType w:val="hybridMultilevel"/>
    <w:tmpl w:val="7AA462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82479"/>
    <w:multiLevelType w:val="hybridMultilevel"/>
    <w:tmpl w:val="E9AAD73A"/>
    <w:lvl w:ilvl="0" w:tplc="25324A96">
      <w:start w:val="18"/>
      <w:numFmt w:val="bullet"/>
      <w:lvlText w:val="-"/>
      <w:lvlJc w:val="left"/>
      <w:pPr>
        <w:ind w:left="364" w:hanging="360"/>
      </w:pPr>
      <w:rPr>
        <w:rFonts w:ascii="Times New Roman" w:eastAsia="Times New Roman" w:hAnsi="Times New Roman" w:cs="Times New Roman" w:hint="default"/>
      </w:rPr>
    </w:lvl>
    <w:lvl w:ilvl="1" w:tplc="20000003">
      <w:start w:val="1"/>
      <w:numFmt w:val="bullet"/>
      <w:lvlText w:val="o"/>
      <w:lvlJc w:val="left"/>
      <w:pPr>
        <w:ind w:left="1084" w:hanging="360"/>
      </w:pPr>
      <w:rPr>
        <w:rFonts w:ascii="Courier New" w:hAnsi="Courier New" w:cs="Courier New" w:hint="default"/>
      </w:rPr>
    </w:lvl>
    <w:lvl w:ilvl="2" w:tplc="20000005" w:tentative="1">
      <w:start w:val="1"/>
      <w:numFmt w:val="bullet"/>
      <w:lvlText w:val=""/>
      <w:lvlJc w:val="left"/>
      <w:pPr>
        <w:ind w:left="1804" w:hanging="360"/>
      </w:pPr>
      <w:rPr>
        <w:rFonts w:ascii="Wingdings" w:hAnsi="Wingdings" w:hint="default"/>
      </w:rPr>
    </w:lvl>
    <w:lvl w:ilvl="3" w:tplc="20000001" w:tentative="1">
      <w:start w:val="1"/>
      <w:numFmt w:val="bullet"/>
      <w:lvlText w:val=""/>
      <w:lvlJc w:val="left"/>
      <w:pPr>
        <w:ind w:left="2524" w:hanging="360"/>
      </w:pPr>
      <w:rPr>
        <w:rFonts w:ascii="Symbol" w:hAnsi="Symbol" w:hint="default"/>
      </w:rPr>
    </w:lvl>
    <w:lvl w:ilvl="4" w:tplc="20000003" w:tentative="1">
      <w:start w:val="1"/>
      <w:numFmt w:val="bullet"/>
      <w:lvlText w:val="o"/>
      <w:lvlJc w:val="left"/>
      <w:pPr>
        <w:ind w:left="3244" w:hanging="360"/>
      </w:pPr>
      <w:rPr>
        <w:rFonts w:ascii="Courier New" w:hAnsi="Courier New" w:cs="Courier New" w:hint="default"/>
      </w:rPr>
    </w:lvl>
    <w:lvl w:ilvl="5" w:tplc="20000005" w:tentative="1">
      <w:start w:val="1"/>
      <w:numFmt w:val="bullet"/>
      <w:lvlText w:val=""/>
      <w:lvlJc w:val="left"/>
      <w:pPr>
        <w:ind w:left="3964" w:hanging="360"/>
      </w:pPr>
      <w:rPr>
        <w:rFonts w:ascii="Wingdings" w:hAnsi="Wingdings" w:hint="default"/>
      </w:rPr>
    </w:lvl>
    <w:lvl w:ilvl="6" w:tplc="20000001" w:tentative="1">
      <w:start w:val="1"/>
      <w:numFmt w:val="bullet"/>
      <w:lvlText w:val=""/>
      <w:lvlJc w:val="left"/>
      <w:pPr>
        <w:ind w:left="4684" w:hanging="360"/>
      </w:pPr>
      <w:rPr>
        <w:rFonts w:ascii="Symbol" w:hAnsi="Symbol" w:hint="default"/>
      </w:rPr>
    </w:lvl>
    <w:lvl w:ilvl="7" w:tplc="20000003" w:tentative="1">
      <w:start w:val="1"/>
      <w:numFmt w:val="bullet"/>
      <w:lvlText w:val="o"/>
      <w:lvlJc w:val="left"/>
      <w:pPr>
        <w:ind w:left="5404" w:hanging="360"/>
      </w:pPr>
      <w:rPr>
        <w:rFonts w:ascii="Courier New" w:hAnsi="Courier New" w:cs="Courier New" w:hint="default"/>
      </w:rPr>
    </w:lvl>
    <w:lvl w:ilvl="8" w:tplc="20000005" w:tentative="1">
      <w:start w:val="1"/>
      <w:numFmt w:val="bullet"/>
      <w:lvlText w:val=""/>
      <w:lvlJc w:val="left"/>
      <w:pPr>
        <w:ind w:left="6124"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B72E03"/>
    <w:multiLevelType w:val="multilevel"/>
    <w:tmpl w:val="CEFAEF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F4071"/>
    <w:multiLevelType w:val="hybridMultilevel"/>
    <w:tmpl w:val="3F1A2DB0"/>
    <w:lvl w:ilvl="0" w:tplc="EFFE6BAC">
      <w:start w:val="2"/>
      <w:numFmt w:val="bullet"/>
      <w:lvlText w:val="-"/>
      <w:lvlJc w:val="left"/>
      <w:pPr>
        <w:ind w:left="364" w:hanging="360"/>
      </w:pPr>
      <w:rPr>
        <w:rFonts w:ascii="Times New Roman" w:eastAsia="Times New Roman" w:hAnsi="Times New Roman" w:cs="Times New Roman" w:hint="default"/>
      </w:rPr>
    </w:lvl>
    <w:lvl w:ilvl="1" w:tplc="040C0003" w:tentative="1">
      <w:start w:val="1"/>
      <w:numFmt w:val="bullet"/>
      <w:lvlText w:val="o"/>
      <w:lvlJc w:val="left"/>
      <w:pPr>
        <w:ind w:left="1084" w:hanging="360"/>
      </w:pPr>
      <w:rPr>
        <w:rFonts w:ascii="Courier New" w:hAnsi="Courier New" w:cs="Courier New" w:hint="default"/>
      </w:rPr>
    </w:lvl>
    <w:lvl w:ilvl="2" w:tplc="040C0005" w:tentative="1">
      <w:start w:val="1"/>
      <w:numFmt w:val="bullet"/>
      <w:lvlText w:val=""/>
      <w:lvlJc w:val="left"/>
      <w:pPr>
        <w:ind w:left="1804" w:hanging="360"/>
      </w:pPr>
      <w:rPr>
        <w:rFonts w:ascii="Wingdings" w:hAnsi="Wingdings" w:hint="default"/>
      </w:rPr>
    </w:lvl>
    <w:lvl w:ilvl="3" w:tplc="040C0001" w:tentative="1">
      <w:start w:val="1"/>
      <w:numFmt w:val="bullet"/>
      <w:lvlText w:val=""/>
      <w:lvlJc w:val="left"/>
      <w:pPr>
        <w:ind w:left="2524" w:hanging="360"/>
      </w:pPr>
      <w:rPr>
        <w:rFonts w:ascii="Symbol" w:hAnsi="Symbol" w:hint="default"/>
      </w:rPr>
    </w:lvl>
    <w:lvl w:ilvl="4" w:tplc="040C0003" w:tentative="1">
      <w:start w:val="1"/>
      <w:numFmt w:val="bullet"/>
      <w:lvlText w:val="o"/>
      <w:lvlJc w:val="left"/>
      <w:pPr>
        <w:ind w:left="3244" w:hanging="360"/>
      </w:pPr>
      <w:rPr>
        <w:rFonts w:ascii="Courier New" w:hAnsi="Courier New" w:cs="Courier New" w:hint="default"/>
      </w:rPr>
    </w:lvl>
    <w:lvl w:ilvl="5" w:tplc="040C0005" w:tentative="1">
      <w:start w:val="1"/>
      <w:numFmt w:val="bullet"/>
      <w:lvlText w:val=""/>
      <w:lvlJc w:val="left"/>
      <w:pPr>
        <w:ind w:left="3964" w:hanging="360"/>
      </w:pPr>
      <w:rPr>
        <w:rFonts w:ascii="Wingdings" w:hAnsi="Wingdings" w:hint="default"/>
      </w:rPr>
    </w:lvl>
    <w:lvl w:ilvl="6" w:tplc="040C0001" w:tentative="1">
      <w:start w:val="1"/>
      <w:numFmt w:val="bullet"/>
      <w:lvlText w:val=""/>
      <w:lvlJc w:val="left"/>
      <w:pPr>
        <w:ind w:left="4684" w:hanging="360"/>
      </w:pPr>
      <w:rPr>
        <w:rFonts w:ascii="Symbol" w:hAnsi="Symbol" w:hint="default"/>
      </w:rPr>
    </w:lvl>
    <w:lvl w:ilvl="7" w:tplc="040C0003" w:tentative="1">
      <w:start w:val="1"/>
      <w:numFmt w:val="bullet"/>
      <w:lvlText w:val="o"/>
      <w:lvlJc w:val="left"/>
      <w:pPr>
        <w:ind w:left="5404" w:hanging="360"/>
      </w:pPr>
      <w:rPr>
        <w:rFonts w:ascii="Courier New" w:hAnsi="Courier New" w:cs="Courier New" w:hint="default"/>
      </w:rPr>
    </w:lvl>
    <w:lvl w:ilvl="8" w:tplc="040C0005" w:tentative="1">
      <w:start w:val="1"/>
      <w:numFmt w:val="bullet"/>
      <w:lvlText w:val=""/>
      <w:lvlJc w:val="left"/>
      <w:pPr>
        <w:ind w:left="6124" w:hanging="360"/>
      </w:pPr>
      <w:rPr>
        <w:rFonts w:ascii="Wingdings" w:hAnsi="Wingdings" w:hint="default"/>
      </w:rPr>
    </w:lvl>
  </w:abstractNum>
  <w:abstractNum w:abstractNumId="6" w15:restartNumberingAfterBreak="0">
    <w:nsid w:val="2A732DEF"/>
    <w:multiLevelType w:val="multilevel"/>
    <w:tmpl w:val="6B0638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ascii="Verdana" w:eastAsiaTheme="minorHAnsi" w:hAnsi="Verdana" w:cstheme="minorBid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231474"/>
    <w:multiLevelType w:val="hybridMultilevel"/>
    <w:tmpl w:val="0E84340E"/>
    <w:lvl w:ilvl="0" w:tplc="2D546C8E">
      <w:start w:val="14"/>
      <w:numFmt w:val="bullet"/>
      <w:lvlText w:val="-"/>
      <w:lvlJc w:val="left"/>
      <w:pPr>
        <w:ind w:left="720" w:hanging="360"/>
      </w:pPr>
      <w:rPr>
        <w:rFonts w:ascii="Calibri" w:eastAsia="Calibri" w:hAnsi="Calibri"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184CB3"/>
    <w:multiLevelType w:val="multilevel"/>
    <w:tmpl w:val="5C5C96E2"/>
    <w:lvl w:ilvl="0">
      <w:start w:val="3"/>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40571401"/>
    <w:multiLevelType w:val="hybridMultilevel"/>
    <w:tmpl w:val="094E3C3A"/>
    <w:lvl w:ilvl="0" w:tplc="B0AEB980">
      <w:numFmt w:val="bullet"/>
      <w:lvlText w:val="-"/>
      <w:lvlJc w:val="left"/>
      <w:pPr>
        <w:ind w:left="720" w:hanging="360"/>
      </w:pPr>
      <w:rPr>
        <w:rFonts w:ascii="Calibri" w:eastAsia="Calibri" w:hAnsi="Calibri"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60081E"/>
    <w:multiLevelType w:val="multilevel"/>
    <w:tmpl w:val="4E463B18"/>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4647682B"/>
    <w:multiLevelType w:val="multilevel"/>
    <w:tmpl w:val="27428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7E50D7"/>
    <w:multiLevelType w:val="hybridMultilevel"/>
    <w:tmpl w:val="798EAD9A"/>
    <w:lvl w:ilvl="0" w:tplc="9104B3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A2F752B"/>
    <w:multiLevelType w:val="hybridMultilevel"/>
    <w:tmpl w:val="7B248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5071AC"/>
    <w:multiLevelType w:val="hybridMultilevel"/>
    <w:tmpl w:val="3BDA7CA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CA3E32"/>
    <w:multiLevelType w:val="hybridMultilevel"/>
    <w:tmpl w:val="F2CE5E8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5FA7E94"/>
    <w:multiLevelType w:val="hybridMultilevel"/>
    <w:tmpl w:val="C952F602"/>
    <w:lvl w:ilvl="0" w:tplc="EE20EAB6">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367634"/>
    <w:multiLevelType w:val="multilevel"/>
    <w:tmpl w:val="019E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10468"/>
    <w:multiLevelType w:val="hybridMultilevel"/>
    <w:tmpl w:val="69C4177E"/>
    <w:lvl w:ilvl="0" w:tplc="8A042B8E">
      <w:start w:val="6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1E77303"/>
    <w:multiLevelType w:val="multilevel"/>
    <w:tmpl w:val="F7588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CA05C7"/>
    <w:multiLevelType w:val="hybridMultilevel"/>
    <w:tmpl w:val="B86EF1B6"/>
    <w:lvl w:ilvl="0" w:tplc="18CCB87A">
      <w:start w:val="1"/>
      <w:numFmt w:val="lowerRoman"/>
      <w:lvlText w:val="(%1)"/>
      <w:lvlJc w:val="right"/>
      <w:pPr>
        <w:ind w:left="724" w:hanging="360"/>
      </w:pPr>
      <w:rPr>
        <w:rFonts w:hint="default"/>
      </w:r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num w:numId="1" w16cid:durableId="1312053893">
    <w:abstractNumId w:val="3"/>
  </w:num>
  <w:num w:numId="2" w16cid:durableId="824856041">
    <w:abstractNumId w:val="2"/>
  </w:num>
  <w:num w:numId="3" w16cid:durableId="494151636">
    <w:abstractNumId w:val="6"/>
  </w:num>
  <w:num w:numId="4" w16cid:durableId="112603849">
    <w:abstractNumId w:val="20"/>
  </w:num>
  <w:num w:numId="5" w16cid:durableId="1402484736">
    <w:abstractNumId w:val="1"/>
  </w:num>
  <w:num w:numId="6" w16cid:durableId="2005476647">
    <w:abstractNumId w:val="5"/>
  </w:num>
  <w:num w:numId="7" w16cid:durableId="4787866">
    <w:abstractNumId w:val="14"/>
  </w:num>
  <w:num w:numId="8" w16cid:durableId="1846901759">
    <w:abstractNumId w:val="12"/>
  </w:num>
  <w:num w:numId="9" w16cid:durableId="2130583828">
    <w:abstractNumId w:val="7"/>
  </w:num>
  <w:num w:numId="10" w16cid:durableId="1339507042">
    <w:abstractNumId w:val="18"/>
  </w:num>
  <w:num w:numId="11" w16cid:durableId="1812793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7528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6573991">
    <w:abstractNumId w:val="10"/>
  </w:num>
  <w:num w:numId="14" w16cid:durableId="899562132">
    <w:abstractNumId w:val="16"/>
  </w:num>
  <w:num w:numId="15" w16cid:durableId="869995729">
    <w:abstractNumId w:val="19"/>
  </w:num>
  <w:num w:numId="16" w16cid:durableId="119809292">
    <w:abstractNumId w:val="17"/>
  </w:num>
  <w:num w:numId="17" w16cid:durableId="25374619">
    <w:abstractNumId w:val="11"/>
  </w:num>
  <w:num w:numId="18" w16cid:durableId="267393350">
    <w:abstractNumId w:val="15"/>
  </w:num>
  <w:num w:numId="19" w16cid:durableId="499656336">
    <w:abstractNumId w:val="4"/>
  </w:num>
  <w:num w:numId="20" w16cid:durableId="1434743874">
    <w:abstractNumId w:val="9"/>
  </w:num>
  <w:num w:numId="21" w16cid:durableId="1725330311">
    <w:abstractNumId w:val="0"/>
  </w:num>
  <w:num w:numId="22" w16cid:durableId="1233926129">
    <w:abstractNumId w:val="13"/>
  </w:num>
  <w:num w:numId="23" w16cid:durableId="2103988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B4E"/>
    <w:rsid w:val="00000242"/>
    <w:rsid w:val="000C31D5"/>
    <w:rsid w:val="001210AD"/>
    <w:rsid w:val="001C4CE0"/>
    <w:rsid w:val="001D2353"/>
    <w:rsid w:val="001D4D63"/>
    <w:rsid w:val="00320B15"/>
    <w:rsid w:val="003509B1"/>
    <w:rsid w:val="0035410D"/>
    <w:rsid w:val="003641DE"/>
    <w:rsid w:val="003C1902"/>
    <w:rsid w:val="007731A0"/>
    <w:rsid w:val="007D2AA9"/>
    <w:rsid w:val="008474A2"/>
    <w:rsid w:val="00930B4E"/>
    <w:rsid w:val="00972D7D"/>
    <w:rsid w:val="009D0D1F"/>
    <w:rsid w:val="00A85A44"/>
    <w:rsid w:val="00B84759"/>
    <w:rsid w:val="00BC13D1"/>
    <w:rsid w:val="00BD3900"/>
    <w:rsid w:val="00BE61E4"/>
    <w:rsid w:val="00C01218"/>
    <w:rsid w:val="00DC5C97"/>
    <w:rsid w:val="00E01A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67096"/>
  <w15:chartTrackingRefBased/>
  <w15:docId w15:val="{0856BFB1-A48E-B242-90A1-DF7DCE0B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30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30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30B4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30B4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30B4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30B4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30B4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30B4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30B4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0B4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30B4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30B4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30B4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30B4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30B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0B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0B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0B4E"/>
    <w:rPr>
      <w:rFonts w:eastAsiaTheme="majorEastAsia" w:cstheme="majorBidi"/>
      <w:color w:val="272727" w:themeColor="text1" w:themeTint="D8"/>
    </w:rPr>
  </w:style>
  <w:style w:type="paragraph" w:styleId="Titre">
    <w:name w:val="Title"/>
    <w:basedOn w:val="Normal"/>
    <w:next w:val="Normal"/>
    <w:link w:val="TitreCar"/>
    <w:uiPriority w:val="10"/>
    <w:qFormat/>
    <w:rsid w:val="00930B4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30B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0B4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30B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0B4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30B4E"/>
    <w:rPr>
      <w:i/>
      <w:iCs/>
      <w:color w:val="404040" w:themeColor="text1" w:themeTint="BF"/>
    </w:rPr>
  </w:style>
  <w:style w:type="paragraph" w:styleId="Paragraphedeliste">
    <w:name w:val="List Paragraph"/>
    <w:aliases w:val="Bullets,Bullet List,FooterText,List Paragraph1,Colorful List Accent 1,numbered,列出段落,列出段落1,Bulletr List Paragraph,List Paragraph2,List Paragraph21,Párrafo de lista1,Parágrafo da Lista1,リスト段落1,Plan,Dot pt,F5 List Paragraph,stil3,RM1"/>
    <w:basedOn w:val="Normal"/>
    <w:link w:val="ParagraphedelisteCar"/>
    <w:uiPriority w:val="34"/>
    <w:qFormat/>
    <w:rsid w:val="00930B4E"/>
    <w:pPr>
      <w:ind w:left="720"/>
      <w:contextualSpacing/>
    </w:pPr>
  </w:style>
  <w:style w:type="character" w:styleId="Accentuationintense">
    <w:name w:val="Intense Emphasis"/>
    <w:basedOn w:val="Policepardfaut"/>
    <w:uiPriority w:val="21"/>
    <w:qFormat/>
    <w:rsid w:val="00930B4E"/>
    <w:rPr>
      <w:i/>
      <w:iCs/>
      <w:color w:val="0F4761" w:themeColor="accent1" w:themeShade="BF"/>
    </w:rPr>
  </w:style>
  <w:style w:type="paragraph" w:styleId="Citationintense">
    <w:name w:val="Intense Quote"/>
    <w:basedOn w:val="Normal"/>
    <w:next w:val="Normal"/>
    <w:link w:val="CitationintenseCar"/>
    <w:uiPriority w:val="30"/>
    <w:qFormat/>
    <w:rsid w:val="00930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30B4E"/>
    <w:rPr>
      <w:i/>
      <w:iCs/>
      <w:color w:val="0F4761" w:themeColor="accent1" w:themeShade="BF"/>
    </w:rPr>
  </w:style>
  <w:style w:type="character" w:styleId="Rfrenceintense">
    <w:name w:val="Intense Reference"/>
    <w:basedOn w:val="Policepardfaut"/>
    <w:uiPriority w:val="32"/>
    <w:qFormat/>
    <w:rsid w:val="00930B4E"/>
    <w:rPr>
      <w:b/>
      <w:bCs/>
      <w:smallCaps/>
      <w:color w:val="0F4761" w:themeColor="accent1" w:themeShade="BF"/>
      <w:spacing w:val="5"/>
    </w:rPr>
  </w:style>
  <w:style w:type="table" w:styleId="Grilledutableau">
    <w:name w:val="Table Grid"/>
    <w:basedOn w:val="TableauNormal"/>
    <w:uiPriority w:val="39"/>
    <w:rsid w:val="00930B4E"/>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
    <w:name w:val="Paragraphe"/>
    <w:basedOn w:val="Normal"/>
    <w:link w:val="ParagrapheCar"/>
    <w:qFormat/>
    <w:rsid w:val="00930B4E"/>
    <w:pPr>
      <w:spacing w:after="160" w:line="259" w:lineRule="auto"/>
      <w:jc w:val="both"/>
    </w:pPr>
    <w:rPr>
      <w:rFonts w:ascii="Verdana" w:hAnsi="Verdana" w:cs="Calibri"/>
      <w:kern w:val="0"/>
      <w:sz w:val="20"/>
      <w:szCs w:val="20"/>
      <w:lang w:val="fr-FR"/>
      <w14:ligatures w14:val="none"/>
    </w:rPr>
  </w:style>
  <w:style w:type="paragraph" w:customStyle="1" w:styleId="Titrepartie">
    <w:name w:val="Titre partie"/>
    <w:basedOn w:val="Paragraphedeliste"/>
    <w:link w:val="TitrepartieCar"/>
    <w:qFormat/>
    <w:rsid w:val="00930B4E"/>
    <w:pPr>
      <w:numPr>
        <w:numId w:val="1"/>
      </w:numPr>
      <w:spacing w:after="160" w:line="259" w:lineRule="auto"/>
      <w:jc w:val="both"/>
    </w:pPr>
    <w:rPr>
      <w:rFonts w:ascii="Verdana" w:hAnsi="Verdana" w:cs="Calibri"/>
      <w:b/>
      <w:bCs/>
      <w:color w:val="0070C0"/>
      <w:kern w:val="0"/>
      <w:sz w:val="22"/>
      <w:szCs w:val="20"/>
      <w:lang w:val="fr-FR"/>
      <w14:ligatures w14:val="none"/>
    </w:rPr>
  </w:style>
  <w:style w:type="character" w:customStyle="1" w:styleId="ParagrapheCar">
    <w:name w:val="Paragraphe Car"/>
    <w:basedOn w:val="Policepardfaut"/>
    <w:link w:val="Paragraphe"/>
    <w:rsid w:val="00930B4E"/>
    <w:rPr>
      <w:rFonts w:ascii="Verdana" w:hAnsi="Verdana" w:cs="Calibri"/>
      <w:kern w:val="0"/>
      <w:sz w:val="20"/>
      <w:szCs w:val="20"/>
      <w:lang w:val="fr-FR"/>
      <w14:ligatures w14:val="none"/>
    </w:rPr>
  </w:style>
  <w:style w:type="paragraph" w:customStyle="1" w:styleId="Exergue">
    <w:name w:val="Exergue"/>
    <w:basedOn w:val="Normal"/>
    <w:link w:val="ExergueCar"/>
    <w:qFormat/>
    <w:rsid w:val="00930B4E"/>
    <w:pPr>
      <w:jc w:val="both"/>
    </w:pPr>
    <w:rPr>
      <w:rFonts w:ascii="Verdana" w:eastAsia="Times New Roman" w:hAnsi="Verdana" w:cs="Times New Roman"/>
      <w:b/>
      <w:bCs/>
      <w:i/>
      <w:kern w:val="0"/>
      <w:sz w:val="20"/>
      <w:szCs w:val="20"/>
      <w:lang w:val="fr-FR"/>
      <w14:ligatures w14:val="none"/>
    </w:rPr>
  </w:style>
  <w:style w:type="character" w:customStyle="1" w:styleId="ParagraphedelisteCar">
    <w:name w:val="Paragraphe de liste Car"/>
    <w:aliases w:val="Bullets Car,Bullet List Car,FooterText Car,List Paragraph1 Car,Colorful List Accent 1 Car,numbered Car,列出段落 Car,列出段落1 Car,Bulletr List Paragraph Car,List Paragraph2 Car,List Paragraph21 Car,Párrafo de lista1 Car,リスト段落1 Car"/>
    <w:basedOn w:val="Policepardfaut"/>
    <w:link w:val="Paragraphedeliste"/>
    <w:uiPriority w:val="34"/>
    <w:qFormat/>
    <w:rsid w:val="00930B4E"/>
  </w:style>
  <w:style w:type="character" w:customStyle="1" w:styleId="TitrepartieCar">
    <w:name w:val="Titre partie Car"/>
    <w:basedOn w:val="ParagraphedelisteCar"/>
    <w:link w:val="Titrepartie"/>
    <w:rsid w:val="00930B4E"/>
    <w:rPr>
      <w:rFonts w:ascii="Verdana" w:hAnsi="Verdana" w:cs="Calibri"/>
      <w:b/>
      <w:bCs/>
      <w:color w:val="0070C0"/>
      <w:kern w:val="0"/>
      <w:sz w:val="22"/>
      <w:szCs w:val="20"/>
      <w:lang w:val="fr-FR"/>
      <w14:ligatures w14:val="none"/>
    </w:rPr>
  </w:style>
  <w:style w:type="paragraph" w:customStyle="1" w:styleId="Sous-partie2">
    <w:name w:val="Sous-partie 2"/>
    <w:basedOn w:val="Paragraphedeliste"/>
    <w:link w:val="Sous-partie2Car"/>
    <w:qFormat/>
    <w:rsid w:val="00930B4E"/>
    <w:pPr>
      <w:numPr>
        <w:ilvl w:val="1"/>
        <w:numId w:val="1"/>
      </w:numPr>
      <w:spacing w:after="160" w:line="259" w:lineRule="auto"/>
      <w:jc w:val="both"/>
    </w:pPr>
    <w:rPr>
      <w:rFonts w:ascii="Verdana" w:hAnsi="Verdana" w:cs="Calibri"/>
      <w:color w:val="0070C0"/>
      <w:kern w:val="0"/>
      <w:sz w:val="20"/>
      <w:szCs w:val="20"/>
      <w:lang w:val="fr-FR"/>
      <w14:ligatures w14:val="none"/>
    </w:rPr>
  </w:style>
  <w:style w:type="character" w:customStyle="1" w:styleId="ExergueCar">
    <w:name w:val="Exergue Car"/>
    <w:basedOn w:val="Policepardfaut"/>
    <w:link w:val="Exergue"/>
    <w:rsid w:val="00930B4E"/>
    <w:rPr>
      <w:rFonts w:ascii="Verdana" w:eastAsia="Times New Roman" w:hAnsi="Verdana" w:cs="Times New Roman"/>
      <w:b/>
      <w:bCs/>
      <w:i/>
      <w:kern w:val="0"/>
      <w:sz w:val="20"/>
      <w:szCs w:val="20"/>
      <w:lang w:val="fr-FR"/>
      <w14:ligatures w14:val="none"/>
    </w:rPr>
  </w:style>
  <w:style w:type="character" w:customStyle="1" w:styleId="Sous-partie2Car">
    <w:name w:val="Sous-partie 2 Car"/>
    <w:basedOn w:val="ParagraphedelisteCar"/>
    <w:link w:val="Sous-partie2"/>
    <w:rsid w:val="00930B4E"/>
    <w:rPr>
      <w:rFonts w:ascii="Verdana" w:hAnsi="Verdana" w:cs="Calibri"/>
      <w:color w:val="0070C0"/>
      <w:kern w:val="0"/>
      <w:sz w:val="20"/>
      <w:szCs w:val="20"/>
      <w:lang w:val="fr-FR"/>
      <w14:ligatures w14:val="none"/>
    </w:rPr>
  </w:style>
  <w:style w:type="paragraph" w:styleId="NormalWeb">
    <w:name w:val="Normal (Web)"/>
    <w:basedOn w:val="Normal"/>
    <w:uiPriority w:val="99"/>
    <w:unhideWhenUsed/>
    <w:rsid w:val="001D4D63"/>
    <w:pPr>
      <w:spacing w:before="100" w:beforeAutospacing="1" w:after="100" w:afterAutospacing="1"/>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8474A2"/>
    <w:pPr>
      <w:tabs>
        <w:tab w:val="center" w:pos="4513"/>
        <w:tab w:val="right" w:pos="9026"/>
      </w:tabs>
    </w:pPr>
  </w:style>
  <w:style w:type="character" w:customStyle="1" w:styleId="En-tteCar">
    <w:name w:val="En-tête Car"/>
    <w:basedOn w:val="Policepardfaut"/>
    <w:link w:val="En-tte"/>
    <w:uiPriority w:val="99"/>
    <w:rsid w:val="008474A2"/>
  </w:style>
  <w:style w:type="paragraph" w:styleId="Pieddepage">
    <w:name w:val="footer"/>
    <w:basedOn w:val="Normal"/>
    <w:link w:val="PieddepageCar"/>
    <w:uiPriority w:val="99"/>
    <w:unhideWhenUsed/>
    <w:rsid w:val="008474A2"/>
    <w:pPr>
      <w:tabs>
        <w:tab w:val="center" w:pos="4513"/>
        <w:tab w:val="right" w:pos="9026"/>
      </w:tabs>
    </w:pPr>
  </w:style>
  <w:style w:type="character" w:customStyle="1" w:styleId="PieddepageCar">
    <w:name w:val="Pied de page Car"/>
    <w:basedOn w:val="Policepardfaut"/>
    <w:link w:val="Pieddepage"/>
    <w:uiPriority w:val="99"/>
    <w:rsid w:val="00847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7868">
      <w:bodyDiv w:val="1"/>
      <w:marLeft w:val="0"/>
      <w:marRight w:val="0"/>
      <w:marTop w:val="0"/>
      <w:marBottom w:val="0"/>
      <w:divBdr>
        <w:top w:val="none" w:sz="0" w:space="0" w:color="auto"/>
        <w:left w:val="none" w:sz="0" w:space="0" w:color="auto"/>
        <w:bottom w:val="none" w:sz="0" w:space="0" w:color="auto"/>
        <w:right w:val="none" w:sz="0" w:space="0" w:color="auto"/>
      </w:divBdr>
      <w:divsChild>
        <w:div w:id="69236014">
          <w:marLeft w:val="0"/>
          <w:marRight w:val="0"/>
          <w:marTop w:val="0"/>
          <w:marBottom w:val="0"/>
          <w:divBdr>
            <w:top w:val="none" w:sz="0" w:space="0" w:color="auto"/>
            <w:left w:val="none" w:sz="0" w:space="0" w:color="auto"/>
            <w:bottom w:val="none" w:sz="0" w:space="0" w:color="auto"/>
            <w:right w:val="none" w:sz="0" w:space="0" w:color="auto"/>
          </w:divBdr>
          <w:divsChild>
            <w:div w:id="697464857">
              <w:marLeft w:val="0"/>
              <w:marRight w:val="0"/>
              <w:marTop w:val="0"/>
              <w:marBottom w:val="0"/>
              <w:divBdr>
                <w:top w:val="none" w:sz="0" w:space="0" w:color="auto"/>
                <w:left w:val="none" w:sz="0" w:space="0" w:color="auto"/>
                <w:bottom w:val="none" w:sz="0" w:space="0" w:color="auto"/>
                <w:right w:val="none" w:sz="0" w:space="0" w:color="auto"/>
              </w:divBdr>
              <w:divsChild>
                <w:div w:id="14636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02490">
      <w:bodyDiv w:val="1"/>
      <w:marLeft w:val="0"/>
      <w:marRight w:val="0"/>
      <w:marTop w:val="0"/>
      <w:marBottom w:val="0"/>
      <w:divBdr>
        <w:top w:val="none" w:sz="0" w:space="0" w:color="auto"/>
        <w:left w:val="none" w:sz="0" w:space="0" w:color="auto"/>
        <w:bottom w:val="none" w:sz="0" w:space="0" w:color="auto"/>
        <w:right w:val="none" w:sz="0" w:space="0" w:color="auto"/>
      </w:divBdr>
      <w:divsChild>
        <w:div w:id="668143876">
          <w:marLeft w:val="0"/>
          <w:marRight w:val="0"/>
          <w:marTop w:val="0"/>
          <w:marBottom w:val="0"/>
          <w:divBdr>
            <w:top w:val="none" w:sz="0" w:space="0" w:color="auto"/>
            <w:left w:val="none" w:sz="0" w:space="0" w:color="auto"/>
            <w:bottom w:val="none" w:sz="0" w:space="0" w:color="auto"/>
            <w:right w:val="none" w:sz="0" w:space="0" w:color="auto"/>
          </w:divBdr>
          <w:divsChild>
            <w:div w:id="1729767491">
              <w:marLeft w:val="0"/>
              <w:marRight w:val="0"/>
              <w:marTop w:val="0"/>
              <w:marBottom w:val="0"/>
              <w:divBdr>
                <w:top w:val="none" w:sz="0" w:space="0" w:color="auto"/>
                <w:left w:val="none" w:sz="0" w:space="0" w:color="auto"/>
                <w:bottom w:val="none" w:sz="0" w:space="0" w:color="auto"/>
                <w:right w:val="none" w:sz="0" w:space="0" w:color="auto"/>
              </w:divBdr>
              <w:divsChild>
                <w:div w:id="21051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771947">
      <w:bodyDiv w:val="1"/>
      <w:marLeft w:val="0"/>
      <w:marRight w:val="0"/>
      <w:marTop w:val="0"/>
      <w:marBottom w:val="0"/>
      <w:divBdr>
        <w:top w:val="none" w:sz="0" w:space="0" w:color="auto"/>
        <w:left w:val="none" w:sz="0" w:space="0" w:color="auto"/>
        <w:bottom w:val="none" w:sz="0" w:space="0" w:color="auto"/>
        <w:right w:val="none" w:sz="0" w:space="0" w:color="auto"/>
      </w:divBdr>
      <w:divsChild>
        <w:div w:id="1603996765">
          <w:marLeft w:val="0"/>
          <w:marRight w:val="0"/>
          <w:marTop w:val="0"/>
          <w:marBottom w:val="0"/>
          <w:divBdr>
            <w:top w:val="none" w:sz="0" w:space="0" w:color="auto"/>
            <w:left w:val="none" w:sz="0" w:space="0" w:color="auto"/>
            <w:bottom w:val="none" w:sz="0" w:space="0" w:color="auto"/>
            <w:right w:val="none" w:sz="0" w:space="0" w:color="auto"/>
          </w:divBdr>
          <w:divsChild>
            <w:div w:id="1495101030">
              <w:marLeft w:val="0"/>
              <w:marRight w:val="0"/>
              <w:marTop w:val="0"/>
              <w:marBottom w:val="0"/>
              <w:divBdr>
                <w:top w:val="none" w:sz="0" w:space="0" w:color="auto"/>
                <w:left w:val="none" w:sz="0" w:space="0" w:color="auto"/>
                <w:bottom w:val="none" w:sz="0" w:space="0" w:color="auto"/>
                <w:right w:val="none" w:sz="0" w:space="0" w:color="auto"/>
              </w:divBdr>
              <w:divsChild>
                <w:div w:id="15454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97752">
      <w:bodyDiv w:val="1"/>
      <w:marLeft w:val="0"/>
      <w:marRight w:val="0"/>
      <w:marTop w:val="0"/>
      <w:marBottom w:val="0"/>
      <w:divBdr>
        <w:top w:val="none" w:sz="0" w:space="0" w:color="auto"/>
        <w:left w:val="none" w:sz="0" w:space="0" w:color="auto"/>
        <w:bottom w:val="none" w:sz="0" w:space="0" w:color="auto"/>
        <w:right w:val="none" w:sz="0" w:space="0" w:color="auto"/>
      </w:divBdr>
      <w:divsChild>
        <w:div w:id="471488617">
          <w:marLeft w:val="0"/>
          <w:marRight w:val="0"/>
          <w:marTop w:val="0"/>
          <w:marBottom w:val="0"/>
          <w:divBdr>
            <w:top w:val="none" w:sz="0" w:space="0" w:color="auto"/>
            <w:left w:val="none" w:sz="0" w:space="0" w:color="auto"/>
            <w:bottom w:val="none" w:sz="0" w:space="0" w:color="auto"/>
            <w:right w:val="none" w:sz="0" w:space="0" w:color="auto"/>
          </w:divBdr>
          <w:divsChild>
            <w:div w:id="1499350218">
              <w:marLeft w:val="0"/>
              <w:marRight w:val="0"/>
              <w:marTop w:val="0"/>
              <w:marBottom w:val="0"/>
              <w:divBdr>
                <w:top w:val="none" w:sz="0" w:space="0" w:color="auto"/>
                <w:left w:val="none" w:sz="0" w:space="0" w:color="auto"/>
                <w:bottom w:val="none" w:sz="0" w:space="0" w:color="auto"/>
                <w:right w:val="none" w:sz="0" w:space="0" w:color="auto"/>
              </w:divBdr>
              <w:divsChild>
                <w:div w:id="7122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12161">
      <w:bodyDiv w:val="1"/>
      <w:marLeft w:val="0"/>
      <w:marRight w:val="0"/>
      <w:marTop w:val="0"/>
      <w:marBottom w:val="0"/>
      <w:divBdr>
        <w:top w:val="none" w:sz="0" w:space="0" w:color="auto"/>
        <w:left w:val="none" w:sz="0" w:space="0" w:color="auto"/>
        <w:bottom w:val="none" w:sz="0" w:space="0" w:color="auto"/>
        <w:right w:val="none" w:sz="0" w:space="0" w:color="auto"/>
      </w:divBdr>
      <w:divsChild>
        <w:div w:id="1566722173">
          <w:marLeft w:val="0"/>
          <w:marRight w:val="0"/>
          <w:marTop w:val="0"/>
          <w:marBottom w:val="0"/>
          <w:divBdr>
            <w:top w:val="none" w:sz="0" w:space="0" w:color="auto"/>
            <w:left w:val="none" w:sz="0" w:space="0" w:color="auto"/>
            <w:bottom w:val="none" w:sz="0" w:space="0" w:color="auto"/>
            <w:right w:val="none" w:sz="0" w:space="0" w:color="auto"/>
          </w:divBdr>
        </w:div>
        <w:div w:id="210045074">
          <w:marLeft w:val="0"/>
          <w:marRight w:val="0"/>
          <w:marTop w:val="0"/>
          <w:marBottom w:val="0"/>
          <w:divBdr>
            <w:top w:val="none" w:sz="0" w:space="0" w:color="auto"/>
            <w:left w:val="none" w:sz="0" w:space="0" w:color="auto"/>
            <w:bottom w:val="none" w:sz="0" w:space="0" w:color="auto"/>
            <w:right w:val="none" w:sz="0" w:space="0" w:color="auto"/>
          </w:divBdr>
        </w:div>
        <w:div w:id="1387606988">
          <w:marLeft w:val="0"/>
          <w:marRight w:val="0"/>
          <w:marTop w:val="0"/>
          <w:marBottom w:val="0"/>
          <w:divBdr>
            <w:top w:val="none" w:sz="0" w:space="0" w:color="auto"/>
            <w:left w:val="none" w:sz="0" w:space="0" w:color="auto"/>
            <w:bottom w:val="none" w:sz="0" w:space="0" w:color="auto"/>
            <w:right w:val="none" w:sz="0" w:space="0" w:color="auto"/>
          </w:divBdr>
        </w:div>
        <w:div w:id="1069957539">
          <w:marLeft w:val="0"/>
          <w:marRight w:val="0"/>
          <w:marTop w:val="0"/>
          <w:marBottom w:val="0"/>
          <w:divBdr>
            <w:top w:val="none" w:sz="0" w:space="0" w:color="auto"/>
            <w:left w:val="none" w:sz="0" w:space="0" w:color="auto"/>
            <w:bottom w:val="none" w:sz="0" w:space="0" w:color="auto"/>
            <w:right w:val="none" w:sz="0" w:space="0" w:color="auto"/>
          </w:divBdr>
        </w:div>
        <w:div w:id="650600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1474</Words>
  <Characters>8110</Characters>
  <Application>Microsoft Office Word</Application>
  <DocSecurity>4</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2024-04-15T10:23:00Z</dcterms:created>
  <dcterms:modified xsi:type="dcterms:W3CDTF">2024-04-15T10:23:00Z</dcterms:modified>
</cp:coreProperties>
</file>