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0582" w14:textId="77777777" w:rsidR="00B23FCE" w:rsidRPr="00B23FCE" w:rsidRDefault="00B23FCE" w:rsidP="00B23FCE">
      <w:pPr>
        <w:jc w:val="center"/>
        <w:rPr>
          <w:rFonts w:ascii="Verdana" w:eastAsia="Calibri" w:hAnsi="Verdana" w:cs="Times New Roman"/>
          <w:b/>
          <w:bCs/>
          <w:kern w:val="0"/>
          <w:sz w:val="2"/>
          <w:szCs w:val="2"/>
          <w14:ligatures w14:val="none"/>
        </w:rPr>
      </w:pPr>
      <w:r w:rsidRPr="00B23FCE">
        <w:rPr>
          <w:rFonts w:ascii="Verdana" w:eastAsia="Calibri" w:hAnsi="Verdana" w:cs="Times New Roman"/>
          <w:b/>
          <w:bCs/>
          <w:kern w:val="0"/>
          <w:sz w:val="2"/>
          <w:szCs w:val="2"/>
          <w14:ligatures w14:val="none"/>
        </w:rPr>
        <w:t>2</w:t>
      </w:r>
    </w:p>
    <w:tbl>
      <w:tblPr>
        <w:tblStyle w:val="TableGrid1"/>
        <w:tblW w:w="0" w:type="auto"/>
        <w:tblLook w:val="04A0" w:firstRow="1" w:lastRow="0" w:firstColumn="1" w:lastColumn="0" w:noHBand="0" w:noVBand="1"/>
      </w:tblPr>
      <w:tblGrid>
        <w:gridCol w:w="7225"/>
        <w:gridCol w:w="1837"/>
      </w:tblGrid>
      <w:tr w:rsidR="00B23FCE" w:rsidRPr="00B23FCE" w14:paraId="31A25B7F" w14:textId="77777777" w:rsidTr="003F5C17">
        <w:tc>
          <w:tcPr>
            <w:tcW w:w="9062" w:type="dxa"/>
            <w:gridSpan w:val="2"/>
          </w:tcPr>
          <w:p w14:paraId="1D611D00" w14:textId="71941640" w:rsidR="00B23FCE" w:rsidRPr="00B23FCE" w:rsidRDefault="00CF6285" w:rsidP="00B23FCE">
            <w:pPr>
              <w:jc w:val="center"/>
              <w:rPr>
                <w:rFonts w:ascii="Verdana" w:eastAsia="Calibri" w:hAnsi="Verdana" w:cs="Times New Roman"/>
                <w:b/>
                <w:bCs/>
                <w:sz w:val="20"/>
                <w:szCs w:val="20"/>
              </w:rPr>
            </w:pPr>
            <w:r>
              <w:rPr>
                <w:rFonts w:ascii="Verdana" w:eastAsia="Calibri" w:hAnsi="Verdana" w:cs="Times New Roman"/>
                <w:b/>
                <w:bCs/>
                <w:sz w:val="20"/>
                <w:szCs w:val="20"/>
              </w:rPr>
              <w:t>Coalition mondiale pour la justice sociale</w:t>
            </w:r>
            <w:r w:rsidR="00B23FCE" w:rsidRPr="00B23FCE">
              <w:rPr>
                <w:rFonts w:ascii="Verdana" w:eastAsia="Calibri" w:hAnsi="Verdana" w:cs="Times New Roman"/>
                <w:b/>
                <w:bCs/>
                <w:sz w:val="20"/>
                <w:szCs w:val="20"/>
              </w:rPr>
              <w:t xml:space="preserve"> </w:t>
            </w:r>
          </w:p>
        </w:tc>
      </w:tr>
      <w:tr w:rsidR="00B23FCE" w:rsidRPr="00B23FCE" w14:paraId="738F6DED" w14:textId="77777777" w:rsidTr="003F5C17">
        <w:tc>
          <w:tcPr>
            <w:tcW w:w="7225" w:type="dxa"/>
          </w:tcPr>
          <w:p w14:paraId="3C9CF074" w14:textId="77777777" w:rsidR="00B23FCE" w:rsidRPr="00B23FCE" w:rsidRDefault="00B23FCE" w:rsidP="00B23FCE">
            <w:pPr>
              <w:rPr>
                <w:rFonts w:ascii="Verdana" w:eastAsia="Calibri" w:hAnsi="Verdana" w:cs="Times New Roman"/>
                <w:sz w:val="20"/>
                <w:szCs w:val="20"/>
              </w:rPr>
            </w:pPr>
            <w:r w:rsidRPr="00B23FCE">
              <w:rPr>
                <w:rFonts w:ascii="Verdana" w:eastAsia="Calibri" w:hAnsi="Verdana" w:cs="Times New Roman"/>
                <w:sz w:val="20"/>
                <w:szCs w:val="20"/>
              </w:rPr>
              <w:t>Comité des Officiers permanents de liaison 02/23 de la Commission de l’océan Indien |22- 23 avril 2024 | Ebène- Maurice</w:t>
            </w:r>
          </w:p>
        </w:tc>
        <w:tc>
          <w:tcPr>
            <w:tcW w:w="1837" w:type="dxa"/>
          </w:tcPr>
          <w:p w14:paraId="6BC15965" w14:textId="34E5EAFB" w:rsidR="00B23FCE" w:rsidRPr="00B23FCE" w:rsidRDefault="00B23FCE" w:rsidP="00B23FCE">
            <w:pPr>
              <w:jc w:val="center"/>
              <w:rPr>
                <w:rFonts w:ascii="Verdana" w:eastAsia="Calibri" w:hAnsi="Verdana" w:cs="Times New Roman"/>
                <w:sz w:val="20"/>
                <w:szCs w:val="20"/>
              </w:rPr>
            </w:pPr>
            <w:r w:rsidRPr="00B23FCE">
              <w:rPr>
                <w:rFonts w:ascii="Verdana" w:eastAsia="Calibri" w:hAnsi="Verdana" w:cs="Times New Roman"/>
                <w:sz w:val="20"/>
                <w:szCs w:val="20"/>
              </w:rPr>
              <w:t xml:space="preserve">Point </w:t>
            </w:r>
            <w:r w:rsidR="004B2FDD">
              <w:rPr>
                <w:rFonts w:ascii="Verdana" w:eastAsia="Calibri" w:hAnsi="Verdana" w:cs="Times New Roman"/>
                <w:sz w:val="20"/>
                <w:szCs w:val="20"/>
              </w:rPr>
              <w:t>2</w:t>
            </w:r>
            <w:r w:rsidRPr="00B23FCE">
              <w:rPr>
                <w:rFonts w:ascii="Verdana" w:eastAsia="Calibri" w:hAnsi="Verdana" w:cs="Times New Roman"/>
                <w:sz w:val="20"/>
                <w:szCs w:val="20"/>
              </w:rPr>
              <w:t>.</w:t>
            </w:r>
            <w:r w:rsidR="004B2FDD">
              <w:rPr>
                <w:rFonts w:ascii="Verdana" w:eastAsia="Calibri" w:hAnsi="Verdana" w:cs="Times New Roman"/>
                <w:sz w:val="20"/>
                <w:szCs w:val="20"/>
              </w:rPr>
              <w:t>15</w:t>
            </w:r>
          </w:p>
        </w:tc>
      </w:tr>
      <w:tr w:rsidR="00B23FCE" w:rsidRPr="00B23FCE" w14:paraId="614E83C1" w14:textId="77777777" w:rsidTr="003F5C17">
        <w:tc>
          <w:tcPr>
            <w:tcW w:w="7225" w:type="dxa"/>
          </w:tcPr>
          <w:p w14:paraId="60790F36" w14:textId="72BF3A59" w:rsidR="00B23FCE" w:rsidRPr="00B23FCE" w:rsidRDefault="00B23FCE" w:rsidP="00B23FCE">
            <w:pPr>
              <w:rPr>
                <w:rFonts w:ascii="Verdana" w:eastAsia="Calibri" w:hAnsi="Verdana" w:cs="Times New Roman"/>
                <w:sz w:val="20"/>
                <w:szCs w:val="20"/>
              </w:rPr>
            </w:pPr>
            <w:r w:rsidRPr="00B23FCE">
              <w:rPr>
                <w:rFonts w:ascii="Verdana" w:eastAsia="Calibri" w:hAnsi="Verdana" w:cs="Times New Roman"/>
                <w:i/>
                <w:iCs/>
                <w:sz w:val="20"/>
                <w:szCs w:val="20"/>
              </w:rPr>
              <w:t>Dossier suivi par :</w:t>
            </w:r>
            <w:r w:rsidRPr="00B23FCE">
              <w:rPr>
                <w:rFonts w:ascii="Verdana" w:eastAsia="Calibri" w:hAnsi="Verdana" w:cs="Times New Roman"/>
                <w:sz w:val="20"/>
                <w:szCs w:val="20"/>
              </w:rPr>
              <w:t xml:space="preserve"> Raj MOHABEER, Chargé de mission </w:t>
            </w:r>
          </w:p>
        </w:tc>
        <w:tc>
          <w:tcPr>
            <w:tcW w:w="1837" w:type="dxa"/>
          </w:tcPr>
          <w:p w14:paraId="1F497D09" w14:textId="77777777" w:rsidR="00B23FCE" w:rsidRPr="00B23FCE" w:rsidRDefault="00B23FCE" w:rsidP="00B23FCE">
            <w:pPr>
              <w:jc w:val="center"/>
              <w:rPr>
                <w:rFonts w:ascii="Verdana" w:eastAsia="Calibri" w:hAnsi="Verdana" w:cs="Times New Roman"/>
                <w:sz w:val="20"/>
                <w:szCs w:val="20"/>
              </w:rPr>
            </w:pPr>
            <w:r w:rsidRPr="00B23FCE">
              <w:rPr>
                <w:rFonts w:ascii="Verdana" w:eastAsia="Calibri" w:hAnsi="Verdana" w:cs="Times New Roman"/>
                <w:sz w:val="20"/>
                <w:szCs w:val="20"/>
              </w:rPr>
              <w:t>Décision</w:t>
            </w:r>
          </w:p>
        </w:tc>
      </w:tr>
      <w:tr w:rsidR="00B23FCE" w:rsidRPr="00B23FCE" w14:paraId="4B4D5C64" w14:textId="77777777" w:rsidTr="003F5C17">
        <w:tc>
          <w:tcPr>
            <w:tcW w:w="9062" w:type="dxa"/>
            <w:gridSpan w:val="2"/>
          </w:tcPr>
          <w:p w14:paraId="1C2179E1" w14:textId="09F763E0" w:rsidR="00B23FCE" w:rsidRPr="00B23FCE" w:rsidRDefault="00B23FCE" w:rsidP="00B23FCE">
            <w:pPr>
              <w:rPr>
                <w:rFonts w:ascii="Verdana" w:eastAsia="Calibri" w:hAnsi="Verdana" w:cs="Times New Roman"/>
                <w:sz w:val="20"/>
                <w:szCs w:val="20"/>
              </w:rPr>
            </w:pPr>
            <w:r w:rsidRPr="00B23FCE">
              <w:rPr>
                <w:rFonts w:ascii="Verdana" w:eastAsia="Calibri" w:hAnsi="Verdana" w:cs="Times New Roman"/>
                <w:i/>
                <w:iCs/>
                <w:sz w:val="20"/>
                <w:szCs w:val="20"/>
              </w:rPr>
              <w:t xml:space="preserve">Version du </w:t>
            </w:r>
            <w:r w:rsidR="00CF6285">
              <w:rPr>
                <w:rFonts w:ascii="Verdana" w:eastAsia="Calibri" w:hAnsi="Verdana" w:cs="Times New Roman"/>
                <w:i/>
                <w:iCs/>
                <w:sz w:val="20"/>
                <w:szCs w:val="20"/>
              </w:rPr>
              <w:t>20</w:t>
            </w:r>
            <w:r w:rsidRPr="00B23FCE">
              <w:rPr>
                <w:rFonts w:ascii="Verdana" w:eastAsia="Calibri" w:hAnsi="Verdana" w:cs="Times New Roman"/>
                <w:i/>
                <w:iCs/>
                <w:sz w:val="20"/>
                <w:szCs w:val="20"/>
              </w:rPr>
              <w:t xml:space="preserve">/03/2024 </w:t>
            </w:r>
          </w:p>
        </w:tc>
      </w:tr>
    </w:tbl>
    <w:p w14:paraId="799F9AA1" w14:textId="77777777" w:rsidR="00B23FCE" w:rsidRPr="007F5841" w:rsidRDefault="00B23FCE" w:rsidP="007F5841">
      <w:pPr>
        <w:pStyle w:val="Paragraphedeliste"/>
        <w:numPr>
          <w:ilvl w:val="0"/>
          <w:numId w:val="5"/>
        </w:numPr>
        <w:jc w:val="both"/>
        <w:rPr>
          <w:rFonts w:ascii="Verdana" w:eastAsia="Calibri" w:hAnsi="Verdana" w:cs="Calibri"/>
          <w:b/>
          <w:bCs/>
          <w:color w:val="0070C0"/>
          <w:kern w:val="0"/>
          <w:szCs w:val="20"/>
          <w14:ligatures w14:val="none"/>
        </w:rPr>
      </w:pPr>
      <w:bookmarkStart w:id="0" w:name="_Hlk24535240"/>
      <w:r w:rsidRPr="007F5841">
        <w:rPr>
          <w:rFonts w:ascii="Verdana" w:eastAsia="Calibri" w:hAnsi="Verdana" w:cs="Calibri"/>
          <w:b/>
          <w:bCs/>
          <w:color w:val="0070C0"/>
          <w:kern w:val="0"/>
          <w:szCs w:val="20"/>
          <w14:ligatures w14:val="none"/>
        </w:rPr>
        <w:t>Résumé</w:t>
      </w:r>
    </w:p>
    <w:p w14:paraId="7AFC1A7B" w14:textId="060C34AF" w:rsidR="00B23FCE" w:rsidRPr="00B23FCE" w:rsidRDefault="00B23FCE" w:rsidP="00B23FCE">
      <w:pPr>
        <w:jc w:val="both"/>
        <w:rPr>
          <w:rFonts w:ascii="Verdana" w:eastAsia="Calibri" w:hAnsi="Verdana" w:cs="Calibri"/>
          <w:kern w:val="0"/>
          <w:sz w:val="20"/>
          <w:szCs w:val="20"/>
          <w14:ligatures w14:val="none"/>
        </w:rPr>
      </w:pPr>
      <w:r w:rsidRPr="00B23FCE">
        <w:rPr>
          <w:rFonts w:ascii="Verdana" w:eastAsia="Calibri" w:hAnsi="Verdana" w:cs="Calibri"/>
          <w:kern w:val="0"/>
          <w:sz w:val="20"/>
          <w:szCs w:val="20"/>
          <w14:ligatures w14:val="none"/>
        </w:rPr>
        <w:t xml:space="preserve">Conformément à la </w:t>
      </w:r>
      <w:bookmarkStart w:id="1" w:name="_Hlk161044740"/>
      <w:r w:rsidRPr="00B23FCE">
        <w:rPr>
          <w:rFonts w:ascii="Verdana" w:eastAsia="Calibri" w:hAnsi="Verdana" w:cs="Calibri"/>
          <w:kern w:val="0"/>
          <w:sz w:val="20"/>
          <w:szCs w:val="20"/>
          <w14:ligatures w14:val="none"/>
        </w:rPr>
        <w:t xml:space="preserve">décision </w:t>
      </w:r>
      <w:r w:rsidR="00CF6285">
        <w:rPr>
          <w:rFonts w:ascii="Verdana" w:eastAsia="Calibri" w:hAnsi="Verdana" w:cs="Calibri"/>
          <w:kern w:val="0"/>
          <w:sz w:val="20"/>
          <w:szCs w:val="20"/>
          <w14:ligatures w14:val="none"/>
        </w:rPr>
        <w:t>2c</w:t>
      </w:r>
      <w:r w:rsidRPr="00B23FCE">
        <w:rPr>
          <w:rFonts w:ascii="Verdana" w:eastAsia="Calibri" w:hAnsi="Verdana" w:cs="Calibri"/>
          <w:kern w:val="0"/>
          <w:sz w:val="20"/>
          <w:szCs w:val="20"/>
          <w14:ligatures w14:val="none"/>
        </w:rPr>
        <w:t xml:space="preserve">) du </w:t>
      </w:r>
      <w:r w:rsidR="00CF6285">
        <w:rPr>
          <w:rFonts w:ascii="Verdana" w:eastAsia="Calibri" w:hAnsi="Verdana" w:cs="Calibri"/>
          <w:kern w:val="0"/>
          <w:sz w:val="20"/>
          <w:szCs w:val="20"/>
          <w14:ligatures w14:val="none"/>
        </w:rPr>
        <w:t xml:space="preserve">COPL 02/2023 </w:t>
      </w:r>
      <w:bookmarkEnd w:id="1"/>
      <w:r w:rsidR="00081F24">
        <w:rPr>
          <w:rFonts w:ascii="Verdana" w:eastAsia="Calibri" w:hAnsi="Verdana" w:cs="Calibri"/>
          <w:kern w:val="0"/>
          <w:sz w:val="20"/>
          <w:szCs w:val="20"/>
          <w14:ligatures w14:val="none"/>
        </w:rPr>
        <w:t xml:space="preserve">sur la nécessité de poursuivre le plaidoyer </w:t>
      </w:r>
      <w:r w:rsidR="00081F24" w:rsidRPr="00081F24">
        <w:rPr>
          <w:rFonts w:ascii="Verdana" w:eastAsia="Calibri" w:hAnsi="Verdana" w:cs="Calibri"/>
          <w:kern w:val="0"/>
          <w:sz w:val="20"/>
          <w:szCs w:val="20"/>
          <w14:ligatures w14:val="none"/>
        </w:rPr>
        <w:t>à l’endroit des partenaires afin de concrétiser des pistes de collaboration dans la mise en œuvre du Plan de Développement Stratégique 2023-2033</w:t>
      </w:r>
      <w:r w:rsidR="00081F24">
        <w:rPr>
          <w:rFonts w:ascii="Verdana" w:eastAsia="Calibri" w:hAnsi="Verdana" w:cs="Calibri"/>
          <w:kern w:val="0"/>
          <w:sz w:val="20"/>
          <w:szCs w:val="20"/>
          <w14:ligatures w14:val="none"/>
        </w:rPr>
        <w:t xml:space="preserve"> et à </w:t>
      </w:r>
      <w:r w:rsidR="00B479AA">
        <w:rPr>
          <w:rFonts w:ascii="Verdana" w:eastAsia="Calibri" w:hAnsi="Verdana" w:cs="Calibri"/>
          <w:kern w:val="0"/>
          <w:sz w:val="20"/>
          <w:szCs w:val="20"/>
          <w14:ligatures w14:val="none"/>
        </w:rPr>
        <w:t>l’invitation de</w:t>
      </w:r>
      <w:r w:rsidR="00081F24">
        <w:rPr>
          <w:rFonts w:ascii="Verdana" w:eastAsia="Calibri" w:hAnsi="Verdana" w:cs="Calibri"/>
          <w:kern w:val="0"/>
          <w:sz w:val="20"/>
          <w:szCs w:val="20"/>
          <w14:ligatures w14:val="none"/>
        </w:rPr>
        <w:t xml:space="preserve"> l’Organisation Internationale du travail (OIT), le Secrétariat général a </w:t>
      </w:r>
      <w:r w:rsidR="00B479AA">
        <w:rPr>
          <w:rFonts w:ascii="Verdana" w:eastAsia="Calibri" w:hAnsi="Verdana" w:cs="Calibri"/>
          <w:kern w:val="0"/>
          <w:sz w:val="20"/>
          <w:szCs w:val="20"/>
          <w14:ligatures w14:val="none"/>
        </w:rPr>
        <w:t>manifesté son intérêt,</w:t>
      </w:r>
      <w:r w:rsidR="00081F24">
        <w:rPr>
          <w:rFonts w:ascii="Verdana" w:eastAsia="Calibri" w:hAnsi="Verdana" w:cs="Calibri"/>
          <w:kern w:val="0"/>
          <w:sz w:val="20"/>
          <w:szCs w:val="20"/>
          <w14:ligatures w14:val="none"/>
        </w:rPr>
        <w:t xml:space="preserve"> en février 2024,</w:t>
      </w:r>
      <w:r w:rsidR="00B479AA">
        <w:rPr>
          <w:rFonts w:ascii="Verdana" w:eastAsia="Calibri" w:hAnsi="Verdana" w:cs="Calibri"/>
          <w:kern w:val="0"/>
          <w:sz w:val="20"/>
          <w:szCs w:val="20"/>
          <w14:ligatures w14:val="none"/>
        </w:rPr>
        <w:t xml:space="preserve"> à rejoindre la coalition mondiale pour la justice sociale</w:t>
      </w:r>
      <w:r w:rsidR="007F5841">
        <w:rPr>
          <w:rFonts w:ascii="Verdana" w:eastAsia="Calibri" w:hAnsi="Verdana" w:cs="Calibri"/>
          <w:kern w:val="0"/>
          <w:sz w:val="20"/>
          <w:szCs w:val="20"/>
          <w14:ligatures w14:val="none"/>
        </w:rPr>
        <w:t xml:space="preserve"> (Annexe 1)</w:t>
      </w:r>
      <w:r w:rsidR="00B479AA">
        <w:rPr>
          <w:rFonts w:ascii="Verdana" w:eastAsia="Calibri" w:hAnsi="Verdana" w:cs="Calibri"/>
          <w:kern w:val="0"/>
          <w:sz w:val="20"/>
          <w:szCs w:val="20"/>
          <w14:ligatures w14:val="none"/>
        </w:rPr>
        <w:t>.</w:t>
      </w:r>
    </w:p>
    <w:p w14:paraId="3338CB6C" w14:textId="77777777" w:rsidR="00B23FCE" w:rsidRPr="007F5841" w:rsidRDefault="00B23FCE" w:rsidP="007F5841">
      <w:pPr>
        <w:pStyle w:val="Paragraphedeliste"/>
        <w:numPr>
          <w:ilvl w:val="0"/>
          <w:numId w:val="5"/>
        </w:numPr>
        <w:jc w:val="both"/>
        <w:rPr>
          <w:rFonts w:ascii="Verdana" w:eastAsia="Calibri" w:hAnsi="Verdana" w:cs="Calibri"/>
          <w:b/>
          <w:bCs/>
          <w:color w:val="0070C0"/>
          <w:kern w:val="0"/>
          <w:szCs w:val="20"/>
          <w14:ligatures w14:val="none"/>
        </w:rPr>
      </w:pPr>
      <w:r w:rsidRPr="007F5841">
        <w:rPr>
          <w:rFonts w:ascii="Verdana" w:eastAsia="Calibri" w:hAnsi="Verdana" w:cs="Calibri"/>
          <w:b/>
          <w:bCs/>
          <w:color w:val="0070C0"/>
          <w:kern w:val="0"/>
          <w:szCs w:val="20"/>
          <w14:ligatures w14:val="none"/>
        </w:rPr>
        <w:t>Etat d’avancement</w:t>
      </w:r>
    </w:p>
    <w:p w14:paraId="5DB64669" w14:textId="77777777" w:rsidR="0061044F" w:rsidRDefault="00B479AA" w:rsidP="00B23FCE">
      <w:pPr>
        <w:jc w:val="both"/>
        <w:rPr>
          <w:rFonts w:ascii="Verdana" w:eastAsia="Calibri" w:hAnsi="Verdana" w:cs="Calibri"/>
          <w:kern w:val="0"/>
          <w:sz w:val="20"/>
          <w:szCs w:val="20"/>
          <w14:ligatures w14:val="none"/>
        </w:rPr>
      </w:pPr>
      <w:r>
        <w:rPr>
          <w:rFonts w:ascii="Verdana" w:eastAsia="Calibri" w:hAnsi="Verdana" w:cs="Calibri"/>
          <w:kern w:val="0"/>
          <w:sz w:val="20"/>
          <w:szCs w:val="20"/>
          <w14:ligatures w14:val="none"/>
        </w:rPr>
        <w:t>A cet effet, le Secrétariat général a adressé, le 14 février 2024, une demande d’</w:t>
      </w:r>
      <w:r w:rsidRPr="00B479AA">
        <w:rPr>
          <w:rFonts w:ascii="Verdana" w:eastAsia="Calibri" w:hAnsi="Verdana" w:cs="Calibri"/>
          <w:kern w:val="0"/>
          <w:sz w:val="20"/>
          <w:szCs w:val="20"/>
          <w14:ligatures w14:val="none"/>
        </w:rPr>
        <w:t>approbation de</w:t>
      </w:r>
      <w:r>
        <w:rPr>
          <w:rFonts w:ascii="Verdana" w:eastAsia="Calibri" w:hAnsi="Verdana" w:cs="Calibri"/>
          <w:kern w:val="0"/>
          <w:sz w:val="20"/>
          <w:szCs w:val="20"/>
          <w14:ligatures w14:val="none"/>
        </w:rPr>
        <w:t>s Etats membres</w:t>
      </w:r>
      <w:r w:rsidRPr="00B479AA">
        <w:rPr>
          <w:rFonts w:ascii="Verdana" w:eastAsia="Calibri" w:hAnsi="Verdana" w:cs="Calibri"/>
          <w:kern w:val="0"/>
          <w:sz w:val="20"/>
          <w:szCs w:val="20"/>
          <w14:ligatures w14:val="none"/>
        </w:rPr>
        <w:t xml:space="preserve"> pour l’adhésion de la COI à cette Coalition.</w:t>
      </w:r>
      <w:r>
        <w:rPr>
          <w:rFonts w:ascii="Verdana" w:eastAsia="Calibri" w:hAnsi="Verdana" w:cs="Calibri"/>
          <w:kern w:val="0"/>
          <w:sz w:val="20"/>
          <w:szCs w:val="20"/>
          <w14:ligatures w14:val="none"/>
        </w:rPr>
        <w:t xml:space="preserve"> </w:t>
      </w:r>
    </w:p>
    <w:p w14:paraId="37DD6B89" w14:textId="77777777" w:rsidR="00CF43BA" w:rsidRDefault="00B479AA" w:rsidP="00B23FCE">
      <w:pPr>
        <w:jc w:val="both"/>
        <w:rPr>
          <w:rFonts w:ascii="Verdana" w:eastAsia="Calibri" w:hAnsi="Verdana" w:cs="Calibri"/>
          <w:kern w:val="0"/>
          <w:sz w:val="20"/>
          <w:szCs w:val="20"/>
          <w14:ligatures w14:val="none"/>
        </w:rPr>
      </w:pPr>
      <w:r>
        <w:rPr>
          <w:rFonts w:ascii="Verdana" w:eastAsia="Calibri" w:hAnsi="Verdana" w:cs="Calibri"/>
          <w:kern w:val="0"/>
          <w:sz w:val="20"/>
          <w:szCs w:val="20"/>
          <w14:ligatures w14:val="none"/>
        </w:rPr>
        <w:t>C</w:t>
      </w:r>
      <w:r w:rsidRPr="00B479AA">
        <w:rPr>
          <w:rFonts w:ascii="Verdana" w:eastAsia="Calibri" w:hAnsi="Verdana" w:cs="Calibri"/>
          <w:kern w:val="0"/>
          <w:sz w:val="20"/>
          <w:szCs w:val="20"/>
          <w14:ligatures w14:val="none"/>
        </w:rPr>
        <w:t xml:space="preserve">ette initiative </w:t>
      </w:r>
      <w:r>
        <w:rPr>
          <w:rFonts w:ascii="Verdana" w:eastAsia="Calibri" w:hAnsi="Verdana" w:cs="Calibri"/>
          <w:kern w:val="0"/>
          <w:sz w:val="20"/>
          <w:szCs w:val="20"/>
          <w14:ligatures w14:val="none"/>
        </w:rPr>
        <w:t>du Directeur génér</w:t>
      </w:r>
      <w:r w:rsidRPr="00B479AA">
        <w:rPr>
          <w:rFonts w:ascii="Verdana" w:eastAsia="Calibri" w:hAnsi="Verdana" w:cs="Calibri"/>
          <w:kern w:val="0"/>
          <w:sz w:val="20"/>
          <w:szCs w:val="20"/>
          <w14:ligatures w14:val="none"/>
        </w:rPr>
        <w:t>al de l’OIT, approuvée par le Conseil d’administration du Bureau international du Travail (BIT) en novembre 2023, a pour objectif de mobiliser gouvernements, organisations d’employeurs et de travailleurs, organisations internationales et régionales, institutions financières et banques de développement, entreprises, organisations internationales non gouvernementales (OING) et institutions académiques, au sein d’une plateforme d’échange, de dialogue et de collaboration pour faire avancer la justice sociale et atteindre les Objectifs de développement durable en lien avec l’Agenda pour le travail décent, aux niveaux mondial, régional et/ou national.</w:t>
      </w:r>
      <w:r>
        <w:rPr>
          <w:rFonts w:ascii="Verdana" w:eastAsia="Calibri" w:hAnsi="Verdana" w:cs="Calibri"/>
          <w:kern w:val="0"/>
          <w:sz w:val="20"/>
          <w:szCs w:val="20"/>
          <w14:ligatures w14:val="none"/>
        </w:rPr>
        <w:t xml:space="preserve"> </w:t>
      </w:r>
    </w:p>
    <w:p w14:paraId="50D3F54D" w14:textId="1D4DC55D" w:rsidR="00E925B8" w:rsidRPr="00817188" w:rsidRDefault="00B479AA" w:rsidP="00F71A5E">
      <w:pPr>
        <w:jc w:val="both"/>
        <w:rPr>
          <w:rFonts w:ascii="Verdana" w:eastAsia="Calibri" w:hAnsi="Verdana" w:cs="Calibri"/>
          <w:kern w:val="0"/>
          <w:sz w:val="20"/>
          <w:szCs w:val="20"/>
          <w14:ligatures w14:val="none"/>
        </w:rPr>
      </w:pPr>
      <w:r>
        <w:rPr>
          <w:rFonts w:ascii="Verdana" w:eastAsia="Calibri" w:hAnsi="Verdana" w:cs="Calibri"/>
          <w:kern w:val="0"/>
          <w:sz w:val="20"/>
          <w:szCs w:val="20"/>
          <w14:ligatures w14:val="none"/>
        </w:rPr>
        <w:t xml:space="preserve">Cette plateforme constitue une  </w:t>
      </w:r>
      <w:r w:rsidRPr="00B479AA">
        <w:rPr>
          <w:rFonts w:ascii="Verdana" w:eastAsia="Calibri" w:hAnsi="Verdana" w:cs="Calibri"/>
          <w:kern w:val="0"/>
          <w:sz w:val="20"/>
          <w:szCs w:val="20"/>
          <w14:ligatures w14:val="none"/>
        </w:rPr>
        <w:t xml:space="preserve">opportunité à </w:t>
      </w:r>
      <w:r>
        <w:rPr>
          <w:rFonts w:ascii="Verdana" w:eastAsia="Calibri" w:hAnsi="Verdana" w:cs="Calibri"/>
          <w:kern w:val="0"/>
          <w:sz w:val="20"/>
          <w:szCs w:val="20"/>
          <w14:ligatures w14:val="none"/>
        </w:rPr>
        <w:t xml:space="preserve">la COI </w:t>
      </w:r>
      <w:r w:rsidRPr="00B479AA">
        <w:rPr>
          <w:rFonts w:ascii="Verdana" w:eastAsia="Calibri" w:hAnsi="Verdana" w:cs="Calibri"/>
          <w:kern w:val="0"/>
          <w:sz w:val="20"/>
          <w:szCs w:val="20"/>
          <w14:ligatures w14:val="none"/>
        </w:rPr>
        <w:t>d’être partie prenante du dialogue, du plaidoyer ainsi que des actions en faveur d’initiatives concrètes pour  « parvenir à un meilleur équilibre entre les dimensions économique, sociale et environnementale du développement durable conduisant à de meilleures opportunités d'emploi, une meilleure alimentation et une meilleure éducation pour les travailleurs et leurs familles », mais également d’avoir une visibilité accrue sur les aspects de son mandat en matière de justice sociale et ce, en lien avec à son nouveau Plan de Développement Stratégique</w:t>
      </w:r>
      <w:r w:rsidR="00F71A5E" w:rsidRPr="00EA4EC5">
        <w:rPr>
          <w:rFonts w:ascii="Verdana" w:eastAsia="Calibri" w:hAnsi="Verdana" w:cs="Calibri"/>
          <w:kern w:val="0"/>
          <w:sz w:val="20"/>
          <w:szCs w:val="20"/>
          <w14:ligatures w14:val="none"/>
        </w:rPr>
        <w:t>, à savoir l’</w:t>
      </w:r>
      <w:r w:rsidR="00CA27EF" w:rsidRPr="00817188">
        <w:rPr>
          <w:rFonts w:ascii="Verdana" w:hAnsi="Verdana"/>
          <w:sz w:val="20"/>
          <w:szCs w:val="20"/>
        </w:rPr>
        <w:t>AXE 2 | Une Indianocéanie de développement économique intégré, durable et innovant</w:t>
      </w:r>
      <w:r w:rsidR="00544AED" w:rsidRPr="00817188">
        <w:rPr>
          <w:rFonts w:ascii="Verdana" w:hAnsi="Verdana"/>
          <w:sz w:val="20"/>
          <w:szCs w:val="20"/>
        </w:rPr>
        <w:t xml:space="preserve"> </w:t>
      </w:r>
      <w:r w:rsidR="00F71A5E" w:rsidRPr="00817188">
        <w:rPr>
          <w:rFonts w:ascii="Verdana" w:hAnsi="Verdana"/>
          <w:sz w:val="20"/>
          <w:szCs w:val="20"/>
        </w:rPr>
        <w:t xml:space="preserve">| 2.3. </w:t>
      </w:r>
      <w:r w:rsidR="00544AED" w:rsidRPr="00817188">
        <w:rPr>
          <w:rFonts w:ascii="Verdana" w:hAnsi="Verdana"/>
          <w:sz w:val="20"/>
          <w:szCs w:val="20"/>
        </w:rPr>
        <w:t>Inscrire la coopération économique dans un mouvement de transition écologique et énergétique</w:t>
      </w:r>
      <w:r w:rsidR="00F71A5E" w:rsidRPr="00817188">
        <w:rPr>
          <w:rFonts w:ascii="Verdana" w:hAnsi="Verdana"/>
          <w:sz w:val="20"/>
          <w:szCs w:val="20"/>
        </w:rPr>
        <w:t xml:space="preserve"> | Objectif spécifique 4 : </w:t>
      </w:r>
      <w:r w:rsidR="0000309F" w:rsidRPr="00817188">
        <w:rPr>
          <w:rFonts w:ascii="Verdana" w:hAnsi="Verdana"/>
          <w:sz w:val="20"/>
          <w:szCs w:val="20"/>
        </w:rPr>
        <w:t>Soutenir une coopération économique en faveur de la transition énergétique et écologique à travers l’innovation, l’entrepreneuriat et la formation</w:t>
      </w:r>
      <w:r w:rsidR="00F71A5E" w:rsidRPr="00817188">
        <w:rPr>
          <w:rFonts w:ascii="Verdana" w:hAnsi="Verdana"/>
          <w:sz w:val="20"/>
          <w:szCs w:val="20"/>
        </w:rPr>
        <w:t xml:space="preserve"> ainsi que l’</w:t>
      </w:r>
      <w:r w:rsidR="0000309F" w:rsidRPr="00817188">
        <w:rPr>
          <w:rFonts w:ascii="Verdana" w:hAnsi="Verdana"/>
          <w:sz w:val="20"/>
          <w:szCs w:val="20"/>
        </w:rPr>
        <w:t>AXE 3 | Une Indianocéanie d’épanouissement humain et inclusive</w:t>
      </w:r>
      <w:r w:rsidR="00F71A5E" w:rsidRPr="00817188">
        <w:rPr>
          <w:rFonts w:ascii="Verdana" w:hAnsi="Verdana"/>
          <w:sz w:val="20"/>
          <w:szCs w:val="20"/>
        </w:rPr>
        <w:t xml:space="preserve"> | 3</w:t>
      </w:r>
      <w:r w:rsidR="0000309F" w:rsidRPr="00817188">
        <w:rPr>
          <w:rFonts w:ascii="Verdana" w:hAnsi="Verdana"/>
          <w:sz w:val="20"/>
          <w:szCs w:val="20"/>
        </w:rPr>
        <w:t>.2. Promouvoir l’égalité femme-homme et soutenir l’autonomisation des femmes et des jeunes</w:t>
      </w:r>
      <w:r w:rsidR="00F71A5E" w:rsidRPr="00817188">
        <w:rPr>
          <w:rFonts w:ascii="Verdana" w:hAnsi="Verdana"/>
          <w:sz w:val="20"/>
          <w:szCs w:val="20"/>
        </w:rPr>
        <w:t xml:space="preserve"> </w:t>
      </w:r>
      <w:r w:rsidR="00F71A5E" w:rsidRPr="00817188">
        <w:rPr>
          <w:rFonts w:ascii="Verdana" w:hAnsi="Verdana"/>
          <w:sz w:val="20"/>
          <w:szCs w:val="20"/>
        </w:rPr>
        <w:softHyphen/>
        <w:t>| Objectif spécifique 6</w:t>
      </w:r>
      <w:r w:rsidR="00E925B8" w:rsidRPr="00817188">
        <w:rPr>
          <w:rFonts w:ascii="Verdana" w:hAnsi="Verdana"/>
          <w:sz w:val="20"/>
          <w:szCs w:val="20"/>
        </w:rPr>
        <w:t xml:space="preserve"> : Promouvoir de manière systématique et transversale l’équité et l’inclusivité pour assurer le bien-être des populations et plus particulièrement des femmes et des jeunes</w:t>
      </w:r>
      <w:r w:rsidR="00F71A5E" w:rsidRPr="00817188">
        <w:rPr>
          <w:rFonts w:ascii="Verdana" w:hAnsi="Verdana"/>
          <w:sz w:val="20"/>
          <w:szCs w:val="20"/>
        </w:rPr>
        <w:t>.</w:t>
      </w:r>
    </w:p>
    <w:p w14:paraId="1B486457" w14:textId="520EC223" w:rsidR="00EA4EC5" w:rsidRDefault="00B479AA" w:rsidP="00B23FCE">
      <w:pPr>
        <w:jc w:val="both"/>
        <w:rPr>
          <w:rFonts w:ascii="Verdana" w:eastAsia="Calibri" w:hAnsi="Verdana" w:cs="Calibri"/>
          <w:kern w:val="0"/>
          <w:sz w:val="20"/>
          <w:szCs w:val="20"/>
          <w14:ligatures w14:val="none"/>
        </w:rPr>
      </w:pPr>
      <w:r>
        <w:rPr>
          <w:rFonts w:ascii="Verdana" w:eastAsia="Calibri" w:hAnsi="Verdana" w:cs="Calibri"/>
          <w:kern w:val="0"/>
          <w:sz w:val="20"/>
          <w:szCs w:val="20"/>
          <w14:ligatures w14:val="none"/>
        </w:rPr>
        <w:t>Les dernières informations publiées par l’OIT</w:t>
      </w:r>
      <w:r w:rsidR="007F5841">
        <w:rPr>
          <w:rFonts w:ascii="Verdana" w:eastAsia="Calibri" w:hAnsi="Verdana" w:cs="Calibri"/>
          <w:kern w:val="0"/>
          <w:sz w:val="20"/>
          <w:szCs w:val="20"/>
          <w14:ligatures w14:val="none"/>
        </w:rPr>
        <w:t>,</w:t>
      </w:r>
      <w:r>
        <w:rPr>
          <w:rFonts w:ascii="Verdana" w:eastAsia="Calibri" w:hAnsi="Verdana" w:cs="Calibri"/>
          <w:kern w:val="0"/>
          <w:sz w:val="20"/>
          <w:szCs w:val="20"/>
          <w14:ligatures w14:val="none"/>
        </w:rPr>
        <w:t xml:space="preserve"> </w:t>
      </w:r>
      <w:r w:rsidR="007F5841">
        <w:rPr>
          <w:rFonts w:ascii="Verdana" w:eastAsia="Calibri" w:hAnsi="Verdana" w:cs="Calibri"/>
          <w:kern w:val="0"/>
          <w:sz w:val="20"/>
          <w:szCs w:val="20"/>
          <w14:ligatures w14:val="none"/>
        </w:rPr>
        <w:t xml:space="preserve">à ce jour, mentionnent que </w:t>
      </w:r>
      <w:r w:rsidR="007F5841" w:rsidRPr="007F5841">
        <w:rPr>
          <w:rFonts w:ascii="Verdana" w:eastAsia="Calibri" w:hAnsi="Verdana" w:cs="Calibri"/>
          <w:kern w:val="0"/>
          <w:sz w:val="20"/>
          <w:szCs w:val="20"/>
          <w14:ligatures w14:val="none"/>
        </w:rPr>
        <w:t>la Coalition regroupe 156 membres comprenant 37 gouvernements</w:t>
      </w:r>
      <w:r w:rsidR="007B0882">
        <w:rPr>
          <w:rFonts w:ascii="Verdana" w:eastAsia="Calibri" w:hAnsi="Verdana" w:cs="Calibri"/>
          <w:kern w:val="0"/>
          <w:sz w:val="20"/>
          <w:szCs w:val="20"/>
          <w14:ligatures w14:val="none"/>
        </w:rPr>
        <w:t xml:space="preserve"> dont le gouvernement de la République des Seychelles</w:t>
      </w:r>
      <w:r w:rsidR="007F5841" w:rsidRPr="007F5841">
        <w:rPr>
          <w:rFonts w:ascii="Verdana" w:eastAsia="Calibri" w:hAnsi="Verdana" w:cs="Calibri"/>
          <w:kern w:val="0"/>
          <w:sz w:val="20"/>
          <w:szCs w:val="20"/>
          <w14:ligatures w14:val="none"/>
        </w:rPr>
        <w:t xml:space="preserve">, 41 </w:t>
      </w:r>
      <w:r w:rsidR="009C6599" w:rsidRPr="007F5841">
        <w:rPr>
          <w:rFonts w:ascii="Verdana" w:eastAsia="Calibri" w:hAnsi="Verdana" w:cs="Calibri"/>
          <w:kern w:val="0"/>
          <w:sz w:val="20"/>
          <w:szCs w:val="20"/>
          <w14:ligatures w14:val="none"/>
        </w:rPr>
        <w:t xml:space="preserve">organisations de travailleurs </w:t>
      </w:r>
      <w:r w:rsidR="007F5841" w:rsidRPr="007F5841">
        <w:rPr>
          <w:rFonts w:ascii="Verdana" w:eastAsia="Calibri" w:hAnsi="Verdana" w:cs="Calibri"/>
          <w:kern w:val="0"/>
          <w:sz w:val="20"/>
          <w:szCs w:val="20"/>
          <w14:ligatures w14:val="none"/>
        </w:rPr>
        <w:t>et 15</w:t>
      </w:r>
      <w:r w:rsidR="009C6599" w:rsidRPr="009C6599">
        <w:rPr>
          <w:rFonts w:ascii="Verdana" w:eastAsia="Calibri" w:hAnsi="Verdana" w:cs="Calibri"/>
          <w:kern w:val="0"/>
          <w:sz w:val="20"/>
          <w:szCs w:val="20"/>
          <w14:ligatures w14:val="none"/>
        </w:rPr>
        <w:t xml:space="preserve"> </w:t>
      </w:r>
      <w:r w:rsidR="009C6599" w:rsidRPr="007F5841">
        <w:rPr>
          <w:rFonts w:ascii="Verdana" w:eastAsia="Calibri" w:hAnsi="Verdana" w:cs="Calibri"/>
          <w:kern w:val="0"/>
          <w:sz w:val="20"/>
          <w:szCs w:val="20"/>
          <w14:ligatures w14:val="none"/>
        </w:rPr>
        <w:t>organisations d'employeurs</w:t>
      </w:r>
      <w:r w:rsidR="009C6599">
        <w:rPr>
          <w:rFonts w:ascii="Verdana" w:eastAsia="Calibri" w:hAnsi="Verdana" w:cs="Calibri"/>
          <w:kern w:val="0"/>
          <w:sz w:val="20"/>
          <w:szCs w:val="20"/>
          <w14:ligatures w14:val="none"/>
        </w:rPr>
        <w:t xml:space="preserve"> dont une association patronale de Madagascar</w:t>
      </w:r>
      <w:r w:rsidR="007F5841" w:rsidRPr="007F5841">
        <w:rPr>
          <w:rFonts w:ascii="Verdana" w:eastAsia="Calibri" w:hAnsi="Verdana" w:cs="Calibri"/>
          <w:kern w:val="0"/>
          <w:sz w:val="20"/>
          <w:szCs w:val="20"/>
          <w14:ligatures w14:val="none"/>
        </w:rPr>
        <w:t>, 15 organisations internationales et institutions financières, ainsi que 16 entités régionales, 19 OING, 6 entreprises et 7 institutions académiques</w:t>
      </w:r>
      <w:r w:rsidR="007F5841">
        <w:rPr>
          <w:rFonts w:ascii="Verdana" w:eastAsia="Calibri" w:hAnsi="Verdana" w:cs="Calibri"/>
          <w:kern w:val="0"/>
          <w:sz w:val="20"/>
          <w:szCs w:val="20"/>
          <w14:ligatures w14:val="none"/>
        </w:rPr>
        <w:t xml:space="preserve"> (Annexe 2).  </w:t>
      </w:r>
    </w:p>
    <w:p w14:paraId="0952C4C0" w14:textId="77777777" w:rsidR="00EA4EC5" w:rsidRDefault="00EA4EC5" w:rsidP="00B23FCE">
      <w:pPr>
        <w:jc w:val="both"/>
        <w:rPr>
          <w:rFonts w:ascii="Verdana" w:eastAsia="Calibri" w:hAnsi="Verdana" w:cs="Calibri"/>
          <w:kern w:val="0"/>
          <w:sz w:val="20"/>
          <w:szCs w:val="20"/>
          <w14:ligatures w14:val="none"/>
        </w:rPr>
      </w:pPr>
    </w:p>
    <w:p w14:paraId="47F7E9A4" w14:textId="77777777" w:rsidR="00EA4EC5" w:rsidRDefault="00EA4EC5" w:rsidP="00B23FCE">
      <w:pPr>
        <w:jc w:val="both"/>
        <w:rPr>
          <w:rFonts w:ascii="Verdana" w:eastAsia="Calibri" w:hAnsi="Verdana" w:cs="Calibri"/>
          <w:kern w:val="0"/>
          <w:sz w:val="20"/>
          <w:szCs w:val="20"/>
          <w14:ligatures w14:val="none"/>
        </w:rPr>
      </w:pPr>
    </w:p>
    <w:p w14:paraId="51AD36E4" w14:textId="66C25306" w:rsidR="00B479AA" w:rsidRPr="00B23FCE" w:rsidRDefault="007F5841" w:rsidP="00B23FCE">
      <w:pPr>
        <w:jc w:val="both"/>
        <w:rPr>
          <w:rFonts w:ascii="Verdana" w:eastAsia="Calibri" w:hAnsi="Verdana" w:cs="Calibri"/>
          <w:kern w:val="0"/>
          <w:sz w:val="20"/>
          <w:szCs w:val="20"/>
          <w14:ligatures w14:val="none"/>
        </w:rPr>
      </w:pPr>
      <w:r>
        <w:rPr>
          <w:rFonts w:ascii="Verdana" w:eastAsia="Calibri" w:hAnsi="Verdana" w:cs="Calibri"/>
          <w:kern w:val="0"/>
          <w:sz w:val="20"/>
          <w:szCs w:val="20"/>
          <w14:ligatures w14:val="none"/>
        </w:rPr>
        <w:t xml:space="preserve"> </w:t>
      </w:r>
    </w:p>
    <w:p w14:paraId="50408F3E" w14:textId="77777777" w:rsidR="00817188" w:rsidRDefault="00817188" w:rsidP="00817188">
      <w:pPr>
        <w:pStyle w:val="Paragraphedeliste"/>
        <w:ind w:left="1080"/>
        <w:jc w:val="both"/>
        <w:rPr>
          <w:rFonts w:ascii="Verdana" w:eastAsia="Calibri" w:hAnsi="Verdana" w:cs="Calibri"/>
          <w:b/>
          <w:bCs/>
          <w:color w:val="0070C0"/>
          <w:kern w:val="0"/>
          <w:szCs w:val="20"/>
          <w14:ligatures w14:val="none"/>
        </w:rPr>
      </w:pPr>
    </w:p>
    <w:p w14:paraId="0396E9A2" w14:textId="694D2991" w:rsidR="00B23FCE" w:rsidRPr="007F5841" w:rsidRDefault="00B23FCE" w:rsidP="007F5841">
      <w:pPr>
        <w:pStyle w:val="Paragraphedeliste"/>
        <w:numPr>
          <w:ilvl w:val="0"/>
          <w:numId w:val="5"/>
        </w:numPr>
        <w:jc w:val="both"/>
        <w:rPr>
          <w:rFonts w:ascii="Verdana" w:eastAsia="Calibri" w:hAnsi="Verdana" w:cs="Calibri"/>
          <w:b/>
          <w:bCs/>
          <w:color w:val="0070C0"/>
          <w:kern w:val="0"/>
          <w:szCs w:val="20"/>
          <w14:ligatures w14:val="none"/>
        </w:rPr>
      </w:pPr>
      <w:r w:rsidRPr="007F5841">
        <w:rPr>
          <w:rFonts w:ascii="Verdana" w:eastAsia="Calibri" w:hAnsi="Verdana" w:cs="Calibri"/>
          <w:b/>
          <w:bCs/>
          <w:color w:val="0070C0"/>
          <w:kern w:val="0"/>
          <w:szCs w:val="20"/>
          <w14:ligatures w14:val="none"/>
        </w:rPr>
        <w:t>Proposition de décision</w:t>
      </w:r>
    </w:p>
    <w:p w14:paraId="1516846E" w14:textId="22C7F678" w:rsidR="00B23FCE" w:rsidRPr="00B23FCE" w:rsidRDefault="00B23FCE" w:rsidP="00817188">
      <w:pPr>
        <w:jc w:val="both"/>
        <w:rPr>
          <w:rFonts w:ascii="Verdana" w:eastAsia="Calibri" w:hAnsi="Verdana" w:cs="Calibri"/>
          <w:kern w:val="0"/>
          <w:sz w:val="20"/>
          <w:szCs w:val="20"/>
          <w14:ligatures w14:val="none"/>
        </w:rPr>
      </w:pPr>
      <w:r w:rsidRPr="00B23FCE">
        <w:rPr>
          <w:rFonts w:ascii="Verdana" w:eastAsia="Calibri" w:hAnsi="Verdana" w:cs="Calibri"/>
          <w:kern w:val="0"/>
          <w:sz w:val="20"/>
          <w:szCs w:val="20"/>
          <w14:ligatures w14:val="none"/>
        </w:rPr>
        <w:t xml:space="preserve">Le Comité des OPL </w:t>
      </w:r>
      <w:r w:rsidR="00EA4EC5">
        <w:rPr>
          <w:rFonts w:ascii="Verdana" w:eastAsia="Calibri" w:hAnsi="Verdana" w:cs="Calibri"/>
          <w:kern w:val="0"/>
          <w:sz w:val="20"/>
          <w:szCs w:val="20"/>
          <w14:ligatures w14:val="none"/>
        </w:rPr>
        <w:t>r</w:t>
      </w:r>
      <w:r w:rsidR="00EA4EC5" w:rsidRPr="00B23FCE">
        <w:rPr>
          <w:rFonts w:ascii="Verdana" w:eastAsia="Calibri" w:hAnsi="Verdana" w:cs="Calibri"/>
          <w:kern w:val="0"/>
          <w:sz w:val="20"/>
          <w:szCs w:val="20"/>
          <w14:ligatures w14:val="none"/>
        </w:rPr>
        <w:t xml:space="preserve">ecommande </w:t>
      </w:r>
      <w:r w:rsidR="00EA4EC5">
        <w:rPr>
          <w:rFonts w:ascii="Verdana" w:eastAsia="Calibri" w:hAnsi="Verdana" w:cs="Calibri"/>
          <w:kern w:val="0"/>
          <w:sz w:val="20"/>
          <w:szCs w:val="20"/>
          <w14:ligatures w14:val="none"/>
        </w:rPr>
        <w:t>au</w:t>
      </w:r>
      <w:r w:rsidR="00EA4EC5" w:rsidRPr="00B23FCE">
        <w:rPr>
          <w:rFonts w:ascii="Verdana" w:eastAsia="Calibri" w:hAnsi="Verdana" w:cs="Calibri"/>
          <w:kern w:val="0"/>
          <w:sz w:val="20"/>
          <w:szCs w:val="20"/>
          <w14:ligatures w14:val="none"/>
        </w:rPr>
        <w:t xml:space="preserve"> Conseil des </w:t>
      </w:r>
      <w:r w:rsidR="00EA4EC5">
        <w:rPr>
          <w:rFonts w:ascii="Verdana" w:eastAsia="Calibri" w:hAnsi="Verdana" w:cs="Calibri"/>
          <w:kern w:val="0"/>
          <w:sz w:val="20"/>
          <w:szCs w:val="20"/>
          <w14:ligatures w14:val="none"/>
        </w:rPr>
        <w:t>m</w:t>
      </w:r>
      <w:r w:rsidR="00EA4EC5" w:rsidRPr="00B23FCE">
        <w:rPr>
          <w:rFonts w:ascii="Verdana" w:eastAsia="Calibri" w:hAnsi="Verdana" w:cs="Calibri"/>
          <w:kern w:val="0"/>
          <w:sz w:val="20"/>
          <w:szCs w:val="20"/>
          <w14:ligatures w14:val="none"/>
        </w:rPr>
        <w:t xml:space="preserve">inistres </w:t>
      </w:r>
      <w:r w:rsidR="00EA4EC5">
        <w:rPr>
          <w:rFonts w:ascii="Verdana" w:eastAsia="Calibri" w:hAnsi="Verdana" w:cs="Calibri"/>
          <w:kern w:val="0"/>
          <w:sz w:val="20"/>
          <w:szCs w:val="20"/>
          <w14:ligatures w14:val="none"/>
        </w:rPr>
        <w:t>d’</w:t>
      </w:r>
      <w:r w:rsidRPr="00B23FCE">
        <w:rPr>
          <w:rFonts w:ascii="Verdana" w:eastAsia="Calibri" w:hAnsi="Verdana" w:cs="Calibri"/>
          <w:kern w:val="0"/>
          <w:sz w:val="20"/>
          <w:szCs w:val="20"/>
          <w14:ligatures w14:val="none"/>
        </w:rPr>
        <w:t xml:space="preserve">approuver la démarche d’adhésion formelle de la COI à la coalition mondiale pour la justice sociale et </w:t>
      </w:r>
      <w:r w:rsidR="00176DF1">
        <w:rPr>
          <w:rFonts w:ascii="Verdana" w:eastAsia="Calibri" w:hAnsi="Verdana" w:cs="Calibri"/>
          <w:kern w:val="0"/>
          <w:sz w:val="20"/>
          <w:szCs w:val="20"/>
          <w14:ligatures w14:val="none"/>
        </w:rPr>
        <w:t xml:space="preserve">de </w:t>
      </w:r>
      <w:r w:rsidRPr="00B23FCE">
        <w:rPr>
          <w:rFonts w:ascii="Verdana" w:eastAsia="Calibri" w:hAnsi="Verdana" w:cs="Calibri"/>
          <w:kern w:val="0"/>
          <w:sz w:val="20"/>
          <w:szCs w:val="20"/>
          <w14:ligatures w14:val="none"/>
        </w:rPr>
        <w:t>mandate</w:t>
      </w:r>
      <w:r w:rsidR="00176DF1">
        <w:rPr>
          <w:rFonts w:ascii="Verdana" w:eastAsia="Calibri" w:hAnsi="Verdana" w:cs="Calibri"/>
          <w:kern w:val="0"/>
          <w:sz w:val="20"/>
          <w:szCs w:val="20"/>
          <w14:ligatures w14:val="none"/>
        </w:rPr>
        <w:t>r</w:t>
      </w:r>
      <w:r w:rsidRPr="00B23FCE">
        <w:rPr>
          <w:rFonts w:ascii="Verdana" w:eastAsia="Calibri" w:hAnsi="Verdana" w:cs="Calibri"/>
          <w:kern w:val="0"/>
          <w:sz w:val="20"/>
          <w:szCs w:val="20"/>
          <w14:ligatures w14:val="none"/>
        </w:rPr>
        <w:t xml:space="preserve"> le Secrétaire général à y représenter l’institution.</w:t>
      </w:r>
    </w:p>
    <w:p w14:paraId="20D306ED" w14:textId="77777777" w:rsidR="00B23FCE" w:rsidRPr="00B23FCE" w:rsidRDefault="00B23FCE" w:rsidP="00B23FCE">
      <w:pPr>
        <w:ind w:left="720"/>
        <w:contextualSpacing/>
        <w:rPr>
          <w:rFonts w:ascii="Verdana" w:eastAsia="Calibri" w:hAnsi="Verdana" w:cs="Calibri"/>
          <w:kern w:val="0"/>
          <w:sz w:val="20"/>
          <w:szCs w:val="20"/>
          <w14:ligatures w14:val="none"/>
        </w:rPr>
      </w:pPr>
    </w:p>
    <w:bookmarkEnd w:id="0"/>
    <w:p w14:paraId="5ABD73E2" w14:textId="77777777" w:rsidR="00B23FCE" w:rsidRPr="007F5841" w:rsidRDefault="00B23FCE" w:rsidP="007F5841">
      <w:pPr>
        <w:pStyle w:val="Paragraphedeliste"/>
        <w:numPr>
          <w:ilvl w:val="0"/>
          <w:numId w:val="5"/>
        </w:numPr>
        <w:jc w:val="both"/>
        <w:rPr>
          <w:rFonts w:ascii="Verdana" w:eastAsia="Calibri" w:hAnsi="Verdana" w:cs="Calibri"/>
          <w:b/>
          <w:bCs/>
          <w:color w:val="0070C0"/>
          <w:kern w:val="0"/>
          <w:szCs w:val="20"/>
          <w14:ligatures w14:val="none"/>
        </w:rPr>
      </w:pPr>
      <w:r w:rsidRPr="007F5841">
        <w:rPr>
          <w:rFonts w:ascii="Verdana" w:eastAsia="Calibri" w:hAnsi="Verdana" w:cs="Calibri"/>
          <w:b/>
          <w:bCs/>
          <w:color w:val="0070C0"/>
          <w:kern w:val="0"/>
          <w:szCs w:val="20"/>
          <w14:ligatures w14:val="none"/>
        </w:rPr>
        <w:t>Annexes :</w:t>
      </w:r>
    </w:p>
    <w:p w14:paraId="31139160" w14:textId="18E043E5" w:rsidR="00B23FCE" w:rsidRPr="00B23FCE" w:rsidRDefault="00B23FCE" w:rsidP="00B23FCE">
      <w:pPr>
        <w:numPr>
          <w:ilvl w:val="0"/>
          <w:numId w:val="2"/>
        </w:numPr>
        <w:jc w:val="both"/>
        <w:rPr>
          <w:rFonts w:ascii="Verdana" w:eastAsia="Calibri" w:hAnsi="Verdana" w:cs="Calibri"/>
          <w:kern w:val="0"/>
          <w:sz w:val="20"/>
          <w:szCs w:val="20"/>
          <w14:ligatures w14:val="none"/>
        </w:rPr>
      </w:pPr>
      <w:r w:rsidRPr="00B23FCE">
        <w:rPr>
          <w:rFonts w:ascii="Verdana" w:eastAsia="Calibri" w:hAnsi="Verdana" w:cs="Calibri"/>
          <w:kern w:val="0"/>
          <w:sz w:val="20"/>
          <w:szCs w:val="20"/>
          <w14:ligatures w14:val="none"/>
        </w:rPr>
        <w:t xml:space="preserve">Annexe 1 : </w:t>
      </w:r>
      <w:r w:rsidR="007F5841">
        <w:rPr>
          <w:rFonts w:ascii="Verdana" w:eastAsia="Calibri" w:hAnsi="Verdana" w:cs="Calibri"/>
          <w:kern w:val="0"/>
          <w:sz w:val="20"/>
          <w:szCs w:val="20"/>
          <w14:ligatures w14:val="none"/>
        </w:rPr>
        <w:t>Note conceptuelle de présentation de la coalition mondiale pour la justice sociale.</w:t>
      </w:r>
    </w:p>
    <w:p w14:paraId="7EC4F4C8" w14:textId="66D913C6" w:rsidR="003D071E" w:rsidRDefault="00B23FCE" w:rsidP="007F5841">
      <w:pPr>
        <w:numPr>
          <w:ilvl w:val="0"/>
          <w:numId w:val="2"/>
        </w:numPr>
        <w:jc w:val="both"/>
      </w:pPr>
      <w:r w:rsidRPr="00B23FCE">
        <w:rPr>
          <w:rFonts w:ascii="Verdana" w:eastAsia="Calibri" w:hAnsi="Verdana" w:cs="Calibri"/>
          <w:kern w:val="0"/>
          <w:sz w:val="20"/>
          <w:szCs w:val="20"/>
          <w14:ligatures w14:val="none"/>
        </w:rPr>
        <w:t>Annexe 2 :  </w:t>
      </w:r>
      <w:r w:rsidR="007F5841" w:rsidRPr="007F5841">
        <w:rPr>
          <w:rFonts w:ascii="Verdana" w:eastAsia="Calibri" w:hAnsi="Verdana" w:cs="Calibri"/>
          <w:kern w:val="0"/>
          <w:sz w:val="20"/>
          <w:szCs w:val="20"/>
          <w14:ligatures w14:val="none"/>
        </w:rPr>
        <w:t>Liste des entités membres de la coalition mondiale pour la justice sociale.</w:t>
      </w:r>
    </w:p>
    <w:sectPr w:rsidR="003D071E" w:rsidSect="00B23FCE">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ABCC" w14:textId="77777777" w:rsidR="004F2101" w:rsidRDefault="004F2101" w:rsidP="004F2101">
      <w:pPr>
        <w:spacing w:after="0" w:line="240" w:lineRule="auto"/>
      </w:pPr>
      <w:r>
        <w:separator/>
      </w:r>
    </w:p>
  </w:endnote>
  <w:endnote w:type="continuationSeparator" w:id="0">
    <w:p w14:paraId="4C994934" w14:textId="77777777" w:rsidR="004F2101" w:rsidRDefault="004F2101" w:rsidP="004F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5844A34E" w14:textId="77777777" w:rsidR="00AC16C4" w:rsidRPr="00F66A4B" w:rsidRDefault="00AC16C4" w:rsidP="00B23FCE">
        <w:pPr>
          <w:pStyle w:val="Pieddepage"/>
          <w:pBdr>
            <w:top w:val="single" w:sz="4" w:space="1" w:color="ED7D31"/>
          </w:pBdr>
          <w:jc w:val="right"/>
        </w:pPr>
        <w:r w:rsidRPr="00F66A4B">
          <w:fldChar w:fldCharType="begin"/>
        </w:r>
        <w:r w:rsidRPr="00F66A4B">
          <w:instrText>PAGE   \* MERGEFORMAT</w:instrText>
        </w:r>
        <w:r w:rsidRPr="00F66A4B">
          <w:fldChar w:fldCharType="separate"/>
        </w:r>
        <w:r w:rsidRPr="00F66A4B">
          <w:t>2</w:t>
        </w:r>
        <w:r w:rsidRPr="00F66A4B">
          <w:fldChar w:fldCharType="end"/>
        </w:r>
      </w:p>
    </w:sdtContent>
  </w:sdt>
  <w:p w14:paraId="5C39CAB1" w14:textId="77777777" w:rsidR="00AC16C4" w:rsidRPr="00F66A4B" w:rsidRDefault="00AC16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61D8" w14:textId="77777777" w:rsidR="004F2101" w:rsidRDefault="004F2101" w:rsidP="004F2101">
      <w:pPr>
        <w:spacing w:after="0" w:line="240" w:lineRule="auto"/>
      </w:pPr>
      <w:r>
        <w:separator/>
      </w:r>
    </w:p>
  </w:footnote>
  <w:footnote w:type="continuationSeparator" w:id="0">
    <w:p w14:paraId="344FCD6A" w14:textId="77777777" w:rsidR="004F2101" w:rsidRDefault="004F2101" w:rsidP="004F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E54D" w14:textId="74BDB471" w:rsidR="00AC16C4" w:rsidRPr="00F66A4B" w:rsidRDefault="00AC16C4" w:rsidP="004A64E6">
    <w:pPr>
      <w:pStyle w:val="En-tte"/>
      <w:tabs>
        <w:tab w:val="clear" w:pos="4513"/>
        <w:tab w:val="center" w:pos="0"/>
      </w:tabs>
    </w:pPr>
    <w:r w:rsidRPr="00F66A4B">
      <w:rPr>
        <w:i/>
        <w:iCs/>
        <w:noProof/>
      </w:rPr>
      <w:drawing>
        <wp:inline distT="0" distB="0" distL="0" distR="0" wp14:anchorId="194CFA53" wp14:editId="392BF33B">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Pr="00F66A4B">
      <w:tab/>
    </w:r>
    <w:r w:rsidRPr="00F66A4B">
      <w:rPr>
        <w:rFonts w:ascii="Verdana" w:hAnsi="Verdana"/>
        <w:b/>
        <w:bCs/>
        <w:sz w:val="20"/>
        <w:szCs w:val="20"/>
      </w:rPr>
      <w:t xml:space="preserve">Point. </w:t>
    </w:r>
    <w:r w:rsidR="004B2FDD">
      <w:rPr>
        <w:rFonts w:ascii="Verdana" w:hAnsi="Verdana"/>
        <w:b/>
        <w:bCs/>
        <w:sz w:val="20"/>
        <w:szCs w:val="20"/>
      </w:rPr>
      <w:t>2</w:t>
    </w:r>
    <w:r w:rsidRPr="00F66A4B">
      <w:rPr>
        <w:rFonts w:ascii="Verdana" w:hAnsi="Verdana"/>
        <w:b/>
        <w:bCs/>
        <w:sz w:val="20"/>
        <w:szCs w:val="20"/>
      </w:rPr>
      <w:t>.</w:t>
    </w:r>
    <w:r w:rsidR="004B2FDD">
      <w:rPr>
        <w:rFonts w:ascii="Verdana" w:hAnsi="Verdana"/>
        <w:b/>
        <w:bCs/>
        <w:sz w:val="20"/>
        <w:szCs w:val="2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87706"/>
    <w:multiLevelType w:val="hybridMultilevel"/>
    <w:tmpl w:val="397CA5EA"/>
    <w:lvl w:ilvl="0" w:tplc="AB2E9CA6">
      <w:numFmt w:val="bullet"/>
      <w:lvlText w:val="-"/>
      <w:lvlJc w:val="left"/>
      <w:pPr>
        <w:ind w:left="360" w:hanging="360"/>
      </w:pPr>
      <w:rPr>
        <w:rFonts w:ascii="Verdana" w:eastAsiaTheme="minorHAnsi" w:hAnsi="Verdana"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7183164"/>
    <w:multiLevelType w:val="multilevel"/>
    <w:tmpl w:val="868648B6"/>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1062678941">
    <w:abstractNumId w:val="2"/>
  </w:num>
  <w:num w:numId="2" w16cid:durableId="1749184016">
    <w:abstractNumId w:val="0"/>
  </w:num>
  <w:num w:numId="3" w16cid:durableId="1851220019">
    <w:abstractNumId w:val="1"/>
  </w:num>
  <w:num w:numId="4" w16cid:durableId="1205292131">
    <w:abstractNumId w:val="3"/>
  </w:num>
  <w:num w:numId="5" w16cid:durableId="151066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CE"/>
    <w:rsid w:val="0000309F"/>
    <w:rsid w:val="00081F24"/>
    <w:rsid w:val="00176DF1"/>
    <w:rsid w:val="00266D13"/>
    <w:rsid w:val="002C2249"/>
    <w:rsid w:val="003D071E"/>
    <w:rsid w:val="004B2FDD"/>
    <w:rsid w:val="004C5AD0"/>
    <w:rsid w:val="004F2101"/>
    <w:rsid w:val="00544AED"/>
    <w:rsid w:val="0061044F"/>
    <w:rsid w:val="007B0882"/>
    <w:rsid w:val="007F5841"/>
    <w:rsid w:val="00817188"/>
    <w:rsid w:val="009C6599"/>
    <w:rsid w:val="00AC16C4"/>
    <w:rsid w:val="00B23FCE"/>
    <w:rsid w:val="00B479AA"/>
    <w:rsid w:val="00CA27EF"/>
    <w:rsid w:val="00CF43BA"/>
    <w:rsid w:val="00CF6285"/>
    <w:rsid w:val="00D32643"/>
    <w:rsid w:val="00DF4F21"/>
    <w:rsid w:val="00E925B8"/>
    <w:rsid w:val="00EA4EC5"/>
    <w:rsid w:val="00F71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5C50"/>
  <w15:chartTrackingRefBased/>
  <w15:docId w15:val="{F3626C63-CB46-4FFA-B10B-DFC9DA6B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3F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3F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3F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3F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3F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3F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3F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F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3F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3F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3F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3F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3F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3F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3F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3FCE"/>
    <w:rPr>
      <w:rFonts w:eastAsiaTheme="majorEastAsia" w:cstheme="majorBidi"/>
      <w:color w:val="272727" w:themeColor="text1" w:themeTint="D8"/>
    </w:rPr>
  </w:style>
  <w:style w:type="paragraph" w:styleId="Titre">
    <w:name w:val="Title"/>
    <w:basedOn w:val="Normal"/>
    <w:next w:val="Normal"/>
    <w:link w:val="TitreCar"/>
    <w:uiPriority w:val="10"/>
    <w:qFormat/>
    <w:rsid w:val="00B23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3F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3F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3F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3FCE"/>
    <w:pPr>
      <w:spacing w:before="160"/>
      <w:jc w:val="center"/>
    </w:pPr>
    <w:rPr>
      <w:i/>
      <w:iCs/>
      <w:color w:val="404040" w:themeColor="text1" w:themeTint="BF"/>
    </w:rPr>
  </w:style>
  <w:style w:type="character" w:customStyle="1" w:styleId="CitationCar">
    <w:name w:val="Citation Car"/>
    <w:basedOn w:val="Policepardfaut"/>
    <w:link w:val="Citation"/>
    <w:uiPriority w:val="29"/>
    <w:rsid w:val="00B23FCE"/>
    <w:rPr>
      <w:i/>
      <w:iCs/>
      <w:color w:val="404040" w:themeColor="text1" w:themeTint="BF"/>
    </w:rPr>
  </w:style>
  <w:style w:type="paragraph" w:styleId="Paragraphedeliste">
    <w:name w:val="List Paragraph"/>
    <w:basedOn w:val="Normal"/>
    <w:uiPriority w:val="34"/>
    <w:qFormat/>
    <w:rsid w:val="00B23FCE"/>
    <w:pPr>
      <w:ind w:left="720"/>
      <w:contextualSpacing/>
    </w:pPr>
  </w:style>
  <w:style w:type="character" w:styleId="Accentuationintense">
    <w:name w:val="Intense Emphasis"/>
    <w:basedOn w:val="Policepardfaut"/>
    <w:uiPriority w:val="21"/>
    <w:qFormat/>
    <w:rsid w:val="00B23FCE"/>
    <w:rPr>
      <w:i/>
      <w:iCs/>
      <w:color w:val="0F4761" w:themeColor="accent1" w:themeShade="BF"/>
    </w:rPr>
  </w:style>
  <w:style w:type="paragraph" w:styleId="Citationintense">
    <w:name w:val="Intense Quote"/>
    <w:basedOn w:val="Normal"/>
    <w:next w:val="Normal"/>
    <w:link w:val="CitationintenseCar"/>
    <w:uiPriority w:val="30"/>
    <w:qFormat/>
    <w:rsid w:val="00B23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3FCE"/>
    <w:rPr>
      <w:i/>
      <w:iCs/>
      <w:color w:val="0F4761" w:themeColor="accent1" w:themeShade="BF"/>
    </w:rPr>
  </w:style>
  <w:style w:type="character" w:styleId="Rfrenceintense">
    <w:name w:val="Intense Reference"/>
    <w:basedOn w:val="Policepardfaut"/>
    <w:uiPriority w:val="32"/>
    <w:qFormat/>
    <w:rsid w:val="00B23FCE"/>
    <w:rPr>
      <w:b/>
      <w:bCs/>
      <w:smallCaps/>
      <w:color w:val="0F4761" w:themeColor="accent1" w:themeShade="BF"/>
      <w:spacing w:val="5"/>
    </w:rPr>
  </w:style>
  <w:style w:type="paragraph" w:styleId="En-tte">
    <w:name w:val="header"/>
    <w:basedOn w:val="Normal"/>
    <w:link w:val="En-tteCar"/>
    <w:uiPriority w:val="99"/>
    <w:unhideWhenUsed/>
    <w:rsid w:val="00B23FCE"/>
    <w:pPr>
      <w:tabs>
        <w:tab w:val="center" w:pos="4513"/>
        <w:tab w:val="right" w:pos="9026"/>
      </w:tabs>
      <w:spacing w:after="0" w:line="240" w:lineRule="auto"/>
    </w:pPr>
  </w:style>
  <w:style w:type="character" w:customStyle="1" w:styleId="En-tteCar">
    <w:name w:val="En-tête Car"/>
    <w:basedOn w:val="Policepardfaut"/>
    <w:link w:val="En-tte"/>
    <w:uiPriority w:val="99"/>
    <w:rsid w:val="00B23FCE"/>
  </w:style>
  <w:style w:type="paragraph" w:styleId="Pieddepage">
    <w:name w:val="footer"/>
    <w:basedOn w:val="Normal"/>
    <w:link w:val="PieddepageCar"/>
    <w:uiPriority w:val="99"/>
    <w:unhideWhenUsed/>
    <w:rsid w:val="00B23FC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23FCE"/>
  </w:style>
  <w:style w:type="table" w:customStyle="1" w:styleId="TableGrid1">
    <w:name w:val="Table Grid1"/>
    <w:basedOn w:val="TableauNormal"/>
    <w:next w:val="Grilledutableau"/>
    <w:uiPriority w:val="39"/>
    <w:rsid w:val="00B23F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23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C5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588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RAZAFINDRAKOTO</dc:creator>
  <cp:keywords/>
  <dc:description/>
  <cp:lastModifiedBy>Gilles RIBOUET</cp:lastModifiedBy>
  <cp:revision>3</cp:revision>
  <dcterms:created xsi:type="dcterms:W3CDTF">2024-03-28T07:06:00Z</dcterms:created>
  <dcterms:modified xsi:type="dcterms:W3CDTF">2024-03-28T10:53:00Z</dcterms:modified>
</cp:coreProperties>
</file>