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E42CC45" w:rsidR="00EC22CC" w:rsidRDefault="00F3706C" w:rsidP="00854EEA">
            <w:pPr>
              <w:jc w:val="center"/>
              <w:rPr>
                <w:rFonts w:ascii="Verdana" w:hAnsi="Verdana"/>
                <w:b/>
                <w:bCs/>
                <w:sz w:val="20"/>
                <w:szCs w:val="20"/>
              </w:rPr>
            </w:pPr>
            <w:r>
              <w:rPr>
                <w:rFonts w:ascii="Verdana" w:hAnsi="Verdana"/>
                <w:b/>
                <w:bCs/>
              </w:rPr>
              <w:t>Culture</w:t>
            </w:r>
          </w:p>
        </w:tc>
      </w:tr>
      <w:tr w:rsidR="00EC22CC" w14:paraId="7F1B63D2" w14:textId="77777777" w:rsidTr="002A0933">
        <w:tc>
          <w:tcPr>
            <w:tcW w:w="7225" w:type="dxa"/>
          </w:tcPr>
          <w:p w14:paraId="056D9B10" w14:textId="4056DB30" w:rsidR="00EC22CC" w:rsidRPr="002A096E" w:rsidRDefault="00F3706C" w:rsidP="002A096E">
            <w:pPr>
              <w:rPr>
                <w:rFonts w:ascii="Verdana" w:hAnsi="Verdana"/>
                <w:sz w:val="20"/>
                <w:szCs w:val="20"/>
              </w:rPr>
            </w:pPr>
            <w:r>
              <w:rPr>
                <w:rFonts w:ascii="Verdana" w:hAnsi="Verdana"/>
                <w:sz w:val="20"/>
                <w:szCs w:val="20"/>
              </w:rPr>
              <w:t>C</w:t>
            </w:r>
            <w:r w:rsidR="008F525A">
              <w:rPr>
                <w:rFonts w:ascii="Verdana" w:hAnsi="Verdana"/>
                <w:sz w:val="20"/>
                <w:szCs w:val="20"/>
              </w:rPr>
              <w:t>omité des OPL n°</w:t>
            </w:r>
            <w:r w:rsidR="001B3465">
              <w:rPr>
                <w:rFonts w:ascii="Verdana" w:hAnsi="Verdana"/>
                <w:sz w:val="20"/>
                <w:szCs w:val="20"/>
              </w:rPr>
              <w:t>01/2024</w:t>
            </w:r>
            <w:r w:rsidR="008F525A">
              <w:rPr>
                <w:rFonts w:ascii="Verdana" w:hAnsi="Verdana"/>
                <w:sz w:val="20"/>
                <w:szCs w:val="20"/>
              </w:rPr>
              <w:t xml:space="preserve"> | 22 et 23 avril 2024</w:t>
            </w:r>
          </w:p>
        </w:tc>
        <w:tc>
          <w:tcPr>
            <w:tcW w:w="1837" w:type="dxa"/>
          </w:tcPr>
          <w:p w14:paraId="58E25D1F" w14:textId="594C0E37"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F525A">
              <w:rPr>
                <w:rFonts w:ascii="Verdana" w:hAnsi="Verdana"/>
                <w:sz w:val="20"/>
                <w:szCs w:val="20"/>
              </w:rPr>
              <w:t>2.14</w:t>
            </w:r>
          </w:p>
        </w:tc>
      </w:tr>
      <w:tr w:rsidR="00EC22CC" w14:paraId="537D1DE5" w14:textId="77777777" w:rsidTr="002A0933">
        <w:tc>
          <w:tcPr>
            <w:tcW w:w="7225" w:type="dxa"/>
          </w:tcPr>
          <w:p w14:paraId="43DEF09E" w14:textId="0E0BB332" w:rsidR="00EC22CC" w:rsidRPr="008F525A" w:rsidRDefault="00A148A1" w:rsidP="002A096E">
            <w:pPr>
              <w:rPr>
                <w:rFonts w:ascii="Verdana" w:hAnsi="Verdana"/>
                <w:sz w:val="20"/>
                <w:szCs w:val="20"/>
              </w:rPr>
            </w:pPr>
            <w:r w:rsidRPr="008F525A">
              <w:rPr>
                <w:rFonts w:ascii="Verdana" w:hAnsi="Verdana"/>
                <w:i/>
                <w:iCs/>
                <w:sz w:val="20"/>
                <w:szCs w:val="20"/>
              </w:rPr>
              <w:t>Dossier suivi par :</w:t>
            </w:r>
            <w:r w:rsidR="00EC22CC" w:rsidRPr="008F525A">
              <w:rPr>
                <w:rFonts w:ascii="Verdana" w:hAnsi="Verdana"/>
                <w:sz w:val="20"/>
                <w:szCs w:val="20"/>
              </w:rPr>
              <w:t xml:space="preserve"> </w:t>
            </w:r>
            <w:r w:rsidR="00C737A0" w:rsidRPr="008F525A">
              <w:rPr>
                <w:rFonts w:ascii="Verdana" w:hAnsi="Verdana"/>
                <w:sz w:val="20"/>
                <w:szCs w:val="20"/>
              </w:rPr>
              <w:t>Juliette Janin, Chargée de mission</w:t>
            </w:r>
          </w:p>
        </w:tc>
        <w:tc>
          <w:tcPr>
            <w:tcW w:w="1837" w:type="dxa"/>
          </w:tcPr>
          <w:p w14:paraId="5AC1AFAB" w14:textId="04084D54" w:rsidR="00EC22CC" w:rsidRPr="008F525A" w:rsidRDefault="008F525A" w:rsidP="008F525A">
            <w:pPr>
              <w:rPr>
                <w:rFonts w:ascii="Verdana" w:hAnsi="Verdana"/>
                <w:sz w:val="20"/>
                <w:szCs w:val="20"/>
              </w:rPr>
            </w:pPr>
            <w:r w:rsidRPr="008F525A">
              <w:rPr>
                <w:rFonts w:ascii="Verdana" w:hAnsi="Verdana"/>
                <w:sz w:val="20"/>
                <w:szCs w:val="20"/>
              </w:rPr>
              <w:t xml:space="preserve">   </w:t>
            </w:r>
            <w:r w:rsidR="004607F7" w:rsidRPr="008F525A">
              <w:rPr>
                <w:rFonts w:ascii="Verdana" w:hAnsi="Verdana"/>
                <w:sz w:val="20"/>
                <w:szCs w:val="20"/>
              </w:rPr>
              <w:t xml:space="preserve">Décision </w:t>
            </w:r>
          </w:p>
        </w:tc>
      </w:tr>
      <w:tr w:rsidR="00A90305" w14:paraId="6896DB30" w14:textId="77777777" w:rsidTr="009F5233">
        <w:tc>
          <w:tcPr>
            <w:tcW w:w="9062" w:type="dxa"/>
            <w:gridSpan w:val="2"/>
          </w:tcPr>
          <w:p w14:paraId="0495241B" w14:textId="571D4224" w:rsidR="00A90305" w:rsidRPr="008F525A" w:rsidRDefault="00A90305" w:rsidP="00A90305">
            <w:pPr>
              <w:rPr>
                <w:rFonts w:ascii="Verdana" w:hAnsi="Verdana"/>
                <w:sz w:val="20"/>
                <w:szCs w:val="20"/>
              </w:rPr>
            </w:pPr>
            <w:r w:rsidRPr="008F525A">
              <w:rPr>
                <w:rFonts w:ascii="Verdana" w:hAnsi="Verdana"/>
                <w:i/>
                <w:iCs/>
                <w:sz w:val="20"/>
                <w:szCs w:val="20"/>
              </w:rPr>
              <w:t xml:space="preserve">Version du </w:t>
            </w:r>
            <w:r w:rsidR="008C4EF3">
              <w:rPr>
                <w:rFonts w:ascii="Verdana" w:hAnsi="Verdana"/>
                <w:i/>
                <w:iCs/>
                <w:sz w:val="20"/>
                <w:szCs w:val="20"/>
              </w:rPr>
              <w:t>5</w:t>
            </w:r>
            <w:r w:rsidR="00C737A0" w:rsidRPr="008F525A">
              <w:rPr>
                <w:rFonts w:ascii="Verdana" w:hAnsi="Verdana"/>
                <w:i/>
                <w:iCs/>
                <w:sz w:val="20"/>
                <w:szCs w:val="20"/>
              </w:rPr>
              <w:t xml:space="preserve"> </w:t>
            </w:r>
            <w:r w:rsidR="008C4EF3">
              <w:rPr>
                <w:rFonts w:ascii="Verdana" w:hAnsi="Verdana"/>
                <w:i/>
                <w:iCs/>
                <w:sz w:val="20"/>
                <w:szCs w:val="20"/>
              </w:rPr>
              <w:t xml:space="preserve">Avril </w:t>
            </w:r>
            <w:r w:rsidR="00C737A0" w:rsidRPr="008F525A">
              <w:rPr>
                <w:rFonts w:ascii="Verdana" w:hAnsi="Verdana"/>
                <w:i/>
                <w:iCs/>
                <w:sz w:val="20"/>
                <w:szCs w:val="20"/>
              </w:rPr>
              <w:t>2024</w:t>
            </w:r>
            <w:r w:rsidRPr="008F525A">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39F8ED16" w14:textId="66F6479C" w:rsidR="005A0A2D" w:rsidRDefault="006020C8" w:rsidP="005A0A2D">
      <w:pPr>
        <w:pStyle w:val="Paragraphe"/>
      </w:pPr>
      <w:r>
        <w:t>Le projet ré</w:t>
      </w:r>
      <w:r w:rsidR="00044881">
        <w:t>gional de développement des industries culturelles et créatives (ICC) en Indianocéanie</w:t>
      </w:r>
      <w:r w:rsidR="00C86AD5">
        <w:t xml:space="preserve">, financé par l’Agence française de développement </w:t>
      </w:r>
      <w:r w:rsidR="004A2C7D">
        <w:t xml:space="preserve">a entamé sa </w:t>
      </w:r>
      <w:r w:rsidR="00A71CB7">
        <w:t>phase</w:t>
      </w:r>
      <w:r w:rsidR="004A2C7D">
        <w:t xml:space="preserve"> </w:t>
      </w:r>
      <w:r w:rsidR="00231929">
        <w:t>opérationnelle au cours du second semestre 2023</w:t>
      </w:r>
      <w:r w:rsidR="00D0727A">
        <w:t>, avec le lancement de la première mobilité artistique régionale</w:t>
      </w:r>
      <w:r w:rsidR="00562061">
        <w:t xml:space="preserve"> et la collecte de données pour l’inventaire des architectures traditionnelles de l’océan Indien</w:t>
      </w:r>
      <w:r w:rsidR="005A0A2D">
        <w:t xml:space="preserve">. </w:t>
      </w:r>
    </w:p>
    <w:p w14:paraId="1F23C608" w14:textId="50B63468" w:rsidR="009C4BB8" w:rsidRDefault="005A0A2D" w:rsidP="005A0A2D">
      <w:pPr>
        <w:pStyle w:val="Paragraphe"/>
      </w:pPr>
      <w:r>
        <w:t>Le projet</w:t>
      </w:r>
      <w:r w:rsidR="003C6269">
        <w:t>,</w:t>
      </w:r>
      <w:r>
        <w:t xml:space="preserve"> </w:t>
      </w:r>
      <w:r w:rsidR="001008CE">
        <w:t xml:space="preserve">qui a </w:t>
      </w:r>
      <w:r>
        <w:t xml:space="preserve">pour objectif </w:t>
      </w:r>
      <w:r w:rsidR="001008CE">
        <w:t>de promouvoir l’égalité des genres, a publié</w:t>
      </w:r>
      <w:r w:rsidR="003C6269">
        <w:t>,</w:t>
      </w:r>
      <w:r w:rsidR="001008CE">
        <w:t xml:space="preserve"> en </w:t>
      </w:r>
      <w:r w:rsidR="0004623D">
        <w:t xml:space="preserve">novembre 2023, le diagnostic </w:t>
      </w:r>
      <w:r w:rsidR="000C5B5D">
        <w:t xml:space="preserve">sectoriel genre des ICC actuellement disponible sur le site de la COI. </w:t>
      </w:r>
    </w:p>
    <w:p w14:paraId="693A01A1" w14:textId="6C79C147" w:rsidR="005A0A2D" w:rsidRDefault="005D0C73" w:rsidP="005A0A2D">
      <w:pPr>
        <w:pStyle w:val="Paragraphe"/>
      </w:pPr>
      <w:r>
        <w:t>Toutefois, il est bon de noter que l</w:t>
      </w:r>
      <w:r w:rsidR="007D17E0">
        <w:t xml:space="preserve">a </w:t>
      </w:r>
      <w:r w:rsidR="007A5989">
        <w:t xml:space="preserve">mise en œuvre du projet nécessite un engagement des Etats membres </w:t>
      </w:r>
      <w:r w:rsidR="006A04FB">
        <w:t>notamment dans le relais des informations auprès du public cible et aussi dans la mobilisation des partenaires</w:t>
      </w:r>
      <w:r w:rsidR="00C2272F">
        <w:t xml:space="preserve">. </w:t>
      </w:r>
    </w:p>
    <w:p w14:paraId="28DA47E5" w14:textId="1F8C851A" w:rsidR="004A2C7D" w:rsidRDefault="00044EA0" w:rsidP="00CE2386">
      <w:pPr>
        <w:pStyle w:val="Paragraphe"/>
      </w:pPr>
      <w:r>
        <w:t xml:space="preserve">Autres actions dans le domaine de la Culture : </w:t>
      </w:r>
    </w:p>
    <w:p w14:paraId="3727E9F4" w14:textId="51AEF17E" w:rsidR="001F4792" w:rsidRDefault="00044EA0" w:rsidP="004F5163">
      <w:pPr>
        <w:pStyle w:val="Paragraphe"/>
        <w:numPr>
          <w:ilvl w:val="0"/>
          <w:numId w:val="13"/>
        </w:numPr>
        <w:rPr>
          <w:rFonts w:cs="Arial"/>
        </w:rPr>
      </w:pPr>
      <w:r>
        <w:t>La COI a obtenu</w:t>
      </w:r>
      <w:r w:rsidR="003C6269">
        <w:t>,</w:t>
      </w:r>
      <w:r>
        <w:t xml:space="preserve"> en mars 2023</w:t>
      </w:r>
      <w:r w:rsidR="003C6269">
        <w:t>,</w:t>
      </w:r>
      <w:r>
        <w:t xml:space="preserve"> un financement d</w:t>
      </w:r>
      <w:r w:rsidR="004844F5">
        <w:t>e 180 000 Euros d</w:t>
      </w:r>
      <w:r>
        <w:t xml:space="preserve">u HEVA Funds – British Council Kenya dans le cadre du programme </w:t>
      </w:r>
      <w:r w:rsidR="004844F5" w:rsidRPr="00D67186">
        <w:rPr>
          <w:rFonts w:cs="Arial"/>
        </w:rPr>
        <w:t>ACP-EU Culture (Eastern Africa) Ignite Culture</w:t>
      </w:r>
      <w:r w:rsidR="004C4BCA">
        <w:rPr>
          <w:rFonts w:cs="Arial"/>
        </w:rPr>
        <w:t xml:space="preserve"> pour la mise en œuvre du projet « </w:t>
      </w:r>
      <w:r w:rsidR="001F1D18" w:rsidRPr="00D67186">
        <w:rPr>
          <w:rFonts w:cs="Arial"/>
        </w:rPr>
        <w:t>Etat des lieux du cadre législatif des industries culturelles et créatives (ICC) »</w:t>
      </w:r>
      <w:r w:rsidR="00E23ABF">
        <w:rPr>
          <w:rFonts w:cs="Arial"/>
        </w:rPr>
        <w:t>. Le projet</w:t>
      </w:r>
      <w:r w:rsidR="00142168" w:rsidRPr="00142168">
        <w:rPr>
          <w:rFonts w:cs="Arial"/>
        </w:rPr>
        <w:t xml:space="preserve"> </w:t>
      </w:r>
      <w:r w:rsidR="00142168">
        <w:rPr>
          <w:rFonts w:cs="Arial"/>
        </w:rPr>
        <w:t xml:space="preserve">mis en œuvre avec </w:t>
      </w:r>
      <w:r w:rsidR="003C6269" w:rsidRPr="008F525A">
        <w:rPr>
          <w:rFonts w:cs="Arial"/>
        </w:rPr>
        <w:t>le</w:t>
      </w:r>
      <w:r w:rsidR="00142168" w:rsidRPr="008F525A">
        <w:rPr>
          <w:rFonts w:cs="Arial"/>
        </w:rPr>
        <w:t xml:space="preserve"> COMESA,</w:t>
      </w:r>
      <w:r w:rsidR="00E23ABF" w:rsidRPr="008F525A">
        <w:rPr>
          <w:rFonts w:cs="Arial"/>
        </w:rPr>
        <w:t xml:space="preserve"> validé par le Conseil des ministres en mai 2023</w:t>
      </w:r>
      <w:r w:rsidR="005177D7" w:rsidRPr="008F525A">
        <w:rPr>
          <w:rFonts w:cs="Arial"/>
        </w:rPr>
        <w:t xml:space="preserve"> </w:t>
      </w:r>
      <w:r w:rsidR="00BD0DB8" w:rsidRPr="008F525A">
        <w:rPr>
          <w:rFonts w:cs="Arial"/>
        </w:rPr>
        <w:t xml:space="preserve">pour une mise en œuvre </w:t>
      </w:r>
      <w:r w:rsidR="00142168" w:rsidRPr="008F525A">
        <w:rPr>
          <w:rFonts w:cs="Arial"/>
        </w:rPr>
        <w:t>de</w:t>
      </w:r>
      <w:r w:rsidR="00BD0DB8" w:rsidRPr="008F525A">
        <w:rPr>
          <w:rFonts w:cs="Arial"/>
        </w:rPr>
        <w:t xml:space="preserve"> 6 mois,</w:t>
      </w:r>
      <w:r w:rsidR="00D6356F" w:rsidRPr="008F525A">
        <w:rPr>
          <w:rFonts w:cs="Arial"/>
        </w:rPr>
        <w:t xml:space="preserve"> n’a </w:t>
      </w:r>
      <w:r w:rsidR="00142168" w:rsidRPr="008F525A">
        <w:rPr>
          <w:rFonts w:cs="Arial"/>
        </w:rPr>
        <w:t xml:space="preserve">malheureusement </w:t>
      </w:r>
      <w:r w:rsidR="00D6356F" w:rsidRPr="008F525A">
        <w:rPr>
          <w:rFonts w:cs="Arial"/>
        </w:rPr>
        <w:t xml:space="preserve">pas </w:t>
      </w:r>
      <w:r w:rsidR="0092665B" w:rsidRPr="008F525A">
        <w:rPr>
          <w:rFonts w:cs="Arial"/>
        </w:rPr>
        <w:t>pu</w:t>
      </w:r>
      <w:r w:rsidR="00D6356F" w:rsidRPr="008F525A">
        <w:rPr>
          <w:rFonts w:cs="Arial"/>
        </w:rPr>
        <w:t xml:space="preserve"> compléter toutes les activités prévues</w:t>
      </w:r>
      <w:r w:rsidR="0092665B" w:rsidRPr="008F525A">
        <w:rPr>
          <w:rFonts w:cs="Arial"/>
        </w:rPr>
        <w:t xml:space="preserve"> initialement</w:t>
      </w:r>
      <w:r w:rsidR="00D6356F" w:rsidRPr="008F525A">
        <w:rPr>
          <w:rFonts w:cs="Arial"/>
        </w:rPr>
        <w:t xml:space="preserve">. </w:t>
      </w:r>
      <w:r w:rsidR="000C5565" w:rsidRPr="008F525A">
        <w:rPr>
          <w:rFonts w:cs="Arial"/>
        </w:rPr>
        <w:t>Grâce au projet, le</w:t>
      </w:r>
      <w:r w:rsidR="00CC33B6" w:rsidRPr="008F525A">
        <w:rPr>
          <w:rFonts w:cs="Arial"/>
        </w:rPr>
        <w:t xml:space="preserve"> Comité technique Culture</w:t>
      </w:r>
      <w:r w:rsidR="000C5565" w:rsidRPr="008F525A">
        <w:rPr>
          <w:rFonts w:cs="Arial"/>
        </w:rPr>
        <w:t xml:space="preserve"> a été mis en place</w:t>
      </w:r>
      <w:r w:rsidR="00CC33B6" w:rsidRPr="008F525A">
        <w:rPr>
          <w:rFonts w:cs="Arial"/>
        </w:rPr>
        <w:t xml:space="preserve"> au sein </w:t>
      </w:r>
      <w:r w:rsidR="003C6269" w:rsidRPr="008F525A">
        <w:rPr>
          <w:rFonts w:cs="Arial"/>
        </w:rPr>
        <w:t>du</w:t>
      </w:r>
      <w:r w:rsidR="00CC33B6" w:rsidRPr="008F525A">
        <w:rPr>
          <w:rFonts w:cs="Arial"/>
        </w:rPr>
        <w:t xml:space="preserve"> COMESA</w:t>
      </w:r>
      <w:r w:rsidR="00CC33B6">
        <w:rPr>
          <w:rFonts w:cs="Arial"/>
        </w:rPr>
        <w:t xml:space="preserve">. </w:t>
      </w:r>
      <w:r w:rsidR="00142168">
        <w:rPr>
          <w:rFonts w:cs="Arial"/>
        </w:rPr>
        <w:t xml:space="preserve"> </w:t>
      </w:r>
    </w:p>
    <w:p w14:paraId="22872AA6" w14:textId="0DF9D3B6" w:rsidR="004F5163" w:rsidRPr="004F5163" w:rsidRDefault="00574850" w:rsidP="004F5163">
      <w:pPr>
        <w:pStyle w:val="Paragraphe"/>
        <w:numPr>
          <w:ilvl w:val="0"/>
          <w:numId w:val="13"/>
        </w:numPr>
        <w:rPr>
          <w:rFonts w:cs="Arial"/>
        </w:rPr>
      </w:pPr>
      <w:r>
        <w:rPr>
          <w:rFonts w:cs="Arial"/>
        </w:rPr>
        <w:t xml:space="preserve">En 2023, la COI a </w:t>
      </w:r>
      <w:r w:rsidR="006E4C36">
        <w:rPr>
          <w:rFonts w:cs="Arial"/>
        </w:rPr>
        <w:t xml:space="preserve">remis le premier </w:t>
      </w:r>
      <w:r w:rsidR="004F5163">
        <w:rPr>
          <w:rFonts w:cs="Arial"/>
        </w:rPr>
        <w:t>Prix Indianocéanie</w:t>
      </w:r>
      <w:r w:rsidR="004B2244">
        <w:rPr>
          <w:rFonts w:cs="Arial"/>
        </w:rPr>
        <w:t>.</w:t>
      </w:r>
      <w:r w:rsidR="008F525A">
        <w:rPr>
          <w:rFonts w:cs="Arial"/>
        </w:rPr>
        <w:t xml:space="preserve"> Cette initiative était coorganisée avec le Département de La Réunion. </w:t>
      </w:r>
      <w:r w:rsidR="004B2244">
        <w:rPr>
          <w:rFonts w:cs="Arial"/>
        </w:rPr>
        <w:t xml:space="preserve"> </w:t>
      </w:r>
    </w:p>
    <w:p w14:paraId="68009DDB" w14:textId="06AAE9C2" w:rsidR="0008468B" w:rsidRPr="0008468B" w:rsidRDefault="00955BB3" w:rsidP="00A70123">
      <w:pPr>
        <w:pStyle w:val="Titrepartie"/>
      </w:pPr>
      <w:r w:rsidRPr="0008468B">
        <w:t>Etat d’avancement</w:t>
      </w:r>
    </w:p>
    <w:p w14:paraId="48AB0783" w14:textId="1858A887" w:rsidR="00426673" w:rsidRPr="00426673" w:rsidRDefault="001B3465" w:rsidP="002C56ED">
      <w:pPr>
        <w:pStyle w:val="Sous-partie2"/>
      </w:pPr>
      <w:r>
        <w:t xml:space="preserve">Projet régional de développement des industries culturelles et créatives en Indianocéanie </w:t>
      </w:r>
    </w:p>
    <w:p w14:paraId="0BEBBB31" w14:textId="0C44FB5A" w:rsidR="002C56ED" w:rsidRDefault="003A45D5" w:rsidP="002C56ED">
      <w:pPr>
        <w:pStyle w:val="Paragraphe"/>
      </w:pPr>
      <w:r>
        <w:t xml:space="preserve">Le premier semestre 2023 a été dédiée à la </w:t>
      </w:r>
      <w:r w:rsidR="001A3F64">
        <w:t xml:space="preserve">planification administrative des activités et à la levée des conditions suspensives de l’AFD. </w:t>
      </w:r>
    </w:p>
    <w:p w14:paraId="2CE998BE" w14:textId="0F539FEE" w:rsidR="001A3F64" w:rsidRDefault="001A3F64" w:rsidP="002C56ED">
      <w:pPr>
        <w:pStyle w:val="Paragraphe"/>
      </w:pPr>
      <w:r>
        <w:t>Au cours du second semestre, le projet</w:t>
      </w:r>
      <w:r w:rsidR="0066140F">
        <w:t xml:space="preserve"> a mis en œuvre les activités suivantes : </w:t>
      </w:r>
    </w:p>
    <w:p w14:paraId="47706512" w14:textId="6773F754" w:rsidR="00C1239E" w:rsidRDefault="00CA4066" w:rsidP="00DD1EBC">
      <w:pPr>
        <w:pStyle w:val="Paragraphe"/>
        <w:numPr>
          <w:ilvl w:val="0"/>
          <w:numId w:val="11"/>
        </w:numPr>
      </w:pPr>
      <w:r>
        <w:t xml:space="preserve">Développement de l’outil de </w:t>
      </w:r>
      <w:r w:rsidR="00007C0D">
        <w:t>collecte de données pour l’inventaire des architectures traditionnelles</w:t>
      </w:r>
      <w:r w:rsidR="00782050">
        <w:t xml:space="preserve">. Les équipes techniques nationales de Madagascar, </w:t>
      </w:r>
      <w:r w:rsidR="003C6269">
        <w:t xml:space="preserve">de </w:t>
      </w:r>
      <w:r w:rsidR="00782050">
        <w:t xml:space="preserve">Maurice, </w:t>
      </w:r>
      <w:r w:rsidR="003C6269">
        <w:t xml:space="preserve">du </w:t>
      </w:r>
      <w:r w:rsidR="00782050">
        <w:t xml:space="preserve">Mozambique et </w:t>
      </w:r>
      <w:r w:rsidR="003C6269">
        <w:t xml:space="preserve">de </w:t>
      </w:r>
      <w:r w:rsidR="00782050">
        <w:t xml:space="preserve">l’Union des Comores </w:t>
      </w:r>
      <w:r w:rsidR="003B3728">
        <w:t>ont bénéficié d’une formation pour la prise en main de cet outil</w:t>
      </w:r>
      <w:r w:rsidR="00C1239E">
        <w:t xml:space="preserve"> et ont </w:t>
      </w:r>
      <w:r w:rsidR="009C4BB8">
        <w:t>commencé à élaborer</w:t>
      </w:r>
      <w:r w:rsidR="00C1239E">
        <w:t xml:space="preserve"> les fiches </w:t>
      </w:r>
      <w:r w:rsidR="00192E92">
        <w:t>d</w:t>
      </w:r>
      <w:r w:rsidR="00C75559">
        <w:t xml:space="preserve">’inventaire ; </w:t>
      </w:r>
    </w:p>
    <w:p w14:paraId="0EB85314" w14:textId="7DEA770F" w:rsidR="0066140F" w:rsidRDefault="0066140F" w:rsidP="00DD1EBC">
      <w:pPr>
        <w:pStyle w:val="Paragraphe"/>
        <w:numPr>
          <w:ilvl w:val="0"/>
          <w:numId w:val="11"/>
        </w:numPr>
      </w:pPr>
      <w:r>
        <w:t>Production de 10 podcasts</w:t>
      </w:r>
      <w:r w:rsidR="00DB04B3">
        <w:t xml:space="preserve"> par pays</w:t>
      </w:r>
      <w:r>
        <w:t xml:space="preserve"> sur le patrimoine culturel immatériel</w:t>
      </w:r>
      <w:r w:rsidR="00DB04B3">
        <w:t>. Les podcasts de Madagascar</w:t>
      </w:r>
      <w:r w:rsidR="001D68C3">
        <w:t xml:space="preserve"> et </w:t>
      </w:r>
      <w:r w:rsidR="003C6269">
        <w:t xml:space="preserve">de </w:t>
      </w:r>
      <w:r w:rsidR="001D68C3">
        <w:t>l’Union des Comores sont actuellement en ligne et ceux de Maurice</w:t>
      </w:r>
      <w:r w:rsidR="001348F9">
        <w:t xml:space="preserve"> et </w:t>
      </w:r>
      <w:r w:rsidR="003C6269">
        <w:t xml:space="preserve">du </w:t>
      </w:r>
      <w:r w:rsidR="001348F9">
        <w:t xml:space="preserve">Mozambique sont en cours de finalisation. </w:t>
      </w:r>
      <w:r w:rsidR="002A0B29">
        <w:t>Ceux des Seychelles sont encore en cours de production</w:t>
      </w:r>
      <w:r w:rsidR="00C75559">
        <w:t xml:space="preserve"> ; </w:t>
      </w:r>
    </w:p>
    <w:p w14:paraId="74F7F234" w14:textId="32754CF2" w:rsidR="00C75559" w:rsidRDefault="00C75559" w:rsidP="00DD1EBC">
      <w:pPr>
        <w:pStyle w:val="Paragraphe"/>
        <w:numPr>
          <w:ilvl w:val="0"/>
          <w:numId w:val="11"/>
        </w:numPr>
      </w:pPr>
      <w:r>
        <w:t>Mise en place de « AléVini, fonds d’aide à la mobilité régionale »</w:t>
      </w:r>
      <w:r w:rsidR="0058278C">
        <w:t xml:space="preserve"> qui a permis de soutenir </w:t>
      </w:r>
      <w:r w:rsidR="001B0E0E">
        <w:t>3</w:t>
      </w:r>
      <w:r w:rsidR="002844BC">
        <w:t xml:space="preserve">2 artistes et opérateurs culturels dont </w:t>
      </w:r>
      <w:r w:rsidR="00A703B8">
        <w:t>37% de femmes pour des mobilité</w:t>
      </w:r>
      <w:r w:rsidR="006631BA">
        <w:t>s</w:t>
      </w:r>
      <w:r w:rsidR="00A703B8">
        <w:t xml:space="preserve"> </w:t>
      </w:r>
      <w:r w:rsidR="00BD07F2">
        <w:t>de création (40%), des mobilité</w:t>
      </w:r>
      <w:r w:rsidR="006631BA">
        <w:t>s</w:t>
      </w:r>
      <w:r w:rsidR="00BD07F2">
        <w:t xml:space="preserve"> de</w:t>
      </w:r>
      <w:r w:rsidR="002F6864">
        <w:t xml:space="preserve"> montée en compétence (23%), des mobilités de mise en réseaux (20%) et des mobilités d’exploration (17%)</w:t>
      </w:r>
      <w:r w:rsidR="006631BA">
        <w:t xml:space="preserve"> ; </w:t>
      </w:r>
    </w:p>
    <w:p w14:paraId="04EDD0F0" w14:textId="6FA390F4" w:rsidR="006631BA" w:rsidRDefault="0071688D" w:rsidP="00DD1EBC">
      <w:pPr>
        <w:pStyle w:val="Paragraphe"/>
        <w:numPr>
          <w:ilvl w:val="0"/>
          <w:numId w:val="11"/>
        </w:numPr>
        <w:rPr>
          <w:shd w:val="clear" w:color="auto" w:fill="FFFFFF"/>
        </w:rPr>
      </w:pPr>
      <w:r>
        <w:rPr>
          <w:shd w:val="clear" w:color="auto" w:fill="FFFFFF"/>
        </w:rPr>
        <w:lastRenderedPageBreak/>
        <w:t>Création d’une plateforme numérique</w:t>
      </w:r>
      <w:r w:rsidR="00F0054F">
        <w:rPr>
          <w:shd w:val="clear" w:color="auto" w:fill="FFFFFF"/>
        </w:rPr>
        <w:t xml:space="preserve"> des ICC pour la région de l’océan Indien, </w:t>
      </w:r>
      <w:hyperlink r:id="rId7" w:history="1">
        <w:r w:rsidR="00E62BAA" w:rsidRPr="005C664D">
          <w:rPr>
            <w:rStyle w:val="Lienhypertexte"/>
            <w:shd w:val="clear" w:color="auto" w:fill="FFFFFF"/>
          </w:rPr>
          <w:t>www.kiltir.org</w:t>
        </w:r>
      </w:hyperlink>
      <w:r w:rsidR="00E62BAA">
        <w:rPr>
          <w:shd w:val="clear" w:color="auto" w:fill="FFFFFF"/>
        </w:rPr>
        <w:t>, lancée en avril. Cette pla</w:t>
      </w:r>
      <w:r w:rsidR="003C0E7D">
        <w:rPr>
          <w:shd w:val="clear" w:color="auto" w:fill="FFFFFF"/>
        </w:rPr>
        <w:t>teforme</w:t>
      </w:r>
      <w:r w:rsidR="003C6269">
        <w:rPr>
          <w:shd w:val="clear" w:color="auto" w:fill="FFFFFF"/>
        </w:rPr>
        <w:t>,</w:t>
      </w:r>
      <w:r w:rsidR="00233FE5">
        <w:rPr>
          <w:shd w:val="clear" w:color="auto" w:fill="FFFFFF"/>
        </w:rPr>
        <w:t xml:space="preserve"> </w:t>
      </w:r>
      <w:r w:rsidR="00F42839">
        <w:rPr>
          <w:shd w:val="clear" w:color="auto" w:fill="FFFFFF"/>
        </w:rPr>
        <w:t>conçue comme un « one</w:t>
      </w:r>
      <w:r w:rsidR="00D04C90">
        <w:rPr>
          <w:shd w:val="clear" w:color="auto" w:fill="FFFFFF"/>
        </w:rPr>
        <w:t>-stop-shop »</w:t>
      </w:r>
      <w:r w:rsidR="003C6269">
        <w:rPr>
          <w:shd w:val="clear" w:color="auto" w:fill="FFFFFF"/>
        </w:rPr>
        <w:t>,</w:t>
      </w:r>
      <w:r w:rsidR="00D04C90">
        <w:rPr>
          <w:shd w:val="clear" w:color="auto" w:fill="FFFFFF"/>
        </w:rPr>
        <w:t xml:space="preserve"> regroupe</w:t>
      </w:r>
      <w:r w:rsidR="00947299">
        <w:rPr>
          <w:shd w:val="clear" w:color="auto" w:fill="FFFFFF"/>
        </w:rPr>
        <w:t xml:space="preserve"> toutes les ressources </w:t>
      </w:r>
      <w:r w:rsidR="00FE7D7C">
        <w:rPr>
          <w:shd w:val="clear" w:color="auto" w:fill="FFFFFF"/>
        </w:rPr>
        <w:t>de la région : répertoire des opérateurs, agenda des évènements et opportunités</w:t>
      </w:r>
      <w:r w:rsidR="00A65E68">
        <w:rPr>
          <w:shd w:val="clear" w:color="auto" w:fill="FFFFFF"/>
        </w:rPr>
        <w:t xml:space="preserve"> disponibles</w:t>
      </w:r>
      <w:r w:rsidR="00034039">
        <w:rPr>
          <w:shd w:val="clear" w:color="auto" w:fill="FFFFFF"/>
        </w:rPr>
        <w:t xml:space="preserve">. </w:t>
      </w:r>
      <w:r w:rsidR="00A65E68">
        <w:rPr>
          <w:shd w:val="clear" w:color="auto" w:fill="FFFFFF"/>
        </w:rPr>
        <w:t>Avec sa</w:t>
      </w:r>
      <w:r w:rsidR="00233FE5">
        <w:rPr>
          <w:shd w:val="clear" w:color="auto" w:fill="FFFFFF"/>
        </w:rPr>
        <w:t xml:space="preserve"> démarche eco-branding</w:t>
      </w:r>
      <w:r w:rsidR="00A65E68">
        <w:rPr>
          <w:shd w:val="clear" w:color="auto" w:fill="FFFFFF"/>
        </w:rPr>
        <w:t>, la plateforme</w:t>
      </w:r>
      <w:r w:rsidR="00233FE5">
        <w:rPr>
          <w:shd w:val="clear" w:color="auto" w:fill="FFFFFF"/>
        </w:rPr>
        <w:t xml:space="preserve"> </w:t>
      </w:r>
      <w:r w:rsidR="00A65E68">
        <w:rPr>
          <w:shd w:val="clear" w:color="auto" w:fill="FFFFFF"/>
        </w:rPr>
        <w:t xml:space="preserve">s’aligne parfaitement aux enjeux de transition écologique prônés par la COI en </w:t>
      </w:r>
      <w:r w:rsidR="006603E8">
        <w:rPr>
          <w:shd w:val="clear" w:color="auto" w:fill="FFFFFF"/>
        </w:rPr>
        <w:t>réduisant</w:t>
      </w:r>
      <w:r w:rsidR="00A65E68">
        <w:rPr>
          <w:shd w:val="clear" w:color="auto" w:fill="FFFFFF"/>
        </w:rPr>
        <w:t xml:space="preserve"> </w:t>
      </w:r>
      <w:r w:rsidR="006603E8">
        <w:rPr>
          <w:shd w:val="clear" w:color="auto" w:fill="FFFFFF"/>
        </w:rPr>
        <w:t>l’empreinte carbone du projet</w:t>
      </w:r>
      <w:r w:rsidR="000B2248">
        <w:rPr>
          <w:shd w:val="clear" w:color="auto" w:fill="FFFFFF"/>
        </w:rPr>
        <w:t xml:space="preserve"> ; </w:t>
      </w:r>
    </w:p>
    <w:p w14:paraId="5C08FB21" w14:textId="7BD0366F" w:rsidR="000B2248" w:rsidRDefault="009E7353" w:rsidP="00DD1EBC">
      <w:pPr>
        <w:pStyle w:val="Paragraphe"/>
        <w:numPr>
          <w:ilvl w:val="0"/>
          <w:numId w:val="11"/>
        </w:numPr>
        <w:rPr>
          <w:shd w:val="clear" w:color="auto" w:fill="FFFFFF"/>
        </w:rPr>
      </w:pPr>
      <w:r>
        <w:rPr>
          <w:shd w:val="clear" w:color="auto" w:fill="FFFFFF"/>
        </w:rPr>
        <w:t xml:space="preserve">Formation des Etats membres sur les indicateurs Culture|2030 de l’UNESCO </w:t>
      </w:r>
      <w:r w:rsidR="0095433F">
        <w:rPr>
          <w:shd w:val="clear" w:color="auto" w:fill="FFFFFF"/>
        </w:rPr>
        <w:t>sur</w:t>
      </w:r>
      <w:r w:rsidR="00545C19">
        <w:rPr>
          <w:shd w:val="clear" w:color="auto" w:fill="FFFFFF"/>
        </w:rPr>
        <w:t xml:space="preserve"> les outils </w:t>
      </w:r>
      <w:r w:rsidR="0095433F">
        <w:rPr>
          <w:shd w:val="clear" w:color="auto" w:fill="FFFFFF"/>
        </w:rPr>
        <w:t>de collecte d</w:t>
      </w:r>
      <w:r w:rsidR="00094A39">
        <w:rPr>
          <w:shd w:val="clear" w:color="auto" w:fill="FFFFFF"/>
        </w:rPr>
        <w:t xml:space="preserve">es données statistiques quantitatives et qualitatives afin de </w:t>
      </w:r>
      <w:r w:rsidR="00545C19">
        <w:rPr>
          <w:shd w:val="clear" w:color="auto" w:fill="FFFFFF"/>
        </w:rPr>
        <w:t xml:space="preserve">mesurer </w:t>
      </w:r>
      <w:r w:rsidR="000B003A">
        <w:rPr>
          <w:shd w:val="clear" w:color="auto" w:fill="FFFFFF"/>
        </w:rPr>
        <w:t>les impacts</w:t>
      </w:r>
      <w:r w:rsidR="00545C19">
        <w:rPr>
          <w:shd w:val="clear" w:color="auto" w:fill="FFFFFF"/>
        </w:rPr>
        <w:t xml:space="preserve"> socio-économique</w:t>
      </w:r>
      <w:r w:rsidR="005D1AA4">
        <w:rPr>
          <w:shd w:val="clear" w:color="auto" w:fill="FFFFFF"/>
        </w:rPr>
        <w:t>s</w:t>
      </w:r>
      <w:r w:rsidR="00545C19">
        <w:rPr>
          <w:shd w:val="clear" w:color="auto" w:fill="FFFFFF"/>
        </w:rPr>
        <w:t xml:space="preserve"> de la culture</w:t>
      </w:r>
      <w:r w:rsidR="0036454C">
        <w:rPr>
          <w:shd w:val="clear" w:color="auto" w:fill="FFFFFF"/>
        </w:rPr>
        <w:t xml:space="preserve"> </w:t>
      </w:r>
      <w:r w:rsidR="005D1AA4">
        <w:rPr>
          <w:shd w:val="clear" w:color="auto" w:fill="FFFFFF"/>
        </w:rPr>
        <w:t>et</w:t>
      </w:r>
      <w:r w:rsidR="000B003A">
        <w:rPr>
          <w:shd w:val="clear" w:color="auto" w:fill="FFFFFF"/>
        </w:rPr>
        <w:t xml:space="preserve"> sa contribution transversale </w:t>
      </w:r>
      <w:r w:rsidR="00AF183F">
        <w:rPr>
          <w:shd w:val="clear" w:color="auto" w:fill="FFFFFF"/>
        </w:rPr>
        <w:t>aux Objectifs de développement durable à l’horiz</w:t>
      </w:r>
      <w:r w:rsidR="005D1AA4">
        <w:rPr>
          <w:shd w:val="clear" w:color="auto" w:fill="FFFFFF"/>
        </w:rPr>
        <w:t>o</w:t>
      </w:r>
      <w:r w:rsidR="00AF183F">
        <w:rPr>
          <w:shd w:val="clear" w:color="auto" w:fill="FFFFFF"/>
        </w:rPr>
        <w:t>n 2030</w:t>
      </w:r>
      <w:r w:rsidR="005D1AA4">
        <w:rPr>
          <w:shd w:val="clear" w:color="auto" w:fill="FFFFFF"/>
        </w:rPr>
        <w:t xml:space="preserve"> (ODD)</w:t>
      </w:r>
      <w:r w:rsidR="00AF183F">
        <w:rPr>
          <w:shd w:val="clear" w:color="auto" w:fill="FFFFFF"/>
        </w:rPr>
        <w:t>.</w:t>
      </w:r>
    </w:p>
    <w:p w14:paraId="0DA60080" w14:textId="0B1F03A5" w:rsidR="00FB6D8D" w:rsidRDefault="009876A2" w:rsidP="002C56ED">
      <w:pPr>
        <w:pStyle w:val="Paragraphe"/>
        <w:rPr>
          <w:shd w:val="clear" w:color="auto" w:fill="FFFFFF"/>
        </w:rPr>
      </w:pPr>
      <w:r>
        <w:rPr>
          <w:shd w:val="clear" w:color="auto" w:fill="FFFFFF"/>
        </w:rPr>
        <w:t xml:space="preserve">Au cours de cette année, qui a été </w:t>
      </w:r>
      <w:r w:rsidR="008F525A">
        <w:rPr>
          <w:shd w:val="clear" w:color="auto" w:fill="FFFFFF"/>
        </w:rPr>
        <w:t>proclamée</w:t>
      </w:r>
      <w:r>
        <w:rPr>
          <w:shd w:val="clear" w:color="auto" w:fill="FFFFFF"/>
        </w:rPr>
        <w:t xml:space="preserve"> « 2024</w:t>
      </w:r>
      <w:r w:rsidR="00F75933">
        <w:rPr>
          <w:shd w:val="clear" w:color="auto" w:fill="FFFFFF"/>
        </w:rPr>
        <w:t xml:space="preserve"> |</w:t>
      </w:r>
      <w:r>
        <w:rPr>
          <w:shd w:val="clear" w:color="auto" w:fill="FFFFFF"/>
        </w:rPr>
        <w:t xml:space="preserve"> Année culturelle de la COI »</w:t>
      </w:r>
      <w:r w:rsidR="008F525A">
        <w:rPr>
          <w:shd w:val="clear" w:color="auto" w:fill="FFFFFF"/>
        </w:rPr>
        <w:t xml:space="preserve"> pour marquer les célébrations du 40</w:t>
      </w:r>
      <w:r w:rsidR="008F525A" w:rsidRPr="008F525A">
        <w:rPr>
          <w:shd w:val="clear" w:color="auto" w:fill="FFFFFF"/>
          <w:vertAlign w:val="superscript"/>
        </w:rPr>
        <w:t>e</w:t>
      </w:r>
      <w:r w:rsidR="008F525A">
        <w:rPr>
          <w:shd w:val="clear" w:color="auto" w:fill="FFFFFF"/>
        </w:rPr>
        <w:t xml:space="preserve"> anniversaire de la COI</w:t>
      </w:r>
      <w:r w:rsidR="00676757">
        <w:rPr>
          <w:shd w:val="clear" w:color="auto" w:fill="FFFFFF"/>
        </w:rPr>
        <w:t>, le projet mettra en place des renforcement</w:t>
      </w:r>
      <w:r w:rsidR="000764B8">
        <w:rPr>
          <w:shd w:val="clear" w:color="auto" w:fill="FFFFFF"/>
        </w:rPr>
        <w:t>s</w:t>
      </w:r>
      <w:r w:rsidR="00676757">
        <w:rPr>
          <w:shd w:val="clear" w:color="auto" w:fill="FFFFFF"/>
        </w:rPr>
        <w:t xml:space="preserve"> de capacités pour les entreprises créatives et </w:t>
      </w:r>
      <w:r w:rsidR="000764B8">
        <w:rPr>
          <w:shd w:val="clear" w:color="auto" w:fill="FFFFFF"/>
        </w:rPr>
        <w:t>les</w:t>
      </w:r>
      <w:r w:rsidR="007A5989">
        <w:rPr>
          <w:shd w:val="clear" w:color="auto" w:fill="FFFFFF"/>
        </w:rPr>
        <w:t xml:space="preserve"> </w:t>
      </w:r>
      <w:r w:rsidR="006C6360">
        <w:rPr>
          <w:shd w:val="clear" w:color="auto" w:fill="FFFFFF"/>
        </w:rPr>
        <w:t xml:space="preserve">personnels des </w:t>
      </w:r>
      <w:r w:rsidR="007A5989">
        <w:rPr>
          <w:shd w:val="clear" w:color="auto" w:fill="FFFFFF"/>
        </w:rPr>
        <w:t>musées</w:t>
      </w:r>
      <w:r w:rsidR="00FB6D8D">
        <w:rPr>
          <w:shd w:val="clear" w:color="auto" w:fill="FFFFFF"/>
        </w:rPr>
        <w:t xml:space="preserve">. Six subventions seront également lancées au cours de l’année, à savoir : </w:t>
      </w:r>
    </w:p>
    <w:p w14:paraId="4C8C8864" w14:textId="731864BD" w:rsidR="00067EF8" w:rsidRDefault="007F1FE0" w:rsidP="00D611CC">
      <w:pPr>
        <w:pStyle w:val="Paragraphe"/>
        <w:numPr>
          <w:ilvl w:val="0"/>
          <w:numId w:val="14"/>
        </w:numPr>
        <w:rPr>
          <w:shd w:val="clear" w:color="auto" w:fill="FFFFFF"/>
        </w:rPr>
      </w:pPr>
      <w:r>
        <w:rPr>
          <w:shd w:val="clear" w:color="auto" w:fill="FFFFFF"/>
        </w:rPr>
        <w:t>Fonds</w:t>
      </w:r>
      <w:r w:rsidR="00067EF8">
        <w:rPr>
          <w:shd w:val="clear" w:color="auto" w:fill="FFFFFF"/>
        </w:rPr>
        <w:t xml:space="preserve"> d’aide à la mobilité régionale</w:t>
      </w:r>
      <w:r>
        <w:rPr>
          <w:shd w:val="clear" w:color="auto" w:fill="FFFFFF"/>
        </w:rPr>
        <w:t>, AléVini</w:t>
      </w:r>
      <w:r w:rsidR="00067EF8">
        <w:rPr>
          <w:shd w:val="clear" w:color="auto" w:fill="FFFFFF"/>
        </w:rPr>
        <w:t xml:space="preserve"> (Cycle 2)</w:t>
      </w:r>
      <w:r>
        <w:rPr>
          <w:shd w:val="clear" w:color="auto" w:fill="FFFFFF"/>
        </w:rPr>
        <w:t> ;</w:t>
      </w:r>
    </w:p>
    <w:p w14:paraId="5F7BB2C5" w14:textId="7EF4B083" w:rsidR="008F7BB3" w:rsidRDefault="0036468B" w:rsidP="00D611CC">
      <w:pPr>
        <w:pStyle w:val="Paragraphe"/>
        <w:numPr>
          <w:ilvl w:val="0"/>
          <w:numId w:val="14"/>
        </w:numPr>
        <w:rPr>
          <w:shd w:val="clear" w:color="auto" w:fill="FFFFFF"/>
        </w:rPr>
      </w:pPr>
      <w:r>
        <w:rPr>
          <w:shd w:val="clear" w:color="auto" w:fill="FFFFFF"/>
        </w:rPr>
        <w:t>Fonds de soutien aux évènements culturels</w:t>
      </w:r>
      <w:r w:rsidR="007F1FE0">
        <w:rPr>
          <w:shd w:val="clear" w:color="auto" w:fill="FFFFFF"/>
        </w:rPr>
        <w:t> ;</w:t>
      </w:r>
    </w:p>
    <w:p w14:paraId="1789A299" w14:textId="73E85B5B" w:rsidR="009876A2" w:rsidRDefault="008F7BB3" w:rsidP="00D611CC">
      <w:pPr>
        <w:pStyle w:val="Paragraphe"/>
        <w:numPr>
          <w:ilvl w:val="0"/>
          <w:numId w:val="14"/>
        </w:numPr>
        <w:rPr>
          <w:shd w:val="clear" w:color="auto" w:fill="FFFFFF"/>
        </w:rPr>
      </w:pPr>
      <w:r>
        <w:rPr>
          <w:shd w:val="clear" w:color="auto" w:fill="FFFFFF"/>
        </w:rPr>
        <w:t>Fonds</w:t>
      </w:r>
      <w:r w:rsidR="002F418A">
        <w:rPr>
          <w:shd w:val="clear" w:color="auto" w:fill="FFFFFF"/>
        </w:rPr>
        <w:t xml:space="preserve"> d’investissement pour la production d’œuvres numériques</w:t>
      </w:r>
      <w:r w:rsidR="007F1FE0">
        <w:rPr>
          <w:shd w:val="clear" w:color="auto" w:fill="FFFFFF"/>
        </w:rPr>
        <w:t> ;</w:t>
      </w:r>
    </w:p>
    <w:p w14:paraId="49123986" w14:textId="5C86693D" w:rsidR="002F418A" w:rsidRDefault="002F418A" w:rsidP="00D611CC">
      <w:pPr>
        <w:pStyle w:val="Paragraphe"/>
        <w:numPr>
          <w:ilvl w:val="0"/>
          <w:numId w:val="14"/>
        </w:numPr>
        <w:rPr>
          <w:shd w:val="clear" w:color="auto" w:fill="FFFFFF"/>
        </w:rPr>
      </w:pPr>
      <w:r>
        <w:rPr>
          <w:shd w:val="clear" w:color="auto" w:fill="FFFFFF"/>
        </w:rPr>
        <w:t>Fonds d’</w:t>
      </w:r>
      <w:r w:rsidR="007F1FE0">
        <w:rPr>
          <w:shd w:val="clear" w:color="auto" w:fill="FFFFFF"/>
        </w:rPr>
        <w:t xml:space="preserve">appui à l’entrepreneuriat féminin dans le tourisme culturel ; </w:t>
      </w:r>
    </w:p>
    <w:p w14:paraId="56642AD0" w14:textId="7AB3763C" w:rsidR="007F1FE0" w:rsidRDefault="002F1700" w:rsidP="00D611CC">
      <w:pPr>
        <w:pStyle w:val="Paragraphe"/>
        <w:numPr>
          <w:ilvl w:val="0"/>
          <w:numId w:val="14"/>
        </w:numPr>
        <w:rPr>
          <w:shd w:val="clear" w:color="auto" w:fill="FFFFFF"/>
        </w:rPr>
      </w:pPr>
      <w:r>
        <w:rPr>
          <w:shd w:val="clear" w:color="auto" w:fill="FFFFFF"/>
        </w:rPr>
        <w:t xml:space="preserve">Fonds d’investissement pour la co-création régionale ; </w:t>
      </w:r>
    </w:p>
    <w:p w14:paraId="111AA7E9" w14:textId="14AB5213" w:rsidR="002F1700" w:rsidRDefault="002F1700" w:rsidP="00D611CC">
      <w:pPr>
        <w:pStyle w:val="Paragraphe"/>
        <w:numPr>
          <w:ilvl w:val="0"/>
          <w:numId w:val="14"/>
        </w:numPr>
        <w:rPr>
          <w:shd w:val="clear" w:color="auto" w:fill="FFFFFF"/>
        </w:rPr>
      </w:pPr>
      <w:r>
        <w:rPr>
          <w:shd w:val="clear" w:color="auto" w:fill="FFFFFF"/>
        </w:rPr>
        <w:t xml:space="preserve">Bourses d’études. </w:t>
      </w:r>
    </w:p>
    <w:p w14:paraId="54854EB5" w14:textId="4E6256DE" w:rsidR="002C56ED" w:rsidRDefault="00832C1F" w:rsidP="00A76B07">
      <w:pPr>
        <w:pStyle w:val="Sous-partie2"/>
      </w:pPr>
      <w:r>
        <w:t xml:space="preserve">Etat des lieux du cadre législatif des ICC </w:t>
      </w:r>
    </w:p>
    <w:p w14:paraId="20374B6C" w14:textId="2F16D3FE" w:rsidR="00574850" w:rsidRDefault="00574850" w:rsidP="00574850">
      <w:pPr>
        <w:pStyle w:val="Paragraphe"/>
        <w:rPr>
          <w:rFonts w:cs="Arial"/>
        </w:rPr>
      </w:pPr>
      <w:r>
        <w:t xml:space="preserve">Le projet a procédé à un état des lieux des politiques publiques pour les ICC </w:t>
      </w:r>
      <w:r w:rsidR="003C6269">
        <w:t>dans</w:t>
      </w:r>
      <w:r>
        <w:t xml:space="preserve"> </w:t>
      </w:r>
      <w:r w:rsidR="003C6269">
        <w:t>l</w:t>
      </w:r>
      <w:r>
        <w:t xml:space="preserve">es 13 pays bénéficiaires : </w:t>
      </w:r>
      <w:r w:rsidRPr="00D67186">
        <w:rPr>
          <w:rFonts w:cs="Arial"/>
        </w:rPr>
        <w:t>Burundi, Djibouti, Éthiopie, Erythrée, Kenya, Madagascar, Maurice, Ouganda, Rwanda, Seychelles, Somalie, Soudan et Union des Comores</w:t>
      </w:r>
      <w:r>
        <w:rPr>
          <w:rFonts w:cs="Arial"/>
        </w:rPr>
        <w:t xml:space="preserve">. </w:t>
      </w:r>
    </w:p>
    <w:p w14:paraId="0455399E" w14:textId="77777777" w:rsidR="00574850" w:rsidRDefault="00574850" w:rsidP="00574850">
      <w:pPr>
        <w:pStyle w:val="Paragraphe"/>
        <w:rPr>
          <w:rFonts w:cs="Arial"/>
        </w:rPr>
      </w:pPr>
      <w:r>
        <w:rPr>
          <w:rFonts w:cs="Arial"/>
        </w:rPr>
        <w:t xml:space="preserve">Le rapport présenté au Comité technique culture a mis en exergue les éléments suivants : </w:t>
      </w:r>
    </w:p>
    <w:p w14:paraId="54900B88" w14:textId="77777777" w:rsidR="00574850" w:rsidRDefault="00574850" w:rsidP="00574850">
      <w:pPr>
        <w:pStyle w:val="Paragraphe"/>
        <w:numPr>
          <w:ilvl w:val="0"/>
          <w:numId w:val="10"/>
        </w:numPr>
        <w:rPr>
          <w:shd w:val="clear" w:color="auto" w:fill="FFFFFF"/>
        </w:rPr>
      </w:pPr>
      <w:r>
        <w:rPr>
          <w:shd w:val="clear" w:color="auto" w:fill="FFFFFF"/>
        </w:rPr>
        <w:t xml:space="preserve">Intégration des ICC dans les politiques publiques et formalisation des opérateurs culturels afin qu’ils puissent contribuer à l’économie du pays ; </w:t>
      </w:r>
    </w:p>
    <w:p w14:paraId="351755E5" w14:textId="77777777" w:rsidR="00574850" w:rsidRDefault="00574850" w:rsidP="00574850">
      <w:pPr>
        <w:pStyle w:val="Paragraphe"/>
        <w:numPr>
          <w:ilvl w:val="0"/>
          <w:numId w:val="10"/>
        </w:numPr>
        <w:rPr>
          <w:shd w:val="clear" w:color="auto" w:fill="FFFFFF"/>
        </w:rPr>
      </w:pPr>
      <w:r>
        <w:rPr>
          <w:shd w:val="clear" w:color="auto" w:fill="FFFFFF"/>
        </w:rPr>
        <w:t xml:space="preserve">Renforcement de capacités des organes en charge des droits d’auteurs et de la propriété intellectuelle pour assurer une meilleure protection des œuvres et favoriser l’autonomisation financière des artistes ; </w:t>
      </w:r>
    </w:p>
    <w:p w14:paraId="5B4704D6" w14:textId="77777777" w:rsidR="00574850" w:rsidRDefault="00574850" w:rsidP="00574850">
      <w:pPr>
        <w:pStyle w:val="Paragraphe"/>
        <w:numPr>
          <w:ilvl w:val="0"/>
          <w:numId w:val="10"/>
        </w:numPr>
        <w:rPr>
          <w:shd w:val="clear" w:color="auto" w:fill="FFFFFF"/>
        </w:rPr>
      </w:pPr>
      <w:r>
        <w:rPr>
          <w:shd w:val="clear" w:color="auto" w:fill="FFFFFF"/>
        </w:rPr>
        <w:t xml:space="preserve">Amélioration et facilitation des échanges des biens et services culturels et la circulation des artistes et opérateurs culturels dans la zone de libre-échange de la COMESA ; </w:t>
      </w:r>
    </w:p>
    <w:p w14:paraId="4E916CFE" w14:textId="77777777" w:rsidR="00574850" w:rsidRDefault="00574850" w:rsidP="00574850">
      <w:pPr>
        <w:pStyle w:val="Paragraphe"/>
        <w:numPr>
          <w:ilvl w:val="0"/>
          <w:numId w:val="10"/>
        </w:numPr>
        <w:rPr>
          <w:shd w:val="clear" w:color="auto" w:fill="FFFFFF"/>
        </w:rPr>
      </w:pPr>
      <w:r>
        <w:rPr>
          <w:shd w:val="clear" w:color="auto" w:fill="FFFFFF"/>
        </w:rPr>
        <w:t xml:space="preserve">Importance de collecter des données statistiques afin de mesurer la contribution socio-économique de la culture et organiser des réunions interministérielles pour mieux impliquer toutes les parties prenantes. </w:t>
      </w:r>
    </w:p>
    <w:p w14:paraId="3C0F31A7" w14:textId="77777777" w:rsidR="00574850" w:rsidRDefault="00574850" w:rsidP="00574850">
      <w:pPr>
        <w:pStyle w:val="Paragraphe"/>
        <w:rPr>
          <w:shd w:val="clear" w:color="auto" w:fill="FFFFFF"/>
        </w:rPr>
      </w:pPr>
      <w:r>
        <w:rPr>
          <w:shd w:val="clear" w:color="auto" w:fill="FFFFFF"/>
        </w:rPr>
        <w:t xml:space="preserve">Afin de capitaliser sur ces acquis, la COMESA et la COI entendent continuer leur collaboration en mettant en place un nouveau programme de développement sur les politiques publiques des ICC. </w:t>
      </w:r>
    </w:p>
    <w:p w14:paraId="40E29DFE" w14:textId="77777777" w:rsidR="008F525A" w:rsidRDefault="008F525A" w:rsidP="00574850">
      <w:pPr>
        <w:pStyle w:val="Paragraphe"/>
        <w:rPr>
          <w:shd w:val="clear" w:color="auto" w:fill="FFFFFF"/>
        </w:rPr>
      </w:pPr>
    </w:p>
    <w:p w14:paraId="31F04B07" w14:textId="25B471ED" w:rsidR="00574850" w:rsidRDefault="00574850" w:rsidP="00A76B07">
      <w:pPr>
        <w:pStyle w:val="Sous-partie2"/>
      </w:pPr>
      <w:r>
        <w:t xml:space="preserve">Prix Indianocéanie </w:t>
      </w:r>
    </w:p>
    <w:p w14:paraId="215DD0AA" w14:textId="6C1748BE" w:rsidR="009A5BAA" w:rsidRPr="009A5BAA" w:rsidRDefault="00DA1100" w:rsidP="009A5BAA">
      <w:pPr>
        <w:jc w:val="both"/>
        <w:rPr>
          <w:rFonts w:ascii="Verdana" w:hAnsi="Verdana" w:cs="Calibri"/>
          <w:sz w:val="20"/>
          <w:szCs w:val="20"/>
        </w:rPr>
      </w:pPr>
      <w:r w:rsidRPr="009A5BAA">
        <w:rPr>
          <w:rFonts w:ascii="Verdana" w:hAnsi="Verdana" w:cs="Calibri"/>
          <w:sz w:val="20"/>
          <w:szCs w:val="20"/>
        </w:rPr>
        <w:t xml:space="preserve">Le Prix Indianocéanie de la Jeunesse a été clôturé en </w:t>
      </w:r>
      <w:r w:rsidR="00F20173" w:rsidRPr="009A5BAA">
        <w:rPr>
          <w:rFonts w:ascii="Verdana" w:hAnsi="Verdana" w:cs="Calibri"/>
          <w:sz w:val="20"/>
          <w:szCs w:val="20"/>
        </w:rPr>
        <w:t xml:space="preserve">octobre 2023 avec la cérémonie de remise du prix </w:t>
      </w:r>
      <w:r w:rsidR="00DF6C74" w:rsidRPr="009A5BAA">
        <w:rPr>
          <w:rFonts w:ascii="Verdana" w:hAnsi="Verdana" w:cs="Calibri"/>
          <w:sz w:val="20"/>
          <w:szCs w:val="20"/>
        </w:rPr>
        <w:t>au groupe lauréat. C</w:t>
      </w:r>
      <w:r w:rsidR="00F20173" w:rsidRPr="009A5BAA">
        <w:rPr>
          <w:rFonts w:ascii="Verdana" w:hAnsi="Verdana" w:cs="Calibri"/>
          <w:sz w:val="20"/>
          <w:szCs w:val="20"/>
        </w:rPr>
        <w:t>omposé de 7 jeunes filles de l’école</w:t>
      </w:r>
      <w:r w:rsidR="007C41E3" w:rsidRPr="009A5BAA">
        <w:rPr>
          <w:rFonts w:ascii="Verdana" w:hAnsi="Verdana" w:cs="Calibri"/>
          <w:sz w:val="20"/>
          <w:szCs w:val="20"/>
        </w:rPr>
        <w:t xml:space="preserve"> Lady Sushil </w:t>
      </w:r>
      <w:r w:rsidR="007C41E3" w:rsidRPr="009A5BAA">
        <w:rPr>
          <w:rFonts w:ascii="Verdana" w:hAnsi="Verdana" w:cs="Calibri"/>
          <w:sz w:val="20"/>
          <w:szCs w:val="20"/>
        </w:rPr>
        <w:lastRenderedPageBreak/>
        <w:t>Ramgoolam SSS de l’île Maurice</w:t>
      </w:r>
      <w:r w:rsidR="00DF6C74" w:rsidRPr="009A5BAA">
        <w:rPr>
          <w:rFonts w:ascii="Verdana" w:hAnsi="Verdana" w:cs="Calibri"/>
          <w:sz w:val="20"/>
          <w:szCs w:val="20"/>
        </w:rPr>
        <w:t xml:space="preserve">, les élèves ont su faire briller </w:t>
      </w:r>
      <w:r w:rsidR="009A5BAA" w:rsidRPr="009A5BAA">
        <w:rPr>
          <w:rFonts w:ascii="Verdana" w:hAnsi="Verdana" w:cs="Calibri"/>
          <w:sz w:val="20"/>
          <w:szCs w:val="20"/>
        </w:rPr>
        <w:t>leurs talents</w:t>
      </w:r>
      <w:r w:rsidR="00DF6C74" w:rsidRPr="009A5BAA">
        <w:rPr>
          <w:rFonts w:ascii="Verdana" w:hAnsi="Verdana" w:cs="Calibri"/>
          <w:sz w:val="20"/>
          <w:szCs w:val="20"/>
        </w:rPr>
        <w:t xml:space="preserve"> avec leur conte «</w:t>
      </w:r>
      <w:r w:rsidR="009A5BAA" w:rsidRPr="009A5BAA">
        <w:rPr>
          <w:rFonts w:ascii="Verdana" w:hAnsi="Verdana" w:cs="Calibri"/>
          <w:sz w:val="20"/>
          <w:szCs w:val="20"/>
        </w:rPr>
        <w:t>Mo :</w:t>
      </w:r>
      <w:r w:rsidR="00DF6C74" w:rsidRPr="009A5BAA">
        <w:rPr>
          <w:rFonts w:ascii="Verdana" w:hAnsi="Verdana" w:cs="Calibri"/>
          <w:sz w:val="20"/>
          <w:szCs w:val="20"/>
        </w:rPr>
        <w:t> Le Destin de Kariko »</w:t>
      </w:r>
      <w:r w:rsidR="008F525A">
        <w:rPr>
          <w:rStyle w:val="Appelnotedebasdep"/>
          <w:rFonts w:ascii="Verdana" w:hAnsi="Verdana" w:cs="Calibri"/>
          <w:sz w:val="20"/>
          <w:szCs w:val="20"/>
        </w:rPr>
        <w:footnoteReference w:id="1"/>
      </w:r>
      <w:r w:rsidR="009A5BAA" w:rsidRPr="009A5BAA">
        <w:rPr>
          <w:rFonts w:ascii="Verdana" w:hAnsi="Verdana" w:cs="Calibri"/>
          <w:sz w:val="20"/>
          <w:szCs w:val="20"/>
        </w:rPr>
        <w:t xml:space="preserve">. </w:t>
      </w:r>
      <w:r w:rsidR="003E3B90">
        <w:rPr>
          <w:rFonts w:ascii="Verdana" w:hAnsi="Verdana" w:cs="Calibri"/>
          <w:sz w:val="20"/>
          <w:szCs w:val="20"/>
        </w:rPr>
        <w:t xml:space="preserve">Quatre </w:t>
      </w:r>
      <w:r w:rsidR="009A5BAA" w:rsidRPr="003E3B90">
        <w:rPr>
          <w:rFonts w:ascii="Verdana" w:hAnsi="Verdana" w:cs="Calibri"/>
          <w:sz w:val="20"/>
          <w:szCs w:val="20"/>
        </w:rPr>
        <w:t>autres manuscrits</w:t>
      </w:r>
      <w:r w:rsidR="009A5BAA" w:rsidRPr="009A5BAA">
        <w:rPr>
          <w:rFonts w:ascii="Verdana" w:hAnsi="Verdana" w:cs="Calibri"/>
          <w:sz w:val="20"/>
          <w:szCs w:val="20"/>
        </w:rPr>
        <w:t xml:space="preserve"> ont également reçu un coup de cœur du jury et viennent compléter le recueil de récits intitulé « Mo : Le destin de Kariko et autres contes de l’Indianocéanie », disponible sur le site internet de la COI.</w:t>
      </w:r>
    </w:p>
    <w:p w14:paraId="310A4346" w14:textId="27E3C088" w:rsidR="00DA1100" w:rsidRDefault="004A6589" w:rsidP="00A56278">
      <w:pPr>
        <w:pStyle w:val="Paragraphe"/>
      </w:pPr>
      <w:r>
        <w:t xml:space="preserve">A la suite de la cérémonie, </w:t>
      </w:r>
      <w:r w:rsidR="009A5BAA">
        <w:t>l</w:t>
      </w:r>
      <w:r w:rsidR="00F67B89">
        <w:t xml:space="preserve">es lauréates ont pu </w:t>
      </w:r>
      <w:r w:rsidR="00F4131A">
        <w:t>profiter</w:t>
      </w:r>
      <w:r w:rsidR="00F67B89">
        <w:t xml:space="preserve"> </w:t>
      </w:r>
      <w:r w:rsidR="00F4131A">
        <w:t>d’un voyage culturel</w:t>
      </w:r>
      <w:r w:rsidR="00F67B89">
        <w:t xml:space="preserve"> à la Réunion organisé conjointement avec le Département de la Réunion. </w:t>
      </w:r>
    </w:p>
    <w:p w14:paraId="6E94D13D" w14:textId="4EBA0814" w:rsidR="00A56278" w:rsidRDefault="00EC182B" w:rsidP="00A56278">
      <w:pPr>
        <w:pStyle w:val="Paragraphe"/>
        <w:rPr>
          <w:shd w:val="clear" w:color="auto" w:fill="FFFFFF"/>
        </w:rPr>
      </w:pPr>
      <w:bookmarkStart w:id="1" w:name="_Hlk163200066"/>
      <w:r>
        <w:t>Suivant la décision 14</w:t>
      </w:r>
      <w:r w:rsidR="00170975">
        <w:t>.</w:t>
      </w:r>
      <w:r>
        <w:t>b validé du 37</w:t>
      </w:r>
      <w:r w:rsidRPr="00EC182B">
        <w:rPr>
          <w:vertAlign w:val="superscript"/>
        </w:rPr>
        <w:t>ème</w:t>
      </w:r>
      <w:r>
        <w:t xml:space="preserve"> Conseil des ministres, le Secrétariat général est</w:t>
      </w:r>
      <w:r w:rsidR="00607B79">
        <w:t xml:space="preserve"> actuellement</w:t>
      </w:r>
      <w:r>
        <w:t xml:space="preserve"> en phase de préparation des documents administratifs et de discussions/négociations avec les partenaires pour l’instruction d</w:t>
      </w:r>
      <w:r w:rsidR="00631F3A">
        <w:t>u</w:t>
      </w:r>
      <w:r>
        <w:t xml:space="preserve"> Prix Indianocéanie 2024.</w:t>
      </w:r>
      <w:r w:rsidR="00192D7D">
        <w:t xml:space="preserve"> Le Bureau régional pour l’océan Indien de l’Organisation internationale de la Francophonie a d’ores et déjà confirmé son soutien à une nouvelle édition du prix Indianocéanie</w:t>
      </w:r>
      <w:r w:rsidR="006F6561">
        <w:t xml:space="preserve">. </w:t>
      </w:r>
      <w:r w:rsidR="00192D7D">
        <w:t xml:space="preserve">Les réunions de travail avec l’OIF ont débuté. Cela étant, le Secrétariat général reste dans l’attente de la confirmation de participation du Département de La Réunion pour arrêter un calendrier, finaliser les procédures et lancer l’appel à écritures avec pour ambition une remise du prix à la mi-novembre 2024. </w:t>
      </w:r>
    </w:p>
    <w:bookmarkEnd w:id="1"/>
    <w:p w14:paraId="2F7F5914" w14:textId="608AD6BB" w:rsidR="00955BB3" w:rsidRPr="0008468B" w:rsidRDefault="00955BB3" w:rsidP="00A70123">
      <w:pPr>
        <w:pStyle w:val="Titrepartie"/>
      </w:pPr>
      <w:r w:rsidRPr="0008468B">
        <w:t>Proposition de décision</w:t>
      </w:r>
    </w:p>
    <w:p w14:paraId="05F1F967" w14:textId="7F1E7327" w:rsidR="0008468B" w:rsidRPr="004F5C4B" w:rsidRDefault="0008468B" w:rsidP="00FE285D">
      <w:pPr>
        <w:pStyle w:val="Paragraphe"/>
      </w:pPr>
      <w:r w:rsidRPr="004F5C4B">
        <w:t>Le Comité des OPL</w:t>
      </w:r>
      <w:r w:rsidR="00CA7968">
        <w:t> </w:t>
      </w:r>
      <w:r w:rsidR="00631F3A">
        <w:t>recommande</w:t>
      </w:r>
      <w:r w:rsidR="00E33CCE">
        <w:t xml:space="preserve"> au Conseil des ministres </w:t>
      </w:r>
      <w:r w:rsidR="003A2FD2">
        <w:t>de :</w:t>
      </w:r>
    </w:p>
    <w:p w14:paraId="2EF98790" w14:textId="19FBF85C" w:rsidR="0008468B" w:rsidRDefault="007A5324" w:rsidP="00FE285D">
      <w:pPr>
        <w:pStyle w:val="Paragraphe"/>
        <w:numPr>
          <w:ilvl w:val="0"/>
          <w:numId w:val="6"/>
        </w:numPr>
      </w:pPr>
      <w:r w:rsidRPr="00F75933">
        <w:t>Salue</w:t>
      </w:r>
      <w:r w:rsidR="00E33CCE">
        <w:t>r</w:t>
      </w:r>
      <w:r w:rsidRPr="00F75933">
        <w:t xml:space="preserve"> </w:t>
      </w:r>
      <w:r w:rsidR="00F75933" w:rsidRPr="00F75933">
        <w:t>l’</w:t>
      </w:r>
      <w:r w:rsidR="00803090" w:rsidRPr="00F75933">
        <w:t>initiative</w:t>
      </w:r>
      <w:r w:rsidR="00F75933" w:rsidRPr="00F75933">
        <w:t xml:space="preserve"> </w:t>
      </w:r>
      <w:r w:rsidR="00F75933">
        <w:t>« </w:t>
      </w:r>
      <w:r w:rsidR="00F75933" w:rsidRPr="00F75933">
        <w:t>2024</w:t>
      </w:r>
      <w:r w:rsidR="00F75933">
        <w:t xml:space="preserve"> </w:t>
      </w:r>
      <w:r w:rsidR="00F75933" w:rsidRPr="00F75933">
        <w:t>|</w:t>
      </w:r>
      <w:r w:rsidR="00F75933">
        <w:t xml:space="preserve"> </w:t>
      </w:r>
      <w:r w:rsidR="00F75933" w:rsidRPr="00F75933">
        <w:t>Année culturelle d</w:t>
      </w:r>
      <w:r w:rsidR="00F75933">
        <w:t>e la COI »</w:t>
      </w:r>
      <w:r w:rsidR="00803090">
        <w:t xml:space="preserve"> en mettant en œuvre les activités du projet</w:t>
      </w:r>
      <w:r w:rsidR="002C1DFC">
        <w:t xml:space="preserve"> de développement des</w:t>
      </w:r>
      <w:r w:rsidR="00803090">
        <w:t xml:space="preserve"> ICC</w:t>
      </w:r>
      <w:r w:rsidR="009F702D">
        <w:t xml:space="preserve"> et le prix Indianocéanie 2024 ; </w:t>
      </w:r>
    </w:p>
    <w:p w14:paraId="31F7CC0B" w14:textId="72739E7C" w:rsidR="009F702D" w:rsidRDefault="009A683E" w:rsidP="00A76B07">
      <w:pPr>
        <w:pStyle w:val="Paragraphe"/>
        <w:numPr>
          <w:ilvl w:val="0"/>
          <w:numId w:val="6"/>
        </w:numPr>
      </w:pPr>
      <w:r>
        <w:t>Demande</w:t>
      </w:r>
      <w:r w:rsidR="00E33CCE">
        <w:t>r</w:t>
      </w:r>
      <w:r>
        <w:t xml:space="preserve"> au Secrétariat général de renforcer le plaidoyer auprès des Etats membres</w:t>
      </w:r>
      <w:r w:rsidR="0046340E">
        <w:t xml:space="preserve"> </w:t>
      </w:r>
      <w:r w:rsidR="00512963">
        <w:t xml:space="preserve">notamment pour les droits d’auteurs et l’intégration des ICC dans les politiques publiques ; </w:t>
      </w:r>
    </w:p>
    <w:p w14:paraId="495CA3D7" w14:textId="1C15D096" w:rsidR="0008468B" w:rsidRDefault="00D0565B" w:rsidP="00053332">
      <w:pPr>
        <w:pStyle w:val="Paragraphe"/>
        <w:numPr>
          <w:ilvl w:val="0"/>
          <w:numId w:val="6"/>
        </w:numPr>
      </w:pPr>
      <w:r w:rsidRPr="001F526D">
        <w:t>Encourage</w:t>
      </w:r>
      <w:r w:rsidR="00E33CCE">
        <w:t>r</w:t>
      </w:r>
      <w:r w:rsidRPr="001F526D">
        <w:t xml:space="preserve"> le partenariat avec l</w:t>
      </w:r>
      <w:r>
        <w:t>e COMESA pour l’élaboration d’un programme commun pour le renforcement des politiques publiques des ICC et la recherche de financement</w:t>
      </w:r>
      <w:r w:rsidR="00DF48CE">
        <w:t xml:space="preserve"> ; </w:t>
      </w:r>
    </w:p>
    <w:p w14:paraId="08A7F5A3" w14:textId="27B8C6B9" w:rsidR="00DF48CE" w:rsidRPr="00053332" w:rsidRDefault="00DF48CE" w:rsidP="00053332">
      <w:pPr>
        <w:pStyle w:val="Paragraphe"/>
        <w:numPr>
          <w:ilvl w:val="0"/>
          <w:numId w:val="6"/>
        </w:numPr>
      </w:pPr>
      <w:r>
        <w:t xml:space="preserve">Remercier l’Organisation internationale de la Francophonie pour </w:t>
      </w:r>
      <w:r w:rsidR="00DB7758">
        <w:t xml:space="preserve">sa contribution à l’organisation du prix Indianocéanie 2024. </w:t>
      </w:r>
    </w:p>
    <w:p w14:paraId="7EAEB404" w14:textId="72ACB4A7" w:rsidR="00955BB3" w:rsidRPr="0008468B" w:rsidRDefault="00955BB3" w:rsidP="00FE285D">
      <w:pPr>
        <w:pStyle w:val="Titrepartie"/>
      </w:pPr>
      <w:r w:rsidRPr="0008468B">
        <w:t>Rappel des décisions antérieures</w:t>
      </w:r>
    </w:p>
    <w:bookmarkEnd w:id="0"/>
    <w:p w14:paraId="623000D0" w14:textId="045F70D0" w:rsidR="0008468B" w:rsidRDefault="00FE285D" w:rsidP="00060CA0">
      <w:pPr>
        <w:pStyle w:val="Exergue"/>
      </w:pPr>
      <w:r>
        <w:t>Cf.</w:t>
      </w:r>
      <w:r w:rsidR="0008468B" w:rsidRPr="00FE285D">
        <w:t xml:space="preserve"> Décision </w:t>
      </w:r>
      <w:r w:rsidR="00EB49A1">
        <w:t>16</w:t>
      </w:r>
      <w:r w:rsidR="0008468B" w:rsidRPr="00FE285D">
        <w:t>.</w:t>
      </w:r>
      <w:r w:rsidR="00EB49A1">
        <w:t>d</w:t>
      </w:r>
      <w:r w:rsidR="0008468B" w:rsidRPr="00FE285D">
        <w:t xml:space="preserve"> </w:t>
      </w:r>
      <w:r w:rsidR="00C42131">
        <w:t>Culture</w:t>
      </w:r>
      <w:r w:rsidR="00A76B07">
        <w:t xml:space="preserve">, </w:t>
      </w:r>
      <w:r w:rsidR="00C42131">
        <w:t>COPL 01/2023</w:t>
      </w:r>
      <w:r w:rsidR="00A76B07">
        <w:t xml:space="preserve">, </w:t>
      </w:r>
      <w:r w:rsidR="00544643">
        <w:t>avril 2023</w:t>
      </w:r>
    </w:p>
    <w:p w14:paraId="30E0C7DF" w14:textId="77777777" w:rsidR="00544643" w:rsidRPr="00FE285D" w:rsidRDefault="00544643" w:rsidP="00060CA0">
      <w:pPr>
        <w:pStyle w:val="Exergue"/>
      </w:pPr>
    </w:p>
    <w:p w14:paraId="66D82C9E" w14:textId="65BB9F8F" w:rsidR="008D6ECC" w:rsidRDefault="008D6ECC" w:rsidP="00DA4FD1">
      <w:pPr>
        <w:pStyle w:val="Paragraphe"/>
      </w:pPr>
      <w:r w:rsidRPr="00887248">
        <w:t xml:space="preserve">Confirmer l'intérêt </w:t>
      </w:r>
      <w:r>
        <w:t xml:space="preserve">du projet conjoint avec </w:t>
      </w:r>
      <w:r w:rsidRPr="00887248">
        <w:t>le COMESA sur le renforcement des capacités de collecte, traitement et analyse de données statistiques des administrations en charge de l’élaboration et du suivi des politiques publiques en faveur des ICC</w:t>
      </w:r>
      <w:r>
        <w:t xml:space="preserve"> sur financement européen (fonds HEVA du British Council)</w:t>
      </w:r>
      <w:r w:rsidRPr="00887248">
        <w:t xml:space="preserve"> et demande au Secrétariat général d'associer les parties prenantes nationales pertinentes pour le démarrage rapide des activités. </w:t>
      </w:r>
    </w:p>
    <w:p w14:paraId="5E0AB361" w14:textId="77777777" w:rsidR="00F867A3" w:rsidRDefault="00F867A3" w:rsidP="00F867A3">
      <w:pPr>
        <w:pStyle w:val="Exergue"/>
      </w:pPr>
      <w:r>
        <w:t>Cf.</w:t>
      </w:r>
      <w:r w:rsidRPr="00FE285D">
        <w:t xml:space="preserve"> Décision </w:t>
      </w:r>
      <w:r>
        <w:t>11</w:t>
      </w:r>
      <w:r w:rsidRPr="00FE285D">
        <w:t xml:space="preserve">. </w:t>
      </w:r>
      <w:r>
        <w:t>Culture, Comité des OPL 02/2022, 21 février 2022</w:t>
      </w:r>
    </w:p>
    <w:p w14:paraId="5236A1F2" w14:textId="77777777" w:rsidR="00DA4FD1" w:rsidRDefault="00DA4FD1" w:rsidP="00F867A3">
      <w:pPr>
        <w:pStyle w:val="Exergue"/>
      </w:pPr>
    </w:p>
    <w:p w14:paraId="23F7F281" w14:textId="160E0648" w:rsidR="00C4168B" w:rsidRDefault="00C4168B" w:rsidP="00DA4FD1">
      <w:pPr>
        <w:pStyle w:val="Default"/>
        <w:spacing w:after="198"/>
        <w:jc w:val="both"/>
        <w:rPr>
          <w:sz w:val="20"/>
          <w:szCs w:val="20"/>
        </w:rPr>
      </w:pPr>
      <w:r>
        <w:rPr>
          <w:sz w:val="20"/>
          <w:szCs w:val="20"/>
        </w:rPr>
        <w:t xml:space="preserve">Saluer le démarrage programmé des activités du projet régional de développement des industries culturelles et créatives (ICC) ; </w:t>
      </w:r>
    </w:p>
    <w:p w14:paraId="7A1F12A1" w14:textId="4045E39D" w:rsidR="00C4168B" w:rsidRDefault="00C4168B" w:rsidP="00DA4FD1">
      <w:pPr>
        <w:pStyle w:val="Default"/>
        <w:spacing w:after="198"/>
        <w:jc w:val="both"/>
        <w:rPr>
          <w:sz w:val="20"/>
          <w:szCs w:val="20"/>
        </w:rPr>
      </w:pPr>
      <w:r>
        <w:rPr>
          <w:sz w:val="20"/>
          <w:szCs w:val="20"/>
        </w:rPr>
        <w:t xml:space="preserve">Demander au Secrétariat général d’organiser, avec l’assistance technique du projet ICC, une réunion d’information sur le projet de développement des ICC afin de mobiliser au mieux les parties prenantes dans la mise en </w:t>
      </w:r>
      <w:r w:rsidR="00DA4FD1">
        <w:rPr>
          <w:sz w:val="20"/>
          <w:szCs w:val="20"/>
        </w:rPr>
        <w:t>œuvre</w:t>
      </w:r>
      <w:r>
        <w:rPr>
          <w:sz w:val="20"/>
          <w:szCs w:val="20"/>
        </w:rPr>
        <w:t xml:space="preserve"> des activités</w:t>
      </w:r>
      <w:r w:rsidR="00DA4FD1">
        <w:rPr>
          <w:sz w:val="20"/>
          <w:szCs w:val="20"/>
        </w:rPr>
        <w:t xml:space="preserve">. </w:t>
      </w:r>
    </w:p>
    <w:p w14:paraId="0AB6024B" w14:textId="77777777" w:rsidR="00F867A3" w:rsidRPr="00FE285D" w:rsidRDefault="00F867A3" w:rsidP="00F867A3">
      <w:pPr>
        <w:pStyle w:val="Exergue"/>
      </w:pPr>
    </w:p>
    <w:p w14:paraId="1D6F1669" w14:textId="72833CAD" w:rsidR="00417683" w:rsidRPr="0008468B" w:rsidRDefault="00417683" w:rsidP="00060CA0">
      <w:pPr>
        <w:pStyle w:val="Titrepartie"/>
      </w:pPr>
      <w:r w:rsidRPr="0008468B">
        <w:lastRenderedPageBreak/>
        <w:t>Annexe</w:t>
      </w:r>
      <w:r w:rsidR="008F173C" w:rsidRPr="0008468B">
        <w:t>s</w:t>
      </w:r>
      <w:r w:rsidRPr="0008468B">
        <w:t> :</w:t>
      </w:r>
    </w:p>
    <w:p w14:paraId="374F3417" w14:textId="27FC4D57" w:rsidR="00C325F5" w:rsidRDefault="00620B90" w:rsidP="00620B90">
      <w:pPr>
        <w:pStyle w:val="Paragraphe"/>
        <w:numPr>
          <w:ilvl w:val="0"/>
          <w:numId w:val="9"/>
        </w:numPr>
      </w:pPr>
      <w:r>
        <w:t xml:space="preserve">Annexe 1 : </w:t>
      </w:r>
      <w:r w:rsidR="004C142A">
        <w:t xml:space="preserve">Diagnostic sectoriel genre des ICC </w:t>
      </w:r>
    </w:p>
    <w:p w14:paraId="4648F921" w14:textId="116F6ADA" w:rsidR="008F173C" w:rsidRPr="00620B90" w:rsidRDefault="00620B90" w:rsidP="00620B90">
      <w:pPr>
        <w:pStyle w:val="Paragraphe"/>
        <w:numPr>
          <w:ilvl w:val="0"/>
          <w:numId w:val="9"/>
        </w:numPr>
      </w:pPr>
      <w:r>
        <w:t>Annexe 2 :</w:t>
      </w:r>
      <w:r w:rsidR="004C142A">
        <w:t xml:space="preserve"> Résumé exécuti</w:t>
      </w:r>
      <w:r w:rsidR="00EF21EE">
        <w:t xml:space="preserve">f </w:t>
      </w:r>
      <w:r w:rsidR="00C50211">
        <w:t xml:space="preserve">de l’état des lieux du cadre législatif des ICC </w:t>
      </w:r>
    </w:p>
    <w:sectPr w:rsidR="008F173C" w:rsidRPr="00620B90" w:rsidSect="0046236C">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F597" w14:textId="77777777" w:rsidR="0046236C" w:rsidRDefault="0046236C">
      <w:pPr>
        <w:spacing w:after="0" w:line="240" w:lineRule="auto"/>
      </w:pPr>
      <w:r>
        <w:separator/>
      </w:r>
    </w:p>
  </w:endnote>
  <w:endnote w:type="continuationSeparator" w:id="0">
    <w:p w14:paraId="63438140" w14:textId="77777777" w:rsidR="0046236C" w:rsidRDefault="0046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C90F" w14:textId="77777777" w:rsidR="0046236C" w:rsidRDefault="0046236C">
      <w:pPr>
        <w:spacing w:after="0" w:line="240" w:lineRule="auto"/>
      </w:pPr>
      <w:r>
        <w:separator/>
      </w:r>
    </w:p>
  </w:footnote>
  <w:footnote w:type="continuationSeparator" w:id="0">
    <w:p w14:paraId="54D5BFF5" w14:textId="77777777" w:rsidR="0046236C" w:rsidRDefault="0046236C">
      <w:pPr>
        <w:spacing w:after="0" w:line="240" w:lineRule="auto"/>
      </w:pPr>
      <w:r>
        <w:continuationSeparator/>
      </w:r>
    </w:p>
  </w:footnote>
  <w:footnote w:id="1">
    <w:p w14:paraId="544E8F8B" w14:textId="54F7E399" w:rsidR="008F525A" w:rsidRDefault="008F525A">
      <w:pPr>
        <w:pStyle w:val="Notedebasdepage"/>
      </w:pPr>
      <w:r>
        <w:rPr>
          <w:rStyle w:val="Appelnotedebasdep"/>
        </w:rPr>
        <w:footnoteRef/>
      </w:r>
      <w:r>
        <w:t xml:space="preserve"> </w:t>
      </w:r>
      <w:hyperlink r:id="rId1" w:history="1">
        <w:r>
          <w:rPr>
            <w:rStyle w:val="Lienhypertexte"/>
          </w:rPr>
          <w:t>231018_Recueil-Le-destin-de-Kariko-et-autres-contes-de-lIndianoceanie_prix-Indianoceanie-jeunesse-2023-1.pdf (commissionoceanindien.org)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B8FCBA3"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22733955" name="Image 62273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8F525A">
      <w:rPr>
        <w:rFonts w:ascii="Verdana" w:hAnsi="Verdana"/>
        <w:b/>
        <w:bCs/>
        <w:sz w:val="20"/>
        <w:szCs w:val="20"/>
      </w:rPr>
      <w:t>2.14.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0E5F8D"/>
    <w:multiLevelType w:val="hybridMultilevel"/>
    <w:tmpl w:val="D6528A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E7AF0"/>
    <w:multiLevelType w:val="hybridMultilevel"/>
    <w:tmpl w:val="2FBA53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5D16B5"/>
    <w:multiLevelType w:val="hybridMultilevel"/>
    <w:tmpl w:val="BCD2631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4901C6"/>
    <w:multiLevelType w:val="hybridMultilevel"/>
    <w:tmpl w:val="82D21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8F0165"/>
    <w:multiLevelType w:val="hybridMultilevel"/>
    <w:tmpl w:val="1750A4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5043321">
    <w:abstractNumId w:val="5"/>
  </w:num>
  <w:num w:numId="2" w16cid:durableId="1176194741">
    <w:abstractNumId w:val="10"/>
  </w:num>
  <w:num w:numId="3" w16cid:durableId="1100371679">
    <w:abstractNumId w:val="2"/>
  </w:num>
  <w:num w:numId="4" w16cid:durableId="631909020">
    <w:abstractNumId w:val="0"/>
  </w:num>
  <w:num w:numId="5" w16cid:durableId="86312178">
    <w:abstractNumId w:val="8"/>
  </w:num>
  <w:num w:numId="6" w16cid:durableId="1929193516">
    <w:abstractNumId w:val="3"/>
  </w:num>
  <w:num w:numId="7" w16cid:durableId="824392916">
    <w:abstractNumId w:val="7"/>
  </w:num>
  <w:num w:numId="8" w16cid:durableId="48650080">
    <w:abstractNumId w:val="2"/>
    <w:lvlOverride w:ilvl="0">
      <w:startOverride w:val="1"/>
    </w:lvlOverride>
  </w:num>
  <w:num w:numId="9" w16cid:durableId="456534952">
    <w:abstractNumId w:val="1"/>
  </w:num>
  <w:num w:numId="10" w16cid:durableId="63526095">
    <w:abstractNumId w:val="11"/>
  </w:num>
  <w:num w:numId="11" w16cid:durableId="1556158772">
    <w:abstractNumId w:val="4"/>
  </w:num>
  <w:num w:numId="12" w16cid:durableId="1213496681">
    <w:abstractNumId w:val="12"/>
  </w:num>
  <w:num w:numId="13" w16cid:durableId="1392121756">
    <w:abstractNumId w:val="9"/>
  </w:num>
  <w:num w:numId="14" w16cid:durableId="635918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C0D"/>
    <w:rsid w:val="00010733"/>
    <w:rsid w:val="00034039"/>
    <w:rsid w:val="000373B2"/>
    <w:rsid w:val="00042CF5"/>
    <w:rsid w:val="00044881"/>
    <w:rsid w:val="00044EA0"/>
    <w:rsid w:val="0004623D"/>
    <w:rsid w:val="00053332"/>
    <w:rsid w:val="00060CA0"/>
    <w:rsid w:val="00063A26"/>
    <w:rsid w:val="00067EF8"/>
    <w:rsid w:val="000764B8"/>
    <w:rsid w:val="0008468B"/>
    <w:rsid w:val="00091854"/>
    <w:rsid w:val="00094A39"/>
    <w:rsid w:val="000A468A"/>
    <w:rsid w:val="000B003A"/>
    <w:rsid w:val="000B0FBD"/>
    <w:rsid w:val="000B2248"/>
    <w:rsid w:val="000C5565"/>
    <w:rsid w:val="000C5B5D"/>
    <w:rsid w:val="000F4728"/>
    <w:rsid w:val="001008CE"/>
    <w:rsid w:val="00107D9D"/>
    <w:rsid w:val="001230C6"/>
    <w:rsid w:val="001348F9"/>
    <w:rsid w:val="00142168"/>
    <w:rsid w:val="00160093"/>
    <w:rsid w:val="00170975"/>
    <w:rsid w:val="0018252D"/>
    <w:rsid w:val="00192D7D"/>
    <w:rsid w:val="00192E92"/>
    <w:rsid w:val="001A3F64"/>
    <w:rsid w:val="001A56F1"/>
    <w:rsid w:val="001B0E0E"/>
    <w:rsid w:val="001B3465"/>
    <w:rsid w:val="001B4738"/>
    <w:rsid w:val="001C6E05"/>
    <w:rsid w:val="001D68C3"/>
    <w:rsid w:val="001E2C90"/>
    <w:rsid w:val="001F1D18"/>
    <w:rsid w:val="001F4792"/>
    <w:rsid w:val="001F526D"/>
    <w:rsid w:val="00223B4A"/>
    <w:rsid w:val="00231929"/>
    <w:rsid w:val="00233FE5"/>
    <w:rsid w:val="002844BC"/>
    <w:rsid w:val="002A0933"/>
    <w:rsid w:val="002A096E"/>
    <w:rsid w:val="002A0B29"/>
    <w:rsid w:val="002C1DFC"/>
    <w:rsid w:val="002C56ED"/>
    <w:rsid w:val="002D4404"/>
    <w:rsid w:val="002F1700"/>
    <w:rsid w:val="002F200D"/>
    <w:rsid w:val="002F418A"/>
    <w:rsid w:val="002F6864"/>
    <w:rsid w:val="003604B9"/>
    <w:rsid w:val="0036454C"/>
    <w:rsid w:val="0036468B"/>
    <w:rsid w:val="003772FB"/>
    <w:rsid w:val="00391152"/>
    <w:rsid w:val="00393189"/>
    <w:rsid w:val="003A2FD2"/>
    <w:rsid w:val="003A45D5"/>
    <w:rsid w:val="003B3728"/>
    <w:rsid w:val="003C0E7D"/>
    <w:rsid w:val="003C2538"/>
    <w:rsid w:val="003C6269"/>
    <w:rsid w:val="003D00D4"/>
    <w:rsid w:val="003D485F"/>
    <w:rsid w:val="003D5328"/>
    <w:rsid w:val="003E3B90"/>
    <w:rsid w:val="0041278C"/>
    <w:rsid w:val="00417683"/>
    <w:rsid w:val="00426673"/>
    <w:rsid w:val="004607F7"/>
    <w:rsid w:val="0046236C"/>
    <w:rsid w:val="0046340E"/>
    <w:rsid w:val="0046436C"/>
    <w:rsid w:val="0046733F"/>
    <w:rsid w:val="00471283"/>
    <w:rsid w:val="004802EC"/>
    <w:rsid w:val="004844F5"/>
    <w:rsid w:val="004A2C7D"/>
    <w:rsid w:val="004A6589"/>
    <w:rsid w:val="004B2244"/>
    <w:rsid w:val="004B70AF"/>
    <w:rsid w:val="004C0F7C"/>
    <w:rsid w:val="004C142A"/>
    <w:rsid w:val="004C4BCA"/>
    <w:rsid w:val="004D36B8"/>
    <w:rsid w:val="004E4ED4"/>
    <w:rsid w:val="004F5163"/>
    <w:rsid w:val="004F5C4B"/>
    <w:rsid w:val="00512963"/>
    <w:rsid w:val="005177D7"/>
    <w:rsid w:val="0053773D"/>
    <w:rsid w:val="00544643"/>
    <w:rsid w:val="00545C19"/>
    <w:rsid w:val="00562061"/>
    <w:rsid w:val="00563070"/>
    <w:rsid w:val="0057223F"/>
    <w:rsid w:val="00574850"/>
    <w:rsid w:val="005765B3"/>
    <w:rsid w:val="0058278C"/>
    <w:rsid w:val="00595D7D"/>
    <w:rsid w:val="005A0A2D"/>
    <w:rsid w:val="005C7149"/>
    <w:rsid w:val="005D0C73"/>
    <w:rsid w:val="005D1AA4"/>
    <w:rsid w:val="005F5357"/>
    <w:rsid w:val="006020C8"/>
    <w:rsid w:val="00607B79"/>
    <w:rsid w:val="00620B90"/>
    <w:rsid w:val="00631F3A"/>
    <w:rsid w:val="006356AF"/>
    <w:rsid w:val="00652314"/>
    <w:rsid w:val="006548BF"/>
    <w:rsid w:val="006576F0"/>
    <w:rsid w:val="006603E8"/>
    <w:rsid w:val="00660504"/>
    <w:rsid w:val="0066140F"/>
    <w:rsid w:val="00662D68"/>
    <w:rsid w:val="006631BA"/>
    <w:rsid w:val="00676757"/>
    <w:rsid w:val="0069541B"/>
    <w:rsid w:val="006A04FB"/>
    <w:rsid w:val="006B7BD8"/>
    <w:rsid w:val="006C6360"/>
    <w:rsid w:val="006E2D84"/>
    <w:rsid w:val="006E2D9E"/>
    <w:rsid w:val="006E4C36"/>
    <w:rsid w:val="006F6561"/>
    <w:rsid w:val="0071688D"/>
    <w:rsid w:val="00777E9D"/>
    <w:rsid w:val="00782050"/>
    <w:rsid w:val="00794C40"/>
    <w:rsid w:val="00795657"/>
    <w:rsid w:val="007A5324"/>
    <w:rsid w:val="007A5989"/>
    <w:rsid w:val="007B245C"/>
    <w:rsid w:val="007C41E3"/>
    <w:rsid w:val="007C78FC"/>
    <w:rsid w:val="007D17E0"/>
    <w:rsid w:val="007E1B40"/>
    <w:rsid w:val="007F1FE0"/>
    <w:rsid w:val="007F3DC6"/>
    <w:rsid w:val="00803090"/>
    <w:rsid w:val="00816DAC"/>
    <w:rsid w:val="0083290E"/>
    <w:rsid w:val="00832C1F"/>
    <w:rsid w:val="0083389F"/>
    <w:rsid w:val="00843FF2"/>
    <w:rsid w:val="008453AB"/>
    <w:rsid w:val="00854EEA"/>
    <w:rsid w:val="008551DA"/>
    <w:rsid w:val="008A07CA"/>
    <w:rsid w:val="008C4EF3"/>
    <w:rsid w:val="008D193F"/>
    <w:rsid w:val="008D553D"/>
    <w:rsid w:val="008D6ECC"/>
    <w:rsid w:val="008F173C"/>
    <w:rsid w:val="008F525A"/>
    <w:rsid w:val="008F7BB3"/>
    <w:rsid w:val="0092665B"/>
    <w:rsid w:val="00947299"/>
    <w:rsid w:val="0095433F"/>
    <w:rsid w:val="00954A13"/>
    <w:rsid w:val="00955BB3"/>
    <w:rsid w:val="00967284"/>
    <w:rsid w:val="0098125E"/>
    <w:rsid w:val="00986EB4"/>
    <w:rsid w:val="009876A2"/>
    <w:rsid w:val="009A0E48"/>
    <w:rsid w:val="009A38AD"/>
    <w:rsid w:val="009A5BAA"/>
    <w:rsid w:val="009A683E"/>
    <w:rsid w:val="009C4BB8"/>
    <w:rsid w:val="009E2ACE"/>
    <w:rsid w:val="009E7353"/>
    <w:rsid w:val="009F702D"/>
    <w:rsid w:val="00A148A1"/>
    <w:rsid w:val="00A21494"/>
    <w:rsid w:val="00A33D1F"/>
    <w:rsid w:val="00A36C09"/>
    <w:rsid w:val="00A37C9F"/>
    <w:rsid w:val="00A56278"/>
    <w:rsid w:val="00A63761"/>
    <w:rsid w:val="00A65E68"/>
    <w:rsid w:val="00A70123"/>
    <w:rsid w:val="00A703B8"/>
    <w:rsid w:val="00A71CB7"/>
    <w:rsid w:val="00A76B07"/>
    <w:rsid w:val="00A81B98"/>
    <w:rsid w:val="00A83378"/>
    <w:rsid w:val="00A90305"/>
    <w:rsid w:val="00A96F08"/>
    <w:rsid w:val="00AA63A3"/>
    <w:rsid w:val="00AB5EB7"/>
    <w:rsid w:val="00AC5AB1"/>
    <w:rsid w:val="00AD4D97"/>
    <w:rsid w:val="00AD7ACB"/>
    <w:rsid w:val="00AE2453"/>
    <w:rsid w:val="00AF183F"/>
    <w:rsid w:val="00B059A7"/>
    <w:rsid w:val="00B05DFC"/>
    <w:rsid w:val="00B21542"/>
    <w:rsid w:val="00B36EEA"/>
    <w:rsid w:val="00BA4B55"/>
    <w:rsid w:val="00BD07F2"/>
    <w:rsid w:val="00BD0DB8"/>
    <w:rsid w:val="00BE2C8B"/>
    <w:rsid w:val="00BE6425"/>
    <w:rsid w:val="00C1239E"/>
    <w:rsid w:val="00C12C93"/>
    <w:rsid w:val="00C2272F"/>
    <w:rsid w:val="00C325F5"/>
    <w:rsid w:val="00C4168B"/>
    <w:rsid w:val="00C42131"/>
    <w:rsid w:val="00C457E8"/>
    <w:rsid w:val="00C50211"/>
    <w:rsid w:val="00C609B9"/>
    <w:rsid w:val="00C737A0"/>
    <w:rsid w:val="00C75559"/>
    <w:rsid w:val="00C86AD5"/>
    <w:rsid w:val="00CA4066"/>
    <w:rsid w:val="00CA7968"/>
    <w:rsid w:val="00CC33B6"/>
    <w:rsid w:val="00CE2386"/>
    <w:rsid w:val="00D04C90"/>
    <w:rsid w:val="00D0565B"/>
    <w:rsid w:val="00D0727A"/>
    <w:rsid w:val="00D12664"/>
    <w:rsid w:val="00D355F5"/>
    <w:rsid w:val="00D611CC"/>
    <w:rsid w:val="00D6356F"/>
    <w:rsid w:val="00D67EF2"/>
    <w:rsid w:val="00DA1100"/>
    <w:rsid w:val="00DA4FD1"/>
    <w:rsid w:val="00DB04B3"/>
    <w:rsid w:val="00DB7758"/>
    <w:rsid w:val="00DD1EBC"/>
    <w:rsid w:val="00DF44D3"/>
    <w:rsid w:val="00DF48CE"/>
    <w:rsid w:val="00DF6C74"/>
    <w:rsid w:val="00E1355B"/>
    <w:rsid w:val="00E23ABF"/>
    <w:rsid w:val="00E2552A"/>
    <w:rsid w:val="00E323D0"/>
    <w:rsid w:val="00E32408"/>
    <w:rsid w:val="00E33CCE"/>
    <w:rsid w:val="00E61263"/>
    <w:rsid w:val="00E62BAA"/>
    <w:rsid w:val="00E842C8"/>
    <w:rsid w:val="00E845D4"/>
    <w:rsid w:val="00E90BAB"/>
    <w:rsid w:val="00E94DA0"/>
    <w:rsid w:val="00EB399E"/>
    <w:rsid w:val="00EB49A1"/>
    <w:rsid w:val="00EC182B"/>
    <w:rsid w:val="00EC22CC"/>
    <w:rsid w:val="00ED281A"/>
    <w:rsid w:val="00ED6B69"/>
    <w:rsid w:val="00EE0F54"/>
    <w:rsid w:val="00EE34F4"/>
    <w:rsid w:val="00EF21EE"/>
    <w:rsid w:val="00EF22A4"/>
    <w:rsid w:val="00EF3F01"/>
    <w:rsid w:val="00F0054F"/>
    <w:rsid w:val="00F03068"/>
    <w:rsid w:val="00F1259B"/>
    <w:rsid w:val="00F20173"/>
    <w:rsid w:val="00F3706C"/>
    <w:rsid w:val="00F4131A"/>
    <w:rsid w:val="00F42839"/>
    <w:rsid w:val="00F54EA0"/>
    <w:rsid w:val="00F67B89"/>
    <w:rsid w:val="00F733CB"/>
    <w:rsid w:val="00F735E0"/>
    <w:rsid w:val="00F75933"/>
    <w:rsid w:val="00F867A3"/>
    <w:rsid w:val="00F96EE9"/>
    <w:rsid w:val="00FB46B9"/>
    <w:rsid w:val="00FB6D8D"/>
    <w:rsid w:val="00FD5612"/>
    <w:rsid w:val="00FE25AF"/>
    <w:rsid w:val="00FE285D"/>
    <w:rsid w:val="00FE7D7C"/>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F0054F"/>
    <w:rPr>
      <w:color w:val="0563C1" w:themeColor="hyperlink"/>
      <w:u w:val="single"/>
    </w:rPr>
  </w:style>
  <w:style w:type="character" w:styleId="Mentionnonrsolue">
    <w:name w:val="Unresolved Mention"/>
    <w:basedOn w:val="Policepardfaut"/>
    <w:uiPriority w:val="99"/>
    <w:semiHidden/>
    <w:unhideWhenUsed/>
    <w:rsid w:val="00F0054F"/>
    <w:rPr>
      <w:color w:val="605E5C"/>
      <w:shd w:val="clear" w:color="auto" w:fill="E1DFDD"/>
    </w:rPr>
  </w:style>
  <w:style w:type="paragraph" w:customStyle="1" w:styleId="Default">
    <w:name w:val="Default"/>
    <w:rsid w:val="00C4168B"/>
    <w:pPr>
      <w:autoSpaceDE w:val="0"/>
      <w:autoSpaceDN w:val="0"/>
      <w:adjustRightInd w:val="0"/>
      <w:spacing w:after="0" w:line="240" w:lineRule="auto"/>
    </w:pPr>
    <w:rPr>
      <w:rFonts w:ascii="Verdana" w:hAnsi="Verdana" w:cs="Verdana"/>
      <w:color w:val="000000"/>
      <w:sz w:val="24"/>
      <w:szCs w:val="24"/>
    </w:rPr>
  </w:style>
  <w:style w:type="paragraph" w:styleId="Notedebasdepage">
    <w:name w:val="footnote text"/>
    <w:basedOn w:val="Normal"/>
    <w:link w:val="NotedebasdepageCar"/>
    <w:uiPriority w:val="99"/>
    <w:semiHidden/>
    <w:unhideWhenUsed/>
    <w:rsid w:val="008F52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525A"/>
    <w:rPr>
      <w:sz w:val="20"/>
      <w:szCs w:val="20"/>
    </w:rPr>
  </w:style>
  <w:style w:type="character" w:styleId="Appelnotedebasdep">
    <w:name w:val="footnote reference"/>
    <w:basedOn w:val="Policepardfaut"/>
    <w:uiPriority w:val="99"/>
    <w:semiHidden/>
    <w:unhideWhenUsed/>
    <w:rsid w:val="008F5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lt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onoceanindien.org/wp-content/uploads/2023/10/231018_Recueil-Le-destin-de-Kariko-et-autres-contes-de-lIndianoceanie_prix-Indianoceanie-jeunesse-202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7576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dcterms:created xsi:type="dcterms:W3CDTF">2024-04-05T05:01:00Z</dcterms:created>
  <dcterms:modified xsi:type="dcterms:W3CDTF">2024-04-05T05:34:00Z</dcterms:modified>
</cp:coreProperties>
</file>