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253E" w14:textId="77777777" w:rsidR="004E11CE" w:rsidRPr="004E11CE" w:rsidRDefault="004E11CE" w:rsidP="00630C1D">
      <w:pPr>
        <w:spacing w:before="100" w:beforeAutospacing="1" w:after="100" w:afterAutospacing="1" w:line="240" w:lineRule="auto"/>
        <w:rPr>
          <w:rFonts w:ascii="Verdana" w:eastAsia="Times New Roman" w:hAnsi="Verdana" w:cs="Times New Roman"/>
          <w:b/>
          <w:bCs/>
          <w:kern w:val="0"/>
          <w:sz w:val="20"/>
          <w:szCs w:val="20"/>
          <w:u w:val="single"/>
          <w:lang/>
          <w14:ligatures w14:val="none"/>
        </w:rPr>
      </w:pPr>
    </w:p>
    <w:p w14:paraId="7F374153" w14:textId="11275980" w:rsidR="004E11CE" w:rsidRPr="004E11CE" w:rsidRDefault="004E11CE" w:rsidP="004E11CE">
      <w:pPr>
        <w:spacing w:before="100" w:beforeAutospacing="1" w:after="100" w:afterAutospacing="1" w:line="240" w:lineRule="auto"/>
        <w:jc w:val="center"/>
        <w:rPr>
          <w:rFonts w:ascii="Verdana" w:eastAsia="Times New Roman" w:hAnsi="Verdana" w:cs="Times New Roman"/>
          <w:b/>
          <w:bCs/>
          <w:kern w:val="0"/>
          <w:sz w:val="24"/>
          <w:szCs w:val="24"/>
          <w:lang/>
          <w14:ligatures w14:val="none"/>
        </w:rPr>
      </w:pPr>
      <w:r w:rsidRPr="004E11CE">
        <w:rPr>
          <w:rFonts w:ascii="Verdana" w:eastAsia="Times New Roman" w:hAnsi="Verdana" w:cs="Times New Roman"/>
          <w:b/>
          <w:bCs/>
          <w:kern w:val="0"/>
          <w:sz w:val="24"/>
          <w:szCs w:val="24"/>
          <w:lang/>
          <w14:ligatures w14:val="none"/>
        </w:rPr>
        <w:t>TERME DE RÉFÉRENCE</w:t>
      </w:r>
    </w:p>
    <w:p w14:paraId="51F381FD" w14:textId="59403877" w:rsidR="004E11CE" w:rsidRPr="004E11CE" w:rsidRDefault="004E11CE" w:rsidP="004E11CE">
      <w:pPr>
        <w:pStyle w:val="NormalWeb"/>
        <w:jc w:val="center"/>
        <w:rPr>
          <w:rFonts w:ascii="Verdana" w:hAnsi="Verdana"/>
          <w:sz w:val="20"/>
          <w:szCs w:val="20"/>
        </w:rPr>
      </w:pPr>
      <w:r w:rsidRPr="004E11CE">
        <w:rPr>
          <w:rFonts w:ascii="Verdana" w:hAnsi="Verdana"/>
          <w:b/>
          <w:bCs/>
          <w:sz w:val="20"/>
          <w:szCs w:val="20"/>
        </w:rPr>
        <w:t>PARTENARIATS ENTRE LE PROGRAMME “BLUE GREEN ISLANDS INTEGRATED PROGRAM (BGI IP)” ET LES ORGANISATIONS RÉGIONALES POUR GÉRER LES NŒUDS RÉGIONAUX DU BGI IP</w:t>
      </w:r>
    </w:p>
    <w:p w14:paraId="45F46809" w14:textId="77777777" w:rsidR="004E11CE" w:rsidRPr="004E11CE" w:rsidRDefault="004E11CE" w:rsidP="004E11CE">
      <w:pPr>
        <w:spacing w:before="100" w:beforeAutospacing="1" w:after="100" w:afterAutospacing="1" w:line="240" w:lineRule="auto"/>
        <w:jc w:val="both"/>
        <w:rPr>
          <w:rFonts w:ascii="Verdana" w:eastAsia="Times New Roman" w:hAnsi="Verdana" w:cs="Times New Roman"/>
          <w:b/>
          <w:bCs/>
          <w:kern w:val="0"/>
          <w:sz w:val="20"/>
          <w:szCs w:val="20"/>
          <w:u w:val="single"/>
          <w:lang/>
          <w14:ligatures w14:val="none"/>
        </w:rPr>
      </w:pPr>
    </w:p>
    <w:p w14:paraId="05A4D478" w14:textId="3BD06D0D"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b/>
          <w:bCs/>
          <w:kern w:val="0"/>
          <w:sz w:val="20"/>
          <w:szCs w:val="20"/>
          <w:u w:val="single"/>
          <w:lang/>
          <w14:ligatures w14:val="none"/>
        </w:rPr>
        <w:t>Vue d'ensemble</w:t>
      </w:r>
    </w:p>
    <w:p w14:paraId="1F77A1C3" w14:textId="226BBF48"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xml:space="preserve">Le programme intégré pour les îles bleues et vertes (BGI-IP), financé par le Fonds pour l'environnement mondial, s'efforcera de réduire la dégradation des écosystèmes dans les petits États insulaires en développement (PEID) en développant des solutions fondées sur la nature. Ces solutions utiliseront les systèmes et processus naturels pour restaurer les écosystèmes, conserver la biodiversité et permettre des moyens de subsistance durables. Travaillant dans 15 PEID à travers le monde, en partenariat avec le PNUD, le PNUE, la FAO, la Banque mondiale, le WWF-US, l'UICN et d'autres, le BGI-IP ciblera les principaux obstacles et modifiera les leviers pour transformer la façon dont les écosystèmes sont utilisés et gérés dans les PEID, générant ainsi des avantages environnementaux vitaux au niveau mondial au fil du temps. Le </w:t>
      </w:r>
      <w:r w:rsidR="004E11CE">
        <w:rPr>
          <w:rFonts w:ascii="Verdana" w:eastAsia="Times New Roman" w:hAnsi="Verdana" w:cs="Times New Roman"/>
          <w:kern w:val="0"/>
          <w:sz w:val="20"/>
          <w:szCs w:val="20"/>
          <w:lang/>
          <w14:ligatures w14:val="none"/>
        </w:rPr>
        <w:t>IP</w:t>
      </w:r>
      <w:r w:rsidRPr="004E11CE">
        <w:rPr>
          <w:rFonts w:ascii="Verdana" w:eastAsia="Times New Roman" w:hAnsi="Verdana" w:cs="Times New Roman"/>
          <w:kern w:val="0"/>
          <w:sz w:val="20"/>
          <w:szCs w:val="20"/>
          <w:lang/>
          <w14:ligatures w14:val="none"/>
        </w:rPr>
        <w:t xml:space="preserve"> comprend 15 pays participants représentant les trois régions des PEID : les Caraïbes, le Pacifique et les régions de l'Atlantique, de l'océan Indien et de la mer de Chine méridionale (AIS).</w:t>
      </w:r>
    </w:p>
    <w:p w14:paraId="4B858916" w14:textId="1B2BD14F"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xml:space="preserve">En collaboration avec les organisations régionales, le projet de coordination mondiale (GCP) pour le </w:t>
      </w:r>
      <w:r w:rsidR="004E11CE">
        <w:rPr>
          <w:rFonts w:ascii="Verdana" w:eastAsia="Times New Roman" w:hAnsi="Verdana" w:cs="Times New Roman"/>
          <w:kern w:val="0"/>
          <w:sz w:val="20"/>
          <w:szCs w:val="20"/>
          <w:lang/>
          <w14:ligatures w14:val="none"/>
        </w:rPr>
        <w:t xml:space="preserve">IP </w:t>
      </w:r>
      <w:r w:rsidRPr="004E11CE">
        <w:rPr>
          <w:rFonts w:ascii="Verdana" w:eastAsia="Times New Roman" w:hAnsi="Verdana" w:cs="Times New Roman"/>
          <w:kern w:val="0"/>
          <w:sz w:val="20"/>
          <w:szCs w:val="20"/>
          <w:lang/>
          <w14:ligatures w14:val="none"/>
        </w:rPr>
        <w:t xml:space="preserve">BGI soutiendra la création de trois nœuds régionaux (RN) pour les projets </w:t>
      </w:r>
      <w:r w:rsidR="00C11905">
        <w:rPr>
          <w:rFonts w:ascii="Verdana" w:eastAsia="Times New Roman" w:hAnsi="Verdana" w:cs="Times New Roman"/>
          <w:kern w:val="0"/>
          <w:sz w:val="20"/>
          <w:szCs w:val="20"/>
          <w:lang/>
          <w14:ligatures w14:val="none"/>
        </w:rPr>
        <w:t xml:space="preserve">nationaux </w:t>
      </w:r>
      <w:r w:rsidRPr="004E11CE">
        <w:rPr>
          <w:rFonts w:ascii="Verdana" w:eastAsia="Times New Roman" w:hAnsi="Verdana" w:cs="Times New Roman"/>
          <w:kern w:val="0"/>
          <w:sz w:val="20"/>
          <w:szCs w:val="20"/>
          <w:lang/>
          <w14:ligatures w14:val="none"/>
        </w:rPr>
        <w:t xml:space="preserve">du </w:t>
      </w:r>
      <w:r w:rsidR="00C11905">
        <w:rPr>
          <w:rFonts w:ascii="Verdana" w:eastAsia="Times New Roman" w:hAnsi="Verdana" w:cs="Times New Roman"/>
          <w:kern w:val="0"/>
          <w:sz w:val="20"/>
          <w:szCs w:val="20"/>
          <w:lang/>
          <w14:ligatures w14:val="none"/>
        </w:rPr>
        <w:t>IP</w:t>
      </w:r>
      <w:r w:rsidR="00C11905" w:rsidRPr="004E11CE">
        <w:rPr>
          <w:rFonts w:ascii="Verdana" w:eastAsia="Times New Roman" w:hAnsi="Verdana" w:cs="Times New Roman"/>
          <w:kern w:val="0"/>
          <w:sz w:val="20"/>
          <w:szCs w:val="20"/>
          <w:lang/>
          <w14:ligatures w14:val="none"/>
        </w:rPr>
        <w:t xml:space="preserve"> </w:t>
      </w:r>
      <w:r w:rsidRPr="004E11CE">
        <w:rPr>
          <w:rFonts w:ascii="Verdana" w:eastAsia="Times New Roman" w:hAnsi="Verdana" w:cs="Times New Roman"/>
          <w:kern w:val="0"/>
          <w:sz w:val="20"/>
          <w:szCs w:val="20"/>
          <w:lang/>
          <w14:ligatures w14:val="none"/>
        </w:rPr>
        <w:t xml:space="preserve">BGI dans les régions du Pacifique, des Caraïbes et de l'océan Indien/atlantique. Les nœuds régionaux joueront un rôle de premier plan dans la gestion et le développement des connaissances dans l'ensemble du programme intégré, en fournissant un point d'ancrage pour les projets de chaque région dans tous les aspects du programme intégré BGI. Dans chaque région, les IA prendront l'initiative d'organiser des réunions régionales pour les équipes de projets ainsi que pour leurs homologues nationaux, qui serviront d'espaces de cocréation et d'échange entre les projets d'enfants du </w:t>
      </w:r>
      <w:r w:rsidR="00C11905">
        <w:rPr>
          <w:rFonts w:ascii="Verdana" w:eastAsia="Times New Roman" w:hAnsi="Verdana" w:cs="Times New Roman"/>
          <w:kern w:val="0"/>
          <w:sz w:val="20"/>
          <w:szCs w:val="20"/>
          <w:lang/>
          <w14:ligatures w14:val="none"/>
        </w:rPr>
        <w:t>IP</w:t>
      </w:r>
      <w:r w:rsidR="00C11905" w:rsidRPr="004E11CE">
        <w:rPr>
          <w:rFonts w:ascii="Verdana" w:eastAsia="Times New Roman" w:hAnsi="Verdana" w:cs="Times New Roman"/>
          <w:kern w:val="0"/>
          <w:sz w:val="20"/>
          <w:szCs w:val="20"/>
          <w:lang/>
          <w14:ligatures w14:val="none"/>
        </w:rPr>
        <w:t xml:space="preserve"> </w:t>
      </w:r>
      <w:r w:rsidRPr="004E11CE">
        <w:rPr>
          <w:rFonts w:ascii="Verdana" w:eastAsia="Times New Roman" w:hAnsi="Verdana" w:cs="Times New Roman"/>
          <w:kern w:val="0"/>
          <w:sz w:val="20"/>
          <w:szCs w:val="20"/>
          <w:lang/>
          <w14:ligatures w14:val="none"/>
        </w:rPr>
        <w:t>BGI dans chaque région, sur la base d'objectifs, de valeurs culturelles et de normes partagés.</w:t>
      </w:r>
    </w:p>
    <w:p w14:paraId="56652281"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Elle sera structurée de manière à inclure des données ventilées par sexe, des analyses de genre et des données sur les écarts existants entre les sexes afin d'intégrer les considérations de genre dans les stratégies, les plans et les solutions, de permettre l'autonomisation économique des femmes et de combler les écarts entre les sexes dans la gestion des ressources naturelles.</w:t>
      </w:r>
    </w:p>
    <w:p w14:paraId="00E98DCD"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b/>
          <w:bCs/>
          <w:kern w:val="0"/>
          <w:sz w:val="20"/>
          <w:szCs w:val="20"/>
          <w:u w:val="single"/>
          <w:lang/>
          <w14:ligatures w14:val="none"/>
        </w:rPr>
        <w:t>Rôle proposé pour les organisations régionales dans la gestion des nœuds régionaux de l'IP BGI</w:t>
      </w:r>
    </w:p>
    <w:p w14:paraId="3B5BE450" w14:textId="77777777" w:rsidR="00C11905" w:rsidRDefault="00630C1D" w:rsidP="004E11CE">
      <w:pPr>
        <w:spacing w:before="100" w:beforeAutospacing="1" w:after="100" w:afterAutospacing="1" w:line="240" w:lineRule="auto"/>
        <w:jc w:val="both"/>
        <w:rPr>
          <w:rFonts w:ascii="Verdana" w:eastAsia="Times New Roman" w:hAnsi="Verdana" w:cs="Times New Roman"/>
          <w:b/>
          <w:bCs/>
          <w:kern w:val="0"/>
          <w:sz w:val="20"/>
          <w:szCs w:val="20"/>
          <w:lang/>
          <w14:ligatures w14:val="none"/>
        </w:rPr>
      </w:pPr>
      <w:r w:rsidRPr="004E11CE">
        <w:rPr>
          <w:rFonts w:ascii="Verdana" w:eastAsia="Times New Roman" w:hAnsi="Verdana" w:cs="Times New Roman"/>
          <w:b/>
          <w:bCs/>
          <w:kern w:val="0"/>
          <w:sz w:val="20"/>
          <w:szCs w:val="20"/>
          <w:lang/>
          <w14:ligatures w14:val="none"/>
        </w:rPr>
        <w:t>1.</w:t>
      </w:r>
      <w:r w:rsidRPr="004E11CE">
        <w:rPr>
          <w:rFonts w:ascii="Verdana" w:eastAsia="Times New Roman" w:hAnsi="Verdana" w:cs="Times New Roman"/>
          <w:kern w:val="0"/>
          <w:sz w:val="20"/>
          <w:szCs w:val="20"/>
          <w:lang/>
          <w14:ligatures w14:val="none"/>
        </w:rPr>
        <w:t xml:space="preserve"> </w:t>
      </w:r>
      <w:r w:rsidRPr="004E11CE">
        <w:rPr>
          <w:rFonts w:ascii="Verdana" w:eastAsia="Times New Roman" w:hAnsi="Verdana" w:cs="Times New Roman"/>
          <w:b/>
          <w:bCs/>
          <w:kern w:val="0"/>
          <w:sz w:val="20"/>
          <w:szCs w:val="20"/>
          <w:lang/>
          <w14:ligatures w14:val="none"/>
        </w:rPr>
        <w:t>Gestion des connaissances et apprentissage :</w:t>
      </w:r>
    </w:p>
    <w:p w14:paraId="1AF1AA45" w14:textId="39BFB662"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xml:space="preserve">En collaboration avec le projet de coordination mondiale, les nœuds régionaux (RN) soutiendront les activités de gestion des connaissances et d'apprentissage parmi les projets </w:t>
      </w:r>
      <w:r w:rsidR="00C11905">
        <w:rPr>
          <w:rFonts w:ascii="Verdana" w:eastAsia="Times New Roman" w:hAnsi="Verdana" w:cs="Times New Roman"/>
          <w:kern w:val="0"/>
          <w:sz w:val="20"/>
          <w:szCs w:val="20"/>
          <w:lang/>
          <w14:ligatures w14:val="none"/>
        </w:rPr>
        <w:t>nationaux</w:t>
      </w:r>
      <w:r w:rsidR="00C11905" w:rsidRPr="004E11CE">
        <w:rPr>
          <w:rFonts w:ascii="Verdana" w:eastAsia="Times New Roman" w:hAnsi="Verdana" w:cs="Times New Roman"/>
          <w:kern w:val="0"/>
          <w:sz w:val="20"/>
          <w:szCs w:val="20"/>
          <w:lang/>
          <w14:ligatures w14:val="none"/>
        </w:rPr>
        <w:t xml:space="preserve"> </w:t>
      </w:r>
      <w:r w:rsidRPr="004E11CE">
        <w:rPr>
          <w:rFonts w:ascii="Verdana" w:eastAsia="Times New Roman" w:hAnsi="Verdana" w:cs="Times New Roman"/>
          <w:kern w:val="0"/>
          <w:sz w:val="20"/>
          <w:szCs w:val="20"/>
          <w:lang/>
          <w14:ligatures w14:val="none"/>
        </w:rPr>
        <w:t>de la BGI IP et avec le paysage régional et mondial plus large des parties prenantes, y compris les activités pour :</w:t>
      </w:r>
    </w:p>
    <w:p w14:paraId="441DE6C5" w14:textId="0AC4B1C9"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xml:space="preserve">- Organiser des réunions régionales pour les équipes des projets </w:t>
      </w:r>
      <w:r w:rsidR="00C11905">
        <w:rPr>
          <w:rFonts w:ascii="Verdana" w:eastAsia="Times New Roman" w:hAnsi="Verdana" w:cs="Times New Roman"/>
          <w:kern w:val="0"/>
          <w:sz w:val="20"/>
          <w:szCs w:val="20"/>
          <w:lang/>
          <w14:ligatures w14:val="none"/>
        </w:rPr>
        <w:t>nationaux</w:t>
      </w:r>
      <w:r w:rsidRPr="004E11CE">
        <w:rPr>
          <w:rFonts w:ascii="Verdana" w:eastAsia="Times New Roman" w:hAnsi="Verdana" w:cs="Times New Roman"/>
          <w:kern w:val="0"/>
          <w:sz w:val="20"/>
          <w:szCs w:val="20"/>
          <w:lang/>
          <w14:ligatures w14:val="none"/>
        </w:rPr>
        <w:t xml:space="preserve"> et leurs homologues nationaux. Par exemple, les ateliers annuels peuvent se concentrer sur les </w:t>
      </w:r>
      <w:r w:rsidRPr="004E11CE">
        <w:rPr>
          <w:rFonts w:ascii="Verdana" w:eastAsia="Times New Roman" w:hAnsi="Verdana" w:cs="Times New Roman"/>
          <w:kern w:val="0"/>
          <w:sz w:val="20"/>
          <w:szCs w:val="20"/>
          <w:lang/>
          <w14:ligatures w14:val="none"/>
        </w:rPr>
        <w:lastRenderedPageBreak/>
        <w:t>connaissances nationales et locales, y compris l'expertise des universités, du secteur privé et des institutions politiques.</w:t>
      </w:r>
    </w:p>
    <w:p w14:paraId="4A2AE068"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Offrir des services de partage des connaissances à leurs membres</w:t>
      </w:r>
    </w:p>
    <w:p w14:paraId="69EFC6DA"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Examiner et mettre à jour périodiquement les informations partagées et liées</w:t>
      </w:r>
    </w:p>
    <w:p w14:paraId="2EAC8791"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Fournir un soutien technique axé sur la demande pour permettre une interaction facile avec les mécanismes d'apprentissage basés sur l'internet établis par les Nations unies ou d'autres organisations.</w:t>
      </w:r>
    </w:p>
    <w:p w14:paraId="2BD98E82"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xml:space="preserve">- Faciliter la synthèse et le partage des enseignements tirés, des meilleures pratiques et des modèles. </w:t>
      </w:r>
    </w:p>
    <w:p w14:paraId="59D387E3"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Renforcer la reconnaissance des connaissances et des voix des communautés autochtones et locales historiquement marginalisées, des femmes et des jeunes dans les pays participants.</w:t>
      </w:r>
    </w:p>
    <w:p w14:paraId="2310EAA8" w14:textId="36E519E0"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b/>
          <w:bCs/>
          <w:kern w:val="0"/>
          <w:sz w:val="20"/>
          <w:szCs w:val="20"/>
          <w:lang/>
          <w14:ligatures w14:val="none"/>
        </w:rPr>
        <w:t>2.</w:t>
      </w:r>
      <w:r w:rsidRPr="004E11CE">
        <w:rPr>
          <w:rFonts w:ascii="Verdana" w:eastAsia="Times New Roman" w:hAnsi="Verdana" w:cs="Times New Roman"/>
          <w:kern w:val="0"/>
          <w:sz w:val="20"/>
          <w:szCs w:val="20"/>
          <w:lang/>
          <w14:ligatures w14:val="none"/>
        </w:rPr>
        <w:t xml:space="preserve"> </w:t>
      </w:r>
      <w:r w:rsidRPr="004E11CE">
        <w:rPr>
          <w:rFonts w:ascii="Verdana" w:eastAsia="Times New Roman" w:hAnsi="Verdana" w:cs="Times New Roman"/>
          <w:b/>
          <w:bCs/>
          <w:kern w:val="0"/>
          <w:sz w:val="20"/>
          <w:szCs w:val="20"/>
          <w:lang/>
          <w14:ligatures w14:val="none"/>
        </w:rPr>
        <w:t>Assistance technique et coordination :</w:t>
      </w:r>
      <w:r w:rsidRPr="004E11CE">
        <w:rPr>
          <w:rFonts w:ascii="Verdana" w:eastAsia="Times New Roman" w:hAnsi="Verdana" w:cs="Times New Roman"/>
          <w:kern w:val="0"/>
          <w:sz w:val="20"/>
          <w:szCs w:val="20"/>
          <w:lang/>
          <w14:ligatures w14:val="none"/>
        </w:rPr>
        <w:t xml:space="preserve"> En collaboration avec le projet de coordination mondiale, les nœuds régionaux faciliteront le flux d'assistance technique aux projets </w:t>
      </w:r>
      <w:r w:rsidR="001A249C">
        <w:rPr>
          <w:rFonts w:ascii="Verdana" w:eastAsia="Times New Roman" w:hAnsi="Verdana" w:cs="Times New Roman"/>
          <w:kern w:val="0"/>
          <w:sz w:val="20"/>
          <w:szCs w:val="20"/>
          <w:lang/>
          <w14:ligatures w14:val="none"/>
        </w:rPr>
        <w:t xml:space="preserve">nationaux </w:t>
      </w:r>
      <w:r w:rsidRPr="004E11CE">
        <w:rPr>
          <w:rFonts w:ascii="Verdana" w:eastAsia="Times New Roman" w:hAnsi="Verdana" w:cs="Times New Roman"/>
          <w:kern w:val="0"/>
          <w:sz w:val="20"/>
          <w:szCs w:val="20"/>
          <w:lang/>
          <w14:ligatures w14:val="none"/>
        </w:rPr>
        <w:t>de la BGI IP dans chaque région à partir du centre de politique et de pratique de la BGI IP, de l'accélérateur de solutions basées sur la nature de la BGI IP et des partenaires techniques qui soutiennent la BGI IP, y compris les activités pour :</w:t>
      </w:r>
    </w:p>
    <w:p w14:paraId="5B06E4AE" w14:textId="0E1E8683"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Faciliter l'assistance technique du BGI IP Policy and Practice Hub (géré par le PNUD, avec le soutien de divers partenaires techniques au niveau mondial) aux projets</w:t>
      </w:r>
      <w:r w:rsidR="001A249C">
        <w:rPr>
          <w:rFonts w:ascii="Verdana" w:eastAsia="Times New Roman" w:hAnsi="Verdana" w:cs="Times New Roman"/>
          <w:kern w:val="0"/>
          <w:sz w:val="20"/>
          <w:szCs w:val="20"/>
          <w:lang/>
          <w14:ligatures w14:val="none"/>
        </w:rPr>
        <w:t xml:space="preserve"> nationaux </w:t>
      </w:r>
      <w:r w:rsidRPr="004E11CE">
        <w:rPr>
          <w:rFonts w:ascii="Verdana" w:eastAsia="Times New Roman" w:hAnsi="Verdana" w:cs="Times New Roman"/>
          <w:kern w:val="0"/>
          <w:sz w:val="20"/>
          <w:szCs w:val="20"/>
          <w:lang/>
          <w14:ligatures w14:val="none"/>
        </w:rPr>
        <w:t>du BGI IP, en particulier l'assistance technique dans l'utilisation d'outils analytiques tels que la comptabilité du capital naturel et l'évaluation des services écosystémiques ; la planification intégrée des terres / paysages marins ; des approches / modèles efficaces pour les solutions basées sur la nature ; l'engagement et le financement des secteurs public et privé ; etc.</w:t>
      </w:r>
    </w:p>
    <w:p w14:paraId="327FC326"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Collaborer avec l'accélérateur de solutions basées sur la nature (NBSA) de BGI IP pour s'assurer que les leçons sur les solutions basées sur la nature reproductibles et évolutives, ainsi que les modèles de mobilisation des ressources, sont rapidement et efficacement partagées avec les projets de l'enfant dans chaque région.</w:t>
      </w:r>
    </w:p>
    <w:p w14:paraId="41DDEE4E" w14:textId="441B04CA" w:rsidR="00630C1D" w:rsidRPr="004E11CE" w:rsidRDefault="00630C1D" w:rsidP="004E11CE">
      <w:pPr>
        <w:pStyle w:val="NormalWeb"/>
        <w:jc w:val="both"/>
        <w:rPr>
          <w:rFonts w:ascii="Verdana" w:hAnsi="Verdana"/>
          <w:sz w:val="20"/>
          <w:szCs w:val="20"/>
        </w:rPr>
      </w:pPr>
      <w:r w:rsidRPr="004E11CE">
        <w:rPr>
          <w:rFonts w:ascii="Verdana" w:hAnsi="Verdana"/>
          <w:sz w:val="20"/>
          <w:szCs w:val="20"/>
        </w:rPr>
        <w:t>- Identifier des sous-communautés de praticiens dans chaque région pour participer aux groupes de travail thématiques (GTT) de BGI IP, qui fourniront des conseils techniques ainsi qu'un partage des connaissances aux projets dans les pays. Les groupes de travail thématiques se concentreront sur diverses questions techniques, dont les suivantes Comptabilité du capital naturel / évaluation des services écosystémiques ; réforme politique / cohérence ; solutions basées sur la nature (systèmes alimentaires, tourisme et secteurs urbains) ; planification spatiale intégrée ; échelle et impact mondiaux / régionaux ; négociation collective ; engagement et financement des secteurs public et privé ; et égalité des sexes. Les GTT auront une portée mondiale et permettront un échange interrégional de connaissances et d'apprentissage ; le rôle des nœuds régionaux sera de faciliter la participation et le leadership des régions et le développement des capacités techniques locales. En ancrant ce travail dans les nœuds régionaux, les buts et objectifs du PI BGI seront maintenus même après la fin du programme.</w:t>
      </w:r>
    </w:p>
    <w:p w14:paraId="629FEECA" w14:textId="77777777" w:rsidR="00630C1D" w:rsidRPr="004E11CE" w:rsidRDefault="00630C1D" w:rsidP="004E11CE">
      <w:pPr>
        <w:pStyle w:val="NormalWeb"/>
        <w:jc w:val="both"/>
        <w:rPr>
          <w:rFonts w:ascii="Verdana" w:hAnsi="Verdana"/>
          <w:sz w:val="20"/>
          <w:szCs w:val="20"/>
        </w:rPr>
      </w:pPr>
      <w:r w:rsidRPr="004E11CE">
        <w:rPr>
          <w:rFonts w:ascii="Verdana" w:hAnsi="Verdana"/>
          <w:b/>
          <w:bCs/>
          <w:sz w:val="20"/>
          <w:szCs w:val="20"/>
        </w:rPr>
        <w:t>3.</w:t>
      </w:r>
      <w:r w:rsidRPr="004E11CE">
        <w:rPr>
          <w:rFonts w:ascii="Verdana" w:hAnsi="Verdana"/>
          <w:sz w:val="20"/>
          <w:szCs w:val="20"/>
        </w:rPr>
        <w:t xml:space="preserve"> </w:t>
      </w:r>
      <w:r w:rsidRPr="004E11CE">
        <w:rPr>
          <w:rFonts w:ascii="Verdana" w:hAnsi="Verdana"/>
          <w:b/>
          <w:bCs/>
          <w:sz w:val="20"/>
          <w:szCs w:val="20"/>
        </w:rPr>
        <w:t>Façonner les agendas régionaux/mondiaux :</w:t>
      </w:r>
      <w:r w:rsidRPr="004E11CE">
        <w:rPr>
          <w:rFonts w:ascii="Verdana" w:hAnsi="Verdana"/>
          <w:sz w:val="20"/>
          <w:szCs w:val="20"/>
        </w:rPr>
        <w:t xml:space="preserve"> En collaboration avec le projet de coordination mondiale, les nœuds régionaux aideront les pays de BGI IP à participer et à exprimer leurs priorités lors de conférences publiques régionales et mondiales, d'ateliers et d'autres événements, afin de communiquer et de mettre en évidence les priorités, les opportunités et les solutions de BGI IP, de diffuser des produits analytiques innovants, de </w:t>
      </w:r>
      <w:r w:rsidRPr="004E11CE">
        <w:rPr>
          <w:rFonts w:ascii="Verdana" w:hAnsi="Verdana"/>
          <w:sz w:val="20"/>
          <w:szCs w:val="20"/>
        </w:rPr>
        <w:lastRenderedPageBreak/>
        <w:t>mobiliser des partenariats et des coalitions, d'œuvrer pour le changement des politiques et des programmes régionaux et mondiaux, et de faciliter la coordination entre les donateurs et les autres partenaires de la propriété intellectuelle afin de mobiliser des ressources et de soutenir les domaines prioritaires. Les activités comprendront</w:t>
      </w:r>
    </w:p>
    <w:p w14:paraId="2C98AB8D"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Renforcer le leadership des PEID et soutenir leur voix dans les forums et réseaux régionaux et mondiaux grâce au développement des capacités et aux communications stratégiques.</w:t>
      </w:r>
    </w:p>
    <w:p w14:paraId="77FA16D6" w14:textId="475005B5" w:rsidR="00630C1D" w:rsidRPr="004E11CE" w:rsidRDefault="00630C1D" w:rsidP="004E11CE">
      <w:pPr>
        <w:pStyle w:val="NormalWeb"/>
        <w:jc w:val="both"/>
        <w:rPr>
          <w:rFonts w:ascii="Verdana" w:hAnsi="Verdana"/>
          <w:sz w:val="20"/>
          <w:szCs w:val="20"/>
        </w:rPr>
      </w:pPr>
      <w:r w:rsidRPr="004E11CE">
        <w:rPr>
          <w:rFonts w:ascii="Verdana" w:hAnsi="Verdana"/>
          <w:sz w:val="20"/>
          <w:szCs w:val="20"/>
        </w:rPr>
        <w:t xml:space="preserve">- Partager les connaissances, les leçons et les expériences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 xml:space="preserve">BGI afin d'informer les initiatives et les processus mondiaux et régionaux existants relatifs aux PEID, ainsi que les PEID en dehors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BGI, des impacts positifs et du potentiel de reproductibilité et d'extension des activités du PI BGI.</w:t>
      </w:r>
    </w:p>
    <w:p w14:paraId="504B0F0B" w14:textId="33B10011" w:rsidR="00630C1D" w:rsidRPr="004E11CE" w:rsidRDefault="00630C1D" w:rsidP="004E11CE">
      <w:pPr>
        <w:pStyle w:val="NormalWeb"/>
        <w:jc w:val="both"/>
        <w:rPr>
          <w:rFonts w:ascii="Verdana" w:hAnsi="Verdana"/>
          <w:sz w:val="20"/>
          <w:szCs w:val="20"/>
        </w:rPr>
      </w:pPr>
      <w:r w:rsidRPr="004E11CE">
        <w:rPr>
          <w:rFonts w:ascii="Verdana" w:hAnsi="Verdana"/>
          <w:sz w:val="20"/>
          <w:szCs w:val="20"/>
        </w:rPr>
        <w:t xml:space="preserve">- Promouvoir et faciliter l'action collective sur les buts et objectifs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 xml:space="preserve">BGI dans chaque région, y compris l'utilisation des résultats des projets enfants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BGI pour faire avancer les efforts régionaux visant à promouvoir l'intégration intersectorielle au sein des PEID.</w:t>
      </w:r>
    </w:p>
    <w:p w14:paraId="1B182D1A" w14:textId="285C4A98" w:rsidR="00630C1D" w:rsidRDefault="00630C1D" w:rsidP="004E11CE">
      <w:pPr>
        <w:spacing w:after="0"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xml:space="preserve">- S'engager dans des efforts de plaidoyer pour promouvoir des politiques de soutien aux solutions basées sur la nature au niveau régional, en coordination avec les projets BGI IP </w:t>
      </w:r>
      <w:r w:rsidR="00C11905">
        <w:rPr>
          <w:rFonts w:ascii="Verdana" w:eastAsia="Times New Roman" w:hAnsi="Verdana" w:cs="Times New Roman"/>
          <w:kern w:val="0"/>
          <w:sz w:val="20"/>
          <w:szCs w:val="20"/>
          <w:lang/>
          <w14:ligatures w14:val="none"/>
        </w:rPr>
        <w:t>nationaux</w:t>
      </w:r>
    </w:p>
    <w:p w14:paraId="7390E95E" w14:textId="77777777" w:rsidR="00C11905" w:rsidRPr="004E11CE" w:rsidRDefault="00C11905" w:rsidP="004E11CE">
      <w:pPr>
        <w:spacing w:after="0" w:line="240" w:lineRule="auto"/>
        <w:jc w:val="both"/>
        <w:rPr>
          <w:rFonts w:ascii="Verdana" w:eastAsia="Times New Roman" w:hAnsi="Verdana" w:cs="Times New Roman"/>
          <w:kern w:val="0"/>
          <w:sz w:val="20"/>
          <w:szCs w:val="20"/>
          <w:lang/>
          <w14:ligatures w14:val="none"/>
        </w:rPr>
      </w:pPr>
    </w:p>
    <w:p w14:paraId="0986FCCA" w14:textId="77777777" w:rsidR="00630C1D" w:rsidRDefault="00630C1D" w:rsidP="004E11CE">
      <w:pPr>
        <w:spacing w:after="0"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Faciliter les liens et la coopération entre les différentes parties prenantes des PEID au sein d'une région, y compris les projets BGI IP pour les enfants, les initiatives régionales existantes, les agences gouvernementales, les organisations de la société civile, etc. afin d'assurer l'alignement des politiques et des actions vers des objectifs environnementaux communs.</w:t>
      </w:r>
    </w:p>
    <w:p w14:paraId="50121275" w14:textId="77777777" w:rsidR="00C11905" w:rsidRPr="004E11CE" w:rsidRDefault="00C11905" w:rsidP="004E11CE">
      <w:pPr>
        <w:spacing w:after="0" w:line="240" w:lineRule="auto"/>
        <w:jc w:val="both"/>
        <w:rPr>
          <w:rFonts w:ascii="Verdana" w:eastAsia="Times New Roman" w:hAnsi="Verdana" w:cs="Times New Roman"/>
          <w:kern w:val="0"/>
          <w:sz w:val="20"/>
          <w:szCs w:val="20"/>
          <w:lang/>
          <w14:ligatures w14:val="none"/>
        </w:rPr>
      </w:pPr>
    </w:p>
    <w:p w14:paraId="1A9C89A8" w14:textId="77777777" w:rsidR="00630C1D" w:rsidRDefault="00630C1D" w:rsidP="004E11CE">
      <w:pPr>
        <w:spacing w:after="0"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Favoriser, promouvoir et s'engager dans le partage interrégional de connaissances et d'informations avec d'autres nœuds régionaux de BGI IP pour un avantage mutuel et pour favoriser un sens global de la communauté au-delà des frontières géographiques.</w:t>
      </w:r>
    </w:p>
    <w:p w14:paraId="183F3876" w14:textId="77777777" w:rsidR="00C11905" w:rsidRPr="004E11CE" w:rsidRDefault="00C11905" w:rsidP="004E11CE">
      <w:pPr>
        <w:spacing w:after="0" w:line="240" w:lineRule="auto"/>
        <w:jc w:val="both"/>
        <w:rPr>
          <w:rFonts w:ascii="Verdana" w:eastAsia="Times New Roman" w:hAnsi="Verdana" w:cs="Times New Roman"/>
          <w:kern w:val="0"/>
          <w:sz w:val="20"/>
          <w:szCs w:val="20"/>
          <w:lang/>
          <w14:ligatures w14:val="none"/>
        </w:rPr>
      </w:pPr>
    </w:p>
    <w:p w14:paraId="0259B552" w14:textId="77777777" w:rsidR="00630C1D" w:rsidRDefault="00630C1D" w:rsidP="004E11CE">
      <w:pPr>
        <w:spacing w:after="0"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Soutenir les communications stratégiques et l'engagement des projets d'enfants de la BGI IP (étendus à tous les PEID) dans les processus mondiaux, et en intégrant les résultats de la BGI IP dans les politiques et initiatives mondiales.</w:t>
      </w:r>
    </w:p>
    <w:p w14:paraId="4E26BBCB" w14:textId="77777777" w:rsidR="00C11905" w:rsidRPr="004E11CE" w:rsidRDefault="00C11905" w:rsidP="004E11CE">
      <w:pPr>
        <w:spacing w:after="0" w:line="240" w:lineRule="auto"/>
        <w:jc w:val="both"/>
        <w:rPr>
          <w:rFonts w:ascii="Verdana" w:eastAsia="Times New Roman" w:hAnsi="Verdana" w:cs="Times New Roman"/>
          <w:kern w:val="0"/>
          <w:sz w:val="20"/>
          <w:szCs w:val="20"/>
          <w:lang/>
          <w14:ligatures w14:val="none"/>
        </w:rPr>
      </w:pPr>
    </w:p>
    <w:p w14:paraId="468DC29C" w14:textId="385FB6FD" w:rsidR="00630C1D" w:rsidRDefault="00630C1D" w:rsidP="004E11CE">
      <w:pPr>
        <w:spacing w:after="0"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Étendre la portée de l'IP BGI à tous les PEID de chaque région en analysant, synthétisant et diffusant les connaissances et les enseignements tirés à d'autres PEID non-membres de l'IP BGI et en facilitant leur participation à la collaboration régionale.</w:t>
      </w:r>
    </w:p>
    <w:p w14:paraId="43132123" w14:textId="77777777" w:rsidR="00C11905" w:rsidRPr="004E11CE" w:rsidRDefault="00C11905" w:rsidP="004E11CE">
      <w:pPr>
        <w:spacing w:after="0" w:line="240" w:lineRule="auto"/>
        <w:jc w:val="both"/>
        <w:rPr>
          <w:rFonts w:ascii="Verdana" w:eastAsia="Times New Roman" w:hAnsi="Verdana" w:cs="Times New Roman"/>
          <w:kern w:val="0"/>
          <w:sz w:val="20"/>
          <w:szCs w:val="20"/>
          <w:lang/>
          <w14:ligatures w14:val="none"/>
        </w:rPr>
      </w:pPr>
    </w:p>
    <w:p w14:paraId="543CD9FB" w14:textId="476FC0E0" w:rsidR="00630C1D" w:rsidRDefault="00630C1D" w:rsidP="004E11CE">
      <w:pPr>
        <w:spacing w:after="0" w:line="240" w:lineRule="auto"/>
        <w:jc w:val="both"/>
        <w:rPr>
          <w:rFonts w:ascii="Verdana" w:eastAsia="Times New Roman" w:hAnsi="Verdana" w:cs="Times New Roman"/>
          <w:kern w:val="0"/>
          <w:sz w:val="20"/>
          <w:szCs w:val="20"/>
          <w:lang/>
          <w14:ligatures w14:val="none"/>
        </w:rPr>
      </w:pPr>
      <w:r w:rsidRPr="004E11CE">
        <w:rPr>
          <w:rFonts w:ascii="Verdana" w:eastAsia="Times New Roman" w:hAnsi="Verdana" w:cs="Times New Roman"/>
          <w:kern w:val="0"/>
          <w:sz w:val="20"/>
          <w:szCs w:val="20"/>
          <w:lang/>
          <w14:ligatures w14:val="none"/>
        </w:rPr>
        <w:t>- Travailler avec des plateformes régionales/mondiales pour adopter des résolutions liées aux objectifs du PI BGI (en travaillant avec des pays "champions" parmi les 15 PEID).</w:t>
      </w:r>
    </w:p>
    <w:p w14:paraId="1F6C30BC" w14:textId="77777777" w:rsidR="00C11905" w:rsidRPr="004E11CE" w:rsidRDefault="00C11905" w:rsidP="004E11CE">
      <w:pPr>
        <w:spacing w:after="0" w:line="240" w:lineRule="auto"/>
        <w:jc w:val="both"/>
        <w:rPr>
          <w:rFonts w:ascii="Verdana" w:eastAsia="Times New Roman" w:hAnsi="Verdana" w:cs="Times New Roman"/>
          <w:kern w:val="0"/>
          <w:sz w:val="20"/>
          <w:szCs w:val="20"/>
          <w:lang/>
          <w14:ligatures w14:val="none"/>
        </w:rPr>
      </w:pPr>
    </w:p>
    <w:p w14:paraId="3162A6DD" w14:textId="77A66875" w:rsidR="005516B7" w:rsidRPr="004E11CE" w:rsidRDefault="00630C1D" w:rsidP="004E11CE">
      <w:pPr>
        <w:jc w:val="both"/>
        <w:rPr>
          <w:rFonts w:ascii="Verdana" w:hAnsi="Verdana"/>
          <w:sz w:val="20"/>
          <w:szCs w:val="20"/>
        </w:rPr>
      </w:pPr>
      <w:r w:rsidRPr="004E11CE">
        <w:rPr>
          <w:rFonts w:ascii="Verdana" w:hAnsi="Verdana"/>
          <w:sz w:val="20"/>
          <w:szCs w:val="20"/>
        </w:rPr>
        <w:t>- Faciliter les efforts des projets de pays intéressés pour engager des négociations collectives entre les gouvernements des PEID et les entreprises régionales et mondiales, les associations industrielles et les groupes commerciaux dans les trois secteurs cibles de l'IP BGI, à savoir les systèmes alimentaires, le tourisme et les zones urbaines, ainsi que les institutions internationales dont les décisions peuvent avoir un impact considérable sur les conditions environnementales et socio-économiques dans les PEID.</w:t>
      </w:r>
    </w:p>
    <w:p w14:paraId="581A9B02" w14:textId="77777777" w:rsidR="00630C1D" w:rsidRPr="004E11CE" w:rsidRDefault="00630C1D" w:rsidP="004E11CE">
      <w:pPr>
        <w:pStyle w:val="NormalWeb"/>
        <w:jc w:val="both"/>
        <w:rPr>
          <w:rFonts w:ascii="Verdana" w:hAnsi="Verdana"/>
          <w:sz w:val="20"/>
          <w:szCs w:val="20"/>
        </w:rPr>
      </w:pPr>
      <w:r w:rsidRPr="004E11CE">
        <w:rPr>
          <w:rFonts w:ascii="Verdana" w:hAnsi="Verdana"/>
          <w:b/>
          <w:bCs/>
          <w:sz w:val="20"/>
          <w:szCs w:val="20"/>
          <w:u w:val="single"/>
        </w:rPr>
        <w:t>Organisations régionales contractantes pour gérer les nœuds régionaux BGI IP</w:t>
      </w:r>
    </w:p>
    <w:p w14:paraId="0FB98E4C"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Les nœuds régionaux seront gérés par des organisations régionales existantes par le biais d'une lettre d'accord</w:t>
      </w:r>
      <w:hyperlink w:anchor="_ftn1" w:history="1">
        <w:r w:rsidRPr="004E11CE">
          <w:rPr>
            <w:rStyle w:val="Lienhypertexte"/>
            <w:rFonts w:ascii="Verdana" w:eastAsiaTheme="majorEastAsia" w:hAnsi="Verdana"/>
            <w:sz w:val="20"/>
            <w:szCs w:val="20"/>
          </w:rPr>
          <w:t>[1]</w:t>
        </w:r>
      </w:hyperlink>
      <w:r w:rsidRPr="004E11CE">
        <w:rPr>
          <w:rFonts w:ascii="Verdana" w:hAnsi="Verdana"/>
          <w:sz w:val="20"/>
          <w:szCs w:val="20"/>
        </w:rPr>
        <w:t xml:space="preserve"> entre le PNUD et chacune des organisations régionales (par exemple, SPREP ou SPC dans le Pacifique, CARICOM / OECS dans les Caraïbes, et WIOMSA / COI dans les océans Atlantique et Indien).</w:t>
      </w:r>
    </w:p>
    <w:p w14:paraId="5C94A2AB" w14:textId="46023608" w:rsidR="00630C1D" w:rsidRPr="004E11CE" w:rsidRDefault="00630C1D" w:rsidP="004E11CE">
      <w:pPr>
        <w:pStyle w:val="NormalWeb"/>
        <w:jc w:val="both"/>
        <w:rPr>
          <w:rFonts w:ascii="Verdana" w:hAnsi="Verdana"/>
          <w:sz w:val="20"/>
          <w:szCs w:val="20"/>
        </w:rPr>
      </w:pPr>
      <w:r w:rsidRPr="004E11CE">
        <w:rPr>
          <w:rFonts w:ascii="Verdana" w:hAnsi="Verdana"/>
          <w:sz w:val="20"/>
          <w:szCs w:val="20"/>
        </w:rPr>
        <w:lastRenderedPageBreak/>
        <w:t xml:space="preserve">- Sur la base des capacités existantes du nœud régional, le </w:t>
      </w:r>
      <w:r w:rsidR="001A249C">
        <w:rPr>
          <w:rFonts w:ascii="Verdana" w:hAnsi="Verdana"/>
          <w:sz w:val="20"/>
          <w:szCs w:val="20"/>
        </w:rPr>
        <w:t>IP</w:t>
      </w:r>
      <w:r w:rsidR="001A249C" w:rsidRPr="004E11CE">
        <w:rPr>
          <w:rFonts w:ascii="Verdana" w:hAnsi="Verdana"/>
          <w:sz w:val="20"/>
          <w:szCs w:val="20"/>
        </w:rPr>
        <w:t xml:space="preserve"> </w:t>
      </w:r>
      <w:r w:rsidRPr="004E11CE">
        <w:rPr>
          <w:rFonts w:ascii="Verdana" w:hAnsi="Verdana"/>
          <w:sz w:val="20"/>
          <w:szCs w:val="20"/>
        </w:rPr>
        <w:t>BGI pourrait explorer la possibilité de fournir un soutien en personnel, y compris le recrutement de personnel local, afin de renforcer leurs capacités de gestion du nœud régional du PI BGI.</w:t>
      </w:r>
    </w:p>
    <w:p w14:paraId="4D3168A4"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L'Unité de coordination du programme mondial (GPCU) et le Centre pour la croissance inclusive du PNUD superviseront et soutiendront le travail de ces personnes.</w:t>
      </w:r>
    </w:p>
    <w:p w14:paraId="7B883257" w14:textId="77777777" w:rsidR="00630C1D" w:rsidRPr="004E11CE" w:rsidRDefault="00630C1D" w:rsidP="004E11CE">
      <w:pPr>
        <w:pStyle w:val="NormalWeb"/>
        <w:jc w:val="both"/>
        <w:rPr>
          <w:rFonts w:ascii="Verdana" w:hAnsi="Verdana"/>
          <w:sz w:val="20"/>
          <w:szCs w:val="20"/>
        </w:rPr>
      </w:pPr>
      <w:r w:rsidRPr="004E11CE">
        <w:rPr>
          <w:rFonts w:ascii="Verdana" w:hAnsi="Verdana"/>
          <w:b/>
          <w:bCs/>
          <w:sz w:val="20"/>
          <w:szCs w:val="20"/>
          <w:u w:val="single"/>
        </w:rPr>
        <w:t>Questions à discuter avec les organisations régionales</w:t>
      </w:r>
    </w:p>
    <w:p w14:paraId="330040D9"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Quels sont les structures / programmes existants sur lesquels le BGI IP peut s'appuyer (plutôt que de créer de nouvelles structures) ?</w:t>
      </w:r>
    </w:p>
    <w:p w14:paraId="2BC48772"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Quelles sont les capacités techniques / en ressources humaines dont elles disposent pour mener à bien le travail décrit ci-dessus ?</w:t>
      </w:r>
    </w:p>
    <w:p w14:paraId="2D8CE640"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Comment pouvons-nous assurer la durabilité après la fin de la PI BGI (vers 2031) ?</w:t>
      </w:r>
    </w:p>
    <w:p w14:paraId="1169E3D1"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Peuvent-ils fournir des documents institutionnels, des rapports ou d'autres détails sur leurs programmes et capacités existants, en particulier en ce qui concerne la gestion des connaissances et du savoir, la fourniture d'une assistance technique et la promotion des politiques et de l'impact régionaux ?</w:t>
      </w:r>
    </w:p>
    <w:p w14:paraId="24D7DB7B" w14:textId="04130744" w:rsidR="00630C1D" w:rsidRPr="004E11CE" w:rsidRDefault="00630C1D" w:rsidP="004E11CE">
      <w:pPr>
        <w:pStyle w:val="NormalWeb"/>
        <w:jc w:val="both"/>
        <w:rPr>
          <w:rFonts w:ascii="Verdana" w:hAnsi="Verdana"/>
          <w:sz w:val="20"/>
          <w:szCs w:val="20"/>
        </w:rPr>
      </w:pPr>
      <w:r w:rsidRPr="004E11CE">
        <w:rPr>
          <w:rFonts w:ascii="Verdana" w:hAnsi="Verdana"/>
          <w:sz w:val="20"/>
          <w:szCs w:val="20"/>
        </w:rPr>
        <w:t>- Ont-ils de l'expérience dans des domaines techniques tels que les solutions basées sur la nature, la planification intégrée des paysages terrestres et marins, le financement des secteurs public et privé, le travail avec des associations industrielles sur les chaînes de valeur ou la négociation collective, etc.</w:t>
      </w:r>
    </w:p>
    <w:p w14:paraId="0B030BA4" w14:textId="77777777" w:rsidR="00630C1D" w:rsidRPr="004E11CE" w:rsidRDefault="00630C1D" w:rsidP="004E11CE">
      <w:pPr>
        <w:jc w:val="both"/>
        <w:rPr>
          <w:rFonts w:ascii="Verdana" w:hAnsi="Verdana"/>
          <w:sz w:val="20"/>
          <w:szCs w:val="20"/>
        </w:rPr>
      </w:pPr>
    </w:p>
    <w:p w14:paraId="7339E440"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w:t>
      </w:r>
      <w:hyperlink w:anchor="_ftnref1" w:history="1">
        <w:r w:rsidRPr="004E11CE">
          <w:rPr>
            <w:rStyle w:val="Lienhypertexte"/>
            <w:rFonts w:ascii="Verdana" w:eastAsiaTheme="majorEastAsia" w:hAnsi="Verdana"/>
            <w:sz w:val="20"/>
            <w:szCs w:val="20"/>
          </w:rPr>
          <w:t>1]</w:t>
        </w:r>
      </w:hyperlink>
      <w:r w:rsidRPr="004E11CE">
        <w:rPr>
          <w:rFonts w:ascii="Verdana" w:hAnsi="Verdana"/>
          <w:sz w:val="20"/>
          <w:szCs w:val="20"/>
        </w:rPr>
        <w:t xml:space="preserve"> Cette lettre est utilisée lorsqu'un ministère/institution gouvernemental ou une organisation internationale gouvernementale (OIG) coopère avec le PNUD pour mener des activités en tant que partie responsable lorsque le PNUD agit en tant que partenaire de mise en œuvre. </w:t>
      </w:r>
      <w:hyperlink r:id="rId6" w:history="1">
        <w:r w:rsidRPr="004E11CE">
          <w:rPr>
            <w:rStyle w:val="Lienhypertexte"/>
            <w:rFonts w:ascii="Verdana" w:eastAsiaTheme="majorEastAsia" w:hAnsi="Verdana"/>
            <w:sz w:val="20"/>
            <w:szCs w:val="20"/>
          </w:rPr>
          <w:t>https://popp.undp.org/document/standard-loa-between-undp-and-government-ministryinstitutionigo-implementation-project</w:t>
        </w:r>
      </w:hyperlink>
    </w:p>
    <w:p w14:paraId="1C9D369E" w14:textId="77777777" w:rsidR="00630C1D" w:rsidRPr="004E11CE" w:rsidRDefault="00630C1D" w:rsidP="004E11CE">
      <w:pPr>
        <w:jc w:val="both"/>
        <w:rPr>
          <w:rFonts w:ascii="Verdana" w:hAnsi="Verdana"/>
          <w:sz w:val="20"/>
          <w:szCs w:val="20"/>
        </w:rPr>
      </w:pPr>
    </w:p>
    <w:p w14:paraId="33903F68" w14:textId="77777777" w:rsidR="00630C1D" w:rsidRPr="004E11CE" w:rsidRDefault="00630C1D" w:rsidP="004E11CE">
      <w:pPr>
        <w:jc w:val="both"/>
        <w:rPr>
          <w:rFonts w:ascii="Verdana" w:hAnsi="Verdana"/>
          <w:sz w:val="20"/>
          <w:szCs w:val="20"/>
        </w:rPr>
      </w:pPr>
    </w:p>
    <w:sectPr w:rsidR="00630C1D" w:rsidRPr="004E11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2C7F" w14:textId="77777777" w:rsidR="00EF67ED" w:rsidRDefault="00EF67ED" w:rsidP="004E11CE">
      <w:pPr>
        <w:spacing w:after="0" w:line="240" w:lineRule="auto"/>
      </w:pPr>
      <w:r>
        <w:separator/>
      </w:r>
    </w:p>
  </w:endnote>
  <w:endnote w:type="continuationSeparator" w:id="0">
    <w:p w14:paraId="33E2A833" w14:textId="77777777" w:rsidR="00EF67ED" w:rsidRDefault="00EF67ED" w:rsidP="004E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3952" w14:textId="77777777" w:rsidR="001A249C" w:rsidRDefault="001A24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28ED" w14:textId="77777777" w:rsidR="001A249C" w:rsidRDefault="001A24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E902" w14:textId="77777777" w:rsidR="001A249C" w:rsidRDefault="001A24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754E" w14:textId="77777777" w:rsidR="00EF67ED" w:rsidRDefault="00EF67ED" w:rsidP="004E11CE">
      <w:pPr>
        <w:spacing w:after="0" w:line="240" w:lineRule="auto"/>
      </w:pPr>
      <w:r>
        <w:separator/>
      </w:r>
    </w:p>
  </w:footnote>
  <w:footnote w:type="continuationSeparator" w:id="0">
    <w:p w14:paraId="0ED9EE60" w14:textId="77777777" w:rsidR="00EF67ED" w:rsidRDefault="00EF67ED" w:rsidP="004E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533B" w14:textId="77777777" w:rsidR="001A249C" w:rsidRDefault="001A24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7C56" w14:textId="695E2AC8" w:rsidR="004E11CE" w:rsidRPr="004E11CE" w:rsidRDefault="004E11CE">
    <w:pPr>
      <w:pStyle w:val="En-tte"/>
      <w:rPr>
        <w:b/>
        <w:bCs/>
      </w:rPr>
    </w:pPr>
    <w:r w:rsidRPr="004E11CE">
      <w:rPr>
        <w:b/>
        <w:bCs/>
      </w:rPr>
      <w:t>COPL1/24-22-23avril2024</w:t>
    </w:r>
    <w:r w:rsidRPr="004E11CE">
      <w:rPr>
        <w:b/>
        <w:bCs/>
      </w:rPr>
      <w:tab/>
    </w:r>
    <w:r w:rsidRPr="004E11CE">
      <w:rPr>
        <w:b/>
        <w:bCs/>
      </w:rPr>
      <w:tab/>
    </w:r>
    <w:r w:rsidR="001A249C" w:rsidRPr="004E11CE">
      <w:rPr>
        <w:b/>
        <w:bCs/>
      </w:rPr>
      <w:t>Fiche 2.11</w:t>
    </w:r>
    <w:r w:rsidR="001A249C">
      <w:rPr>
        <w:b/>
        <w:bCs/>
      </w:rPr>
      <w:t xml:space="preserve"> :</w:t>
    </w:r>
    <w:r w:rsidR="001A249C" w:rsidRPr="004E11CE">
      <w:rPr>
        <w:b/>
        <w:bCs/>
      </w:rPr>
      <w:t xml:space="preserve"> Annexe</w:t>
    </w:r>
    <w:r w:rsidRPr="004E11CE">
      <w:rPr>
        <w:b/>
        <w:bC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C2DA" w14:textId="77777777" w:rsidR="001A249C" w:rsidRDefault="001A24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1D"/>
    <w:rsid w:val="001A249C"/>
    <w:rsid w:val="004E11CE"/>
    <w:rsid w:val="005516B7"/>
    <w:rsid w:val="005646CE"/>
    <w:rsid w:val="00630C1D"/>
    <w:rsid w:val="006F380F"/>
    <w:rsid w:val="008839CD"/>
    <w:rsid w:val="00C11905"/>
    <w:rsid w:val="00EF67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8591B"/>
  <w15:chartTrackingRefBased/>
  <w15:docId w15:val="{1F0A97F2-6834-4637-9A29-6D6A175B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0C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0C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0C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0C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0C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0C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0C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C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0C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0C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0C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0C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0C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0C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0C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0C1D"/>
    <w:rPr>
      <w:rFonts w:eastAsiaTheme="majorEastAsia" w:cstheme="majorBidi"/>
      <w:color w:val="272727" w:themeColor="text1" w:themeTint="D8"/>
    </w:rPr>
  </w:style>
  <w:style w:type="paragraph" w:styleId="Titre">
    <w:name w:val="Title"/>
    <w:basedOn w:val="Normal"/>
    <w:next w:val="Normal"/>
    <w:link w:val="TitreCar"/>
    <w:uiPriority w:val="10"/>
    <w:qFormat/>
    <w:rsid w:val="006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0C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0C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0C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0C1D"/>
    <w:pPr>
      <w:spacing w:before="160"/>
      <w:jc w:val="center"/>
    </w:pPr>
    <w:rPr>
      <w:i/>
      <w:iCs/>
      <w:color w:val="404040" w:themeColor="text1" w:themeTint="BF"/>
    </w:rPr>
  </w:style>
  <w:style w:type="character" w:customStyle="1" w:styleId="CitationCar">
    <w:name w:val="Citation Car"/>
    <w:basedOn w:val="Policepardfaut"/>
    <w:link w:val="Citation"/>
    <w:uiPriority w:val="29"/>
    <w:rsid w:val="00630C1D"/>
    <w:rPr>
      <w:i/>
      <w:iCs/>
      <w:color w:val="404040" w:themeColor="text1" w:themeTint="BF"/>
    </w:rPr>
  </w:style>
  <w:style w:type="paragraph" w:styleId="Paragraphedeliste">
    <w:name w:val="List Paragraph"/>
    <w:basedOn w:val="Normal"/>
    <w:uiPriority w:val="34"/>
    <w:qFormat/>
    <w:rsid w:val="00630C1D"/>
    <w:pPr>
      <w:ind w:left="720"/>
      <w:contextualSpacing/>
    </w:pPr>
  </w:style>
  <w:style w:type="character" w:styleId="Accentuationintense">
    <w:name w:val="Intense Emphasis"/>
    <w:basedOn w:val="Policepardfaut"/>
    <w:uiPriority w:val="21"/>
    <w:qFormat/>
    <w:rsid w:val="00630C1D"/>
    <w:rPr>
      <w:i/>
      <w:iCs/>
      <w:color w:val="0F4761" w:themeColor="accent1" w:themeShade="BF"/>
    </w:rPr>
  </w:style>
  <w:style w:type="paragraph" w:styleId="Citationintense">
    <w:name w:val="Intense Quote"/>
    <w:basedOn w:val="Normal"/>
    <w:next w:val="Normal"/>
    <w:link w:val="CitationintenseCar"/>
    <w:uiPriority w:val="30"/>
    <w:qFormat/>
    <w:rsid w:val="0063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0C1D"/>
    <w:rPr>
      <w:i/>
      <w:iCs/>
      <w:color w:val="0F4761" w:themeColor="accent1" w:themeShade="BF"/>
    </w:rPr>
  </w:style>
  <w:style w:type="character" w:styleId="Rfrenceintense">
    <w:name w:val="Intense Reference"/>
    <w:basedOn w:val="Policepardfaut"/>
    <w:uiPriority w:val="32"/>
    <w:qFormat/>
    <w:rsid w:val="00630C1D"/>
    <w:rPr>
      <w:b/>
      <w:bCs/>
      <w:smallCaps/>
      <w:color w:val="0F4761" w:themeColor="accent1" w:themeShade="BF"/>
      <w:spacing w:val="5"/>
    </w:rPr>
  </w:style>
  <w:style w:type="paragraph" w:styleId="NormalWeb">
    <w:name w:val="Normal (Web)"/>
    <w:basedOn w:val="Normal"/>
    <w:uiPriority w:val="99"/>
    <w:semiHidden/>
    <w:unhideWhenUsed/>
    <w:rsid w:val="00630C1D"/>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styleId="Lienhypertexte">
    <w:name w:val="Hyperlink"/>
    <w:basedOn w:val="Policepardfaut"/>
    <w:uiPriority w:val="99"/>
    <w:semiHidden/>
    <w:unhideWhenUsed/>
    <w:rsid w:val="00630C1D"/>
    <w:rPr>
      <w:color w:val="0000FF"/>
      <w:u w:val="single"/>
    </w:rPr>
  </w:style>
  <w:style w:type="paragraph" w:styleId="En-tte">
    <w:name w:val="header"/>
    <w:basedOn w:val="Normal"/>
    <w:link w:val="En-tteCar"/>
    <w:uiPriority w:val="99"/>
    <w:unhideWhenUsed/>
    <w:rsid w:val="004E11CE"/>
    <w:pPr>
      <w:tabs>
        <w:tab w:val="center" w:pos="4536"/>
        <w:tab w:val="right" w:pos="9072"/>
      </w:tabs>
      <w:spacing w:after="0" w:line="240" w:lineRule="auto"/>
    </w:pPr>
  </w:style>
  <w:style w:type="character" w:customStyle="1" w:styleId="En-tteCar">
    <w:name w:val="En-tête Car"/>
    <w:basedOn w:val="Policepardfaut"/>
    <w:link w:val="En-tte"/>
    <w:uiPriority w:val="99"/>
    <w:rsid w:val="004E11CE"/>
  </w:style>
  <w:style w:type="paragraph" w:styleId="Pieddepage">
    <w:name w:val="footer"/>
    <w:basedOn w:val="Normal"/>
    <w:link w:val="PieddepageCar"/>
    <w:uiPriority w:val="99"/>
    <w:unhideWhenUsed/>
    <w:rsid w:val="004E11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1CE"/>
  </w:style>
  <w:style w:type="paragraph" w:styleId="Rvision">
    <w:name w:val="Revision"/>
    <w:hidden/>
    <w:uiPriority w:val="99"/>
    <w:semiHidden/>
    <w:rsid w:val="00C11905"/>
    <w:pPr>
      <w:spacing w:after="0" w:line="240" w:lineRule="auto"/>
    </w:pPr>
  </w:style>
  <w:style w:type="character" w:styleId="Lienhypertextesuivivisit">
    <w:name w:val="FollowedHyperlink"/>
    <w:basedOn w:val="Policepardfaut"/>
    <w:uiPriority w:val="99"/>
    <w:semiHidden/>
    <w:unhideWhenUsed/>
    <w:rsid w:val="001A24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3761">
      <w:bodyDiv w:val="1"/>
      <w:marLeft w:val="0"/>
      <w:marRight w:val="0"/>
      <w:marTop w:val="0"/>
      <w:marBottom w:val="0"/>
      <w:divBdr>
        <w:top w:val="none" w:sz="0" w:space="0" w:color="auto"/>
        <w:left w:val="none" w:sz="0" w:space="0" w:color="auto"/>
        <w:bottom w:val="none" w:sz="0" w:space="0" w:color="auto"/>
        <w:right w:val="none" w:sz="0" w:space="0" w:color="auto"/>
      </w:divBdr>
    </w:div>
    <w:div w:id="1047072977">
      <w:bodyDiv w:val="1"/>
      <w:marLeft w:val="0"/>
      <w:marRight w:val="0"/>
      <w:marTop w:val="0"/>
      <w:marBottom w:val="0"/>
      <w:divBdr>
        <w:top w:val="none" w:sz="0" w:space="0" w:color="auto"/>
        <w:left w:val="none" w:sz="0" w:space="0" w:color="auto"/>
        <w:bottom w:val="none" w:sz="0" w:space="0" w:color="auto"/>
        <w:right w:val="none" w:sz="0" w:space="0" w:color="auto"/>
      </w:divBdr>
    </w:div>
    <w:div w:id="1247107989">
      <w:bodyDiv w:val="1"/>
      <w:marLeft w:val="0"/>
      <w:marRight w:val="0"/>
      <w:marTop w:val="0"/>
      <w:marBottom w:val="0"/>
      <w:divBdr>
        <w:top w:val="none" w:sz="0" w:space="0" w:color="auto"/>
        <w:left w:val="none" w:sz="0" w:space="0" w:color="auto"/>
        <w:bottom w:val="none" w:sz="0" w:space="0" w:color="auto"/>
        <w:right w:val="none" w:sz="0" w:space="0" w:color="auto"/>
      </w:divBdr>
    </w:div>
    <w:div w:id="1573353036">
      <w:bodyDiv w:val="1"/>
      <w:marLeft w:val="0"/>
      <w:marRight w:val="0"/>
      <w:marTop w:val="0"/>
      <w:marBottom w:val="0"/>
      <w:divBdr>
        <w:top w:val="none" w:sz="0" w:space="0" w:color="auto"/>
        <w:left w:val="none" w:sz="0" w:space="0" w:color="auto"/>
        <w:bottom w:val="none" w:sz="0" w:space="0" w:color="auto"/>
        <w:right w:val="none" w:sz="0" w:space="0" w:color="auto"/>
      </w:divBdr>
    </w:div>
    <w:div w:id="1577205843">
      <w:bodyDiv w:val="1"/>
      <w:marLeft w:val="0"/>
      <w:marRight w:val="0"/>
      <w:marTop w:val="0"/>
      <w:marBottom w:val="0"/>
      <w:divBdr>
        <w:top w:val="none" w:sz="0" w:space="0" w:color="auto"/>
        <w:left w:val="none" w:sz="0" w:space="0" w:color="auto"/>
        <w:bottom w:val="none" w:sz="0" w:space="0" w:color="auto"/>
        <w:right w:val="none" w:sz="0" w:space="0" w:color="auto"/>
      </w:divBdr>
    </w:div>
    <w:div w:id="1684820887">
      <w:bodyDiv w:val="1"/>
      <w:marLeft w:val="0"/>
      <w:marRight w:val="0"/>
      <w:marTop w:val="0"/>
      <w:marBottom w:val="0"/>
      <w:divBdr>
        <w:top w:val="none" w:sz="0" w:space="0" w:color="auto"/>
        <w:left w:val="none" w:sz="0" w:space="0" w:color="auto"/>
        <w:bottom w:val="none" w:sz="0" w:space="0" w:color="auto"/>
        <w:right w:val="none" w:sz="0" w:space="0" w:color="auto"/>
      </w:divBdr>
    </w:div>
    <w:div w:id="1714383287">
      <w:bodyDiv w:val="1"/>
      <w:marLeft w:val="0"/>
      <w:marRight w:val="0"/>
      <w:marTop w:val="0"/>
      <w:marBottom w:val="0"/>
      <w:divBdr>
        <w:top w:val="none" w:sz="0" w:space="0" w:color="auto"/>
        <w:left w:val="none" w:sz="0" w:space="0" w:color="auto"/>
        <w:bottom w:val="none" w:sz="0" w:space="0" w:color="auto"/>
        <w:right w:val="none" w:sz="0" w:space="0" w:color="auto"/>
      </w:divBdr>
    </w:div>
    <w:div w:id="1859274363">
      <w:bodyDiv w:val="1"/>
      <w:marLeft w:val="0"/>
      <w:marRight w:val="0"/>
      <w:marTop w:val="0"/>
      <w:marBottom w:val="0"/>
      <w:divBdr>
        <w:top w:val="none" w:sz="0" w:space="0" w:color="auto"/>
        <w:left w:val="none" w:sz="0" w:space="0" w:color="auto"/>
        <w:bottom w:val="none" w:sz="0" w:space="0" w:color="auto"/>
        <w:right w:val="none" w:sz="0" w:space="0" w:color="auto"/>
      </w:divBdr>
    </w:div>
    <w:div w:id="19379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pp.undp.org/document/standard-loa-between-undp-and-government-ministryinstitutionigo-implementation-projec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10424</Characters>
  <Application>Microsoft Office Word</Application>
  <DocSecurity>4</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BONNE</dc:creator>
  <cp:keywords/>
  <dc:description/>
  <cp:lastModifiedBy>Gilles RIBOUET</cp:lastModifiedBy>
  <cp:revision>2</cp:revision>
  <dcterms:created xsi:type="dcterms:W3CDTF">2024-04-11T08:15:00Z</dcterms:created>
  <dcterms:modified xsi:type="dcterms:W3CDTF">2024-04-11T08:15:00Z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2d64301d-45da-4e70-bf10-d78ef5266448</vt:lpwstr>
  </property>
</Properties>
</file>