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89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6"/>
        <w:gridCol w:w="1829"/>
      </w:tblGrid>
      <w:tr w:rsidR="00FB0ED7" w14:paraId="7DBB7024" w14:textId="77777777">
        <w:tc>
          <w:tcPr>
            <w:tcW w:w="8925" w:type="dxa"/>
            <w:gridSpan w:val="2"/>
            <w:vAlign w:val="center"/>
          </w:tcPr>
          <w:p w14:paraId="00000002" w14:textId="72FD0CC3" w:rsidR="00FB0ED7" w:rsidRDefault="004877C0">
            <w:pPr>
              <w:pStyle w:val="Titre"/>
              <w:ind w:left="0"/>
              <w:rPr>
                <w:rFonts w:ascii="Verdana" w:hAnsi="Verdana"/>
                <w:sz w:val="20"/>
                <w:szCs w:val="20"/>
              </w:rPr>
            </w:pPr>
            <w:r>
              <w:rPr>
                <w:rFonts w:ascii="Verdana" w:hAnsi="Verdana"/>
                <w:sz w:val="20"/>
                <w:szCs w:val="20"/>
              </w:rPr>
              <w:t xml:space="preserve">Résilience climatique </w:t>
            </w:r>
          </w:p>
        </w:tc>
      </w:tr>
      <w:tr w:rsidR="00FB0ED7" w14:paraId="1ACA0A1E" w14:textId="77777777">
        <w:tc>
          <w:tcPr>
            <w:tcW w:w="7096" w:type="dxa"/>
            <w:vAlign w:val="center"/>
          </w:tcPr>
          <w:p w14:paraId="00000004" w14:textId="21D12010" w:rsidR="00FB0ED7" w:rsidRDefault="004877C0">
            <w:pPr>
              <w:widowControl w:val="0"/>
              <w:pBdr>
                <w:top w:val="nil"/>
                <w:left w:val="nil"/>
                <w:bottom w:val="nil"/>
                <w:right w:val="nil"/>
                <w:between w:val="nil"/>
              </w:pBdr>
              <w:spacing w:before="120" w:after="120" w:line="249" w:lineRule="auto"/>
              <w:ind w:left="284" w:right="227"/>
              <w:rPr>
                <w:rFonts w:eastAsia="Verdana" w:cs="Verdana"/>
                <w:color w:val="000000"/>
                <w:szCs w:val="20"/>
              </w:rPr>
            </w:pPr>
            <w:r>
              <w:rPr>
                <w:rFonts w:eastAsia="Verdana" w:cs="Verdana"/>
                <w:color w:val="000000"/>
                <w:szCs w:val="20"/>
              </w:rPr>
              <w:t xml:space="preserve">Comité des OPL </w:t>
            </w:r>
            <w:r w:rsidR="000134AE">
              <w:rPr>
                <w:rFonts w:eastAsia="Verdana" w:cs="Verdana"/>
                <w:color w:val="000000"/>
                <w:szCs w:val="20"/>
              </w:rPr>
              <w:t>01</w:t>
            </w:r>
            <w:r>
              <w:rPr>
                <w:rFonts w:eastAsia="Verdana" w:cs="Verdana"/>
                <w:color w:val="000000"/>
                <w:szCs w:val="20"/>
              </w:rPr>
              <w:t>/202</w:t>
            </w:r>
            <w:r w:rsidR="000134AE">
              <w:rPr>
                <w:rFonts w:eastAsia="Verdana" w:cs="Verdana"/>
                <w:color w:val="000000"/>
                <w:szCs w:val="20"/>
              </w:rPr>
              <w:t>4</w:t>
            </w:r>
            <w:r>
              <w:rPr>
                <w:rFonts w:eastAsia="Verdana" w:cs="Verdana"/>
                <w:color w:val="000000"/>
                <w:szCs w:val="20"/>
              </w:rPr>
              <w:t xml:space="preserve"> | </w:t>
            </w:r>
            <w:r w:rsidR="00243EEE">
              <w:rPr>
                <w:rFonts w:eastAsia="Verdana" w:cs="Verdana"/>
                <w:color w:val="000000"/>
                <w:szCs w:val="20"/>
              </w:rPr>
              <w:t>2</w:t>
            </w:r>
            <w:r w:rsidR="000134AE">
              <w:rPr>
                <w:rFonts w:eastAsia="Verdana" w:cs="Verdana"/>
                <w:color w:val="000000"/>
                <w:szCs w:val="20"/>
              </w:rPr>
              <w:t>2</w:t>
            </w:r>
            <w:r>
              <w:rPr>
                <w:rFonts w:eastAsia="Verdana" w:cs="Verdana"/>
                <w:color w:val="000000"/>
                <w:szCs w:val="20"/>
              </w:rPr>
              <w:t>-2</w:t>
            </w:r>
            <w:r w:rsidR="000134AE">
              <w:rPr>
                <w:rFonts w:eastAsia="Verdana" w:cs="Verdana"/>
                <w:color w:val="000000"/>
                <w:szCs w:val="20"/>
              </w:rPr>
              <w:t>3</w:t>
            </w:r>
            <w:r>
              <w:rPr>
                <w:rFonts w:eastAsia="Verdana" w:cs="Verdana"/>
                <w:color w:val="000000"/>
                <w:szCs w:val="20"/>
              </w:rPr>
              <w:t xml:space="preserve"> </w:t>
            </w:r>
            <w:r w:rsidR="000134AE">
              <w:rPr>
                <w:rFonts w:eastAsia="Verdana" w:cs="Verdana"/>
                <w:color w:val="000000"/>
                <w:szCs w:val="20"/>
              </w:rPr>
              <w:t>avril 2024</w:t>
            </w:r>
          </w:p>
        </w:tc>
        <w:tc>
          <w:tcPr>
            <w:tcW w:w="1829" w:type="dxa"/>
            <w:vAlign w:val="center"/>
          </w:tcPr>
          <w:p w14:paraId="00000005" w14:textId="403265EA" w:rsidR="00FB0ED7" w:rsidRDefault="000134AE">
            <w:pPr>
              <w:widowControl w:val="0"/>
              <w:pBdr>
                <w:top w:val="nil"/>
                <w:left w:val="nil"/>
                <w:bottom w:val="nil"/>
                <w:right w:val="nil"/>
                <w:between w:val="nil"/>
              </w:pBdr>
              <w:spacing w:before="120" w:after="120" w:line="249" w:lineRule="auto"/>
              <w:ind w:left="284" w:right="227"/>
              <w:rPr>
                <w:rFonts w:eastAsia="Verdana" w:cs="Verdana"/>
                <w:color w:val="000000"/>
                <w:szCs w:val="20"/>
              </w:rPr>
            </w:pPr>
            <w:r>
              <w:rPr>
                <w:rFonts w:eastAsia="Verdana" w:cs="Verdana"/>
                <w:color w:val="000000"/>
                <w:szCs w:val="20"/>
              </w:rPr>
              <w:t>Point.</w:t>
            </w:r>
            <w:r w:rsidR="005C790C">
              <w:rPr>
                <w:rFonts w:eastAsia="Verdana" w:cs="Verdana"/>
                <w:color w:val="000000"/>
                <w:szCs w:val="20"/>
              </w:rPr>
              <w:t>2.10</w:t>
            </w:r>
          </w:p>
        </w:tc>
      </w:tr>
      <w:tr w:rsidR="00FB0ED7" w14:paraId="53F2F03F" w14:textId="77777777">
        <w:tc>
          <w:tcPr>
            <w:tcW w:w="7096" w:type="dxa"/>
            <w:vAlign w:val="center"/>
          </w:tcPr>
          <w:p w14:paraId="00000006" w14:textId="77777777" w:rsidR="00FB0ED7" w:rsidRDefault="004877C0">
            <w:pPr>
              <w:widowControl w:val="0"/>
              <w:pBdr>
                <w:top w:val="nil"/>
                <w:left w:val="nil"/>
                <w:bottom w:val="nil"/>
                <w:right w:val="nil"/>
                <w:between w:val="nil"/>
              </w:pBdr>
              <w:spacing w:before="120" w:after="120" w:line="249" w:lineRule="auto"/>
              <w:ind w:left="284" w:right="227"/>
              <w:rPr>
                <w:rFonts w:eastAsia="Verdana" w:cs="Verdana"/>
                <w:color w:val="000000"/>
                <w:szCs w:val="20"/>
              </w:rPr>
            </w:pPr>
            <w:r>
              <w:rPr>
                <w:rFonts w:eastAsia="Verdana" w:cs="Verdana"/>
                <w:i/>
                <w:color w:val="000000"/>
                <w:szCs w:val="20"/>
              </w:rPr>
              <w:t>Dossier suivi par :</w:t>
            </w:r>
            <w:r>
              <w:rPr>
                <w:rFonts w:eastAsia="Verdana" w:cs="Verdana"/>
                <w:color w:val="000000"/>
                <w:szCs w:val="20"/>
              </w:rPr>
              <w:t xml:space="preserve"> Gina Bonne, Chargée de mission Di4</w:t>
            </w:r>
          </w:p>
        </w:tc>
        <w:tc>
          <w:tcPr>
            <w:tcW w:w="1829" w:type="dxa"/>
            <w:vAlign w:val="center"/>
          </w:tcPr>
          <w:p w14:paraId="00000007" w14:textId="68D00A28" w:rsidR="00FB0ED7" w:rsidRDefault="000134AE">
            <w:pPr>
              <w:widowControl w:val="0"/>
              <w:pBdr>
                <w:top w:val="nil"/>
                <w:left w:val="nil"/>
                <w:bottom w:val="nil"/>
                <w:right w:val="nil"/>
                <w:between w:val="nil"/>
              </w:pBdr>
              <w:spacing w:before="120" w:after="120" w:line="249" w:lineRule="auto"/>
              <w:ind w:left="284" w:right="227"/>
              <w:rPr>
                <w:rFonts w:eastAsia="Verdana" w:cs="Verdana"/>
                <w:color w:val="000000"/>
                <w:szCs w:val="20"/>
              </w:rPr>
            </w:pPr>
            <w:r>
              <w:rPr>
                <w:rFonts w:eastAsia="Verdana" w:cs="Verdana"/>
                <w:color w:val="000000"/>
                <w:szCs w:val="20"/>
              </w:rPr>
              <w:t xml:space="preserve">Décision </w:t>
            </w:r>
          </w:p>
        </w:tc>
      </w:tr>
      <w:tr w:rsidR="00FB0ED7" w14:paraId="29F78870" w14:textId="77777777">
        <w:tc>
          <w:tcPr>
            <w:tcW w:w="8925" w:type="dxa"/>
            <w:gridSpan w:val="2"/>
            <w:vAlign w:val="center"/>
          </w:tcPr>
          <w:p w14:paraId="00000008" w14:textId="70CF43E7" w:rsidR="00FB0ED7" w:rsidRDefault="004877C0">
            <w:pPr>
              <w:widowControl w:val="0"/>
              <w:pBdr>
                <w:top w:val="nil"/>
                <w:left w:val="nil"/>
                <w:bottom w:val="nil"/>
                <w:right w:val="nil"/>
                <w:between w:val="nil"/>
              </w:pBdr>
              <w:spacing w:before="120" w:after="120" w:line="249" w:lineRule="auto"/>
              <w:ind w:left="284" w:right="227"/>
              <w:rPr>
                <w:rFonts w:eastAsia="Verdana" w:cs="Verdana"/>
                <w:color w:val="000000"/>
                <w:szCs w:val="20"/>
              </w:rPr>
            </w:pPr>
            <w:r>
              <w:rPr>
                <w:rFonts w:eastAsia="Verdana" w:cs="Verdana"/>
                <w:i/>
                <w:color w:val="000000"/>
                <w:szCs w:val="20"/>
              </w:rPr>
              <w:t xml:space="preserve">Version du </w:t>
            </w:r>
            <w:r w:rsidR="000134AE">
              <w:rPr>
                <w:rFonts w:eastAsia="Verdana" w:cs="Verdana"/>
                <w:i/>
                <w:color w:val="000000"/>
                <w:szCs w:val="20"/>
              </w:rPr>
              <w:t>0</w:t>
            </w:r>
            <w:r w:rsidR="00C44FDA">
              <w:rPr>
                <w:rFonts w:eastAsia="Verdana" w:cs="Verdana"/>
                <w:i/>
                <w:color w:val="000000"/>
                <w:szCs w:val="20"/>
              </w:rPr>
              <w:t>9</w:t>
            </w:r>
            <w:r w:rsidR="008C4256">
              <w:rPr>
                <w:rFonts w:eastAsia="Verdana" w:cs="Verdana"/>
                <w:i/>
                <w:color w:val="000000"/>
                <w:szCs w:val="20"/>
              </w:rPr>
              <w:t>/04/24</w:t>
            </w:r>
          </w:p>
        </w:tc>
      </w:tr>
    </w:tbl>
    <w:p w14:paraId="0000000A" w14:textId="77777777" w:rsidR="00FB0ED7" w:rsidRDefault="00FB0ED7">
      <w:pPr>
        <w:pBdr>
          <w:top w:val="nil"/>
          <w:left w:val="nil"/>
          <w:bottom w:val="nil"/>
          <w:right w:val="nil"/>
          <w:between w:val="nil"/>
        </w:pBdr>
        <w:rPr>
          <w:rFonts w:eastAsia="Verdana" w:cs="Verdana"/>
          <w:color w:val="000000"/>
          <w:szCs w:val="20"/>
        </w:rPr>
      </w:pPr>
    </w:p>
    <w:p w14:paraId="0000000B" w14:textId="77777777" w:rsidR="00FB0ED7" w:rsidRDefault="004877C0">
      <w:pPr>
        <w:numPr>
          <w:ilvl w:val="0"/>
          <w:numId w:val="4"/>
        </w:numPr>
        <w:pBdr>
          <w:top w:val="nil"/>
          <w:left w:val="nil"/>
          <w:bottom w:val="nil"/>
          <w:right w:val="nil"/>
          <w:between w:val="nil"/>
        </w:pBdr>
        <w:spacing w:before="240"/>
        <w:ind w:left="714" w:hanging="357"/>
        <w:rPr>
          <w:rFonts w:eastAsia="Verdana" w:cs="Verdana"/>
          <w:b/>
          <w:color w:val="0070C0"/>
          <w:szCs w:val="20"/>
        </w:rPr>
      </w:pPr>
      <w:r>
        <w:rPr>
          <w:rFonts w:eastAsia="Verdana" w:cs="Verdana"/>
          <w:b/>
          <w:color w:val="0070C0"/>
          <w:szCs w:val="20"/>
        </w:rPr>
        <w:t>Résumé</w:t>
      </w:r>
    </w:p>
    <w:p w14:paraId="34C5DCC1" w14:textId="19D61F40" w:rsidR="00077191" w:rsidRDefault="00F40261" w:rsidP="00F40261">
      <w:r w:rsidRPr="004A33D8">
        <w:t xml:space="preserve">Cette fiche </w:t>
      </w:r>
      <w:r w:rsidR="00077191">
        <w:t>propose un</w:t>
      </w:r>
      <w:r w:rsidR="007B05DD">
        <w:t xml:space="preserve">e compilation </w:t>
      </w:r>
      <w:r w:rsidR="00E6713E">
        <w:t>d’informations sur</w:t>
      </w:r>
      <w:r w:rsidR="00077191">
        <w:t xml:space="preserve"> les</w:t>
      </w:r>
      <w:r w:rsidR="007B05DD">
        <w:t xml:space="preserve"> </w:t>
      </w:r>
      <w:r w:rsidR="00E6713E">
        <w:t>actions</w:t>
      </w:r>
      <w:r w:rsidR="008041AB">
        <w:t xml:space="preserve"> </w:t>
      </w:r>
      <w:r w:rsidR="00077191">
        <w:t>du Secr</w:t>
      </w:r>
      <w:r w:rsidR="007B05DD">
        <w:t>é</w:t>
      </w:r>
      <w:r w:rsidR="00077191">
        <w:t xml:space="preserve">tariat général </w:t>
      </w:r>
      <w:r w:rsidR="007B05DD">
        <w:t>concernant</w:t>
      </w:r>
      <w:r w:rsidR="00077191">
        <w:t xml:space="preserve"> le Climat et est présenté en </w:t>
      </w:r>
      <w:r w:rsidR="006100F6">
        <w:t xml:space="preserve">trois </w:t>
      </w:r>
      <w:r w:rsidR="00077191">
        <w:t xml:space="preserve">temps : </w:t>
      </w:r>
    </w:p>
    <w:p w14:paraId="081D4307" w14:textId="32298F4F" w:rsidR="008C4256" w:rsidRDefault="007B05DD" w:rsidP="008C4256">
      <w:pPr>
        <w:pStyle w:val="Paragraphedeliste"/>
        <w:numPr>
          <w:ilvl w:val="0"/>
          <w:numId w:val="8"/>
        </w:numPr>
      </w:pPr>
      <w:r w:rsidRPr="004A33D8">
        <w:t>Un</w:t>
      </w:r>
      <w:r w:rsidR="00F40261" w:rsidRPr="004A33D8">
        <w:t xml:space="preserve"> aperçu global sur la mise en œuvre de la Stratégie régionale d’adaptation au changement climatique des pays membres de la Commission de l’océan Indien 2012 – 2020 et le Plan d’action intégré de Changement climatique et de réduction des risques de catastrophes 2019-2024 en lien avec PDS </w:t>
      </w:r>
      <w:r w:rsidR="008A0AAA">
        <w:t>2023-2033</w:t>
      </w:r>
      <w:r w:rsidR="00077191">
        <w:t xml:space="preserve">. </w:t>
      </w:r>
      <w:r w:rsidR="00077191" w:rsidRPr="00077191">
        <w:t xml:space="preserve"> </w:t>
      </w:r>
      <w:r w:rsidR="00077191">
        <w:t>Le lien est fait entre climat, réduction des risques de catastrophes, environnement, biodiversité, santé, océan, recherche, innovation et formation</w:t>
      </w:r>
      <w:r w:rsidR="00917351">
        <w:t>. Il est rappelé que</w:t>
      </w:r>
      <w:r w:rsidR="00077191">
        <w:t xml:space="preserve"> le défi climatique est intégré dans plusieurs projets de la COI</w:t>
      </w:r>
      <w:r w:rsidR="00132191">
        <w:t xml:space="preserve">. </w:t>
      </w:r>
      <w:r w:rsidR="00077191">
        <w:t xml:space="preserve"> </w:t>
      </w:r>
    </w:p>
    <w:p w14:paraId="67F8D89F" w14:textId="51CF0A42" w:rsidR="00DB4164" w:rsidRDefault="00077191" w:rsidP="00DB4164">
      <w:pPr>
        <w:pStyle w:val="Paragraphedeliste"/>
        <w:numPr>
          <w:ilvl w:val="0"/>
          <w:numId w:val="8"/>
        </w:numPr>
      </w:pPr>
      <w:r>
        <w:t xml:space="preserve">L’état d’avancement des projets mis en œuvre par le </w:t>
      </w:r>
      <w:r w:rsidR="00917351">
        <w:t>S</w:t>
      </w:r>
      <w:r>
        <w:t>ecrétariat</w:t>
      </w:r>
      <w:r w:rsidR="00917351">
        <w:t xml:space="preserve"> général</w:t>
      </w:r>
      <w:r>
        <w:t xml:space="preserve"> sous la responsabilité du domaine d’intervention environnement durable et </w:t>
      </w:r>
      <w:r w:rsidR="008C4256">
        <w:t>la collaboration établi</w:t>
      </w:r>
      <w:r w:rsidR="00917351">
        <w:t>e</w:t>
      </w:r>
      <w:r w:rsidR="008C4256">
        <w:t xml:space="preserve"> avec un certain nombre de partenaires, notamment </w:t>
      </w:r>
      <w:r w:rsidR="005975AA">
        <w:t>l’Union Africaine</w:t>
      </w:r>
      <w:r w:rsidR="008C4256">
        <w:t xml:space="preserve">, l’OACPS, la SADC, </w:t>
      </w:r>
      <w:r w:rsidR="00917351">
        <w:t>l’</w:t>
      </w:r>
      <w:r w:rsidR="008C4256">
        <w:t>OMM</w:t>
      </w:r>
      <w:r w:rsidR="005975AA">
        <w:t> :</w:t>
      </w:r>
      <w:r w:rsidR="008C4256">
        <w:t xml:space="preserve"> le programme Intra ACP portant sur  application des services climatique</w:t>
      </w:r>
      <w:r w:rsidR="00564746">
        <w:t>s</w:t>
      </w:r>
      <w:r w:rsidR="008C4256">
        <w:t xml:space="preserve"> (CLIMSA), </w:t>
      </w:r>
      <w:r w:rsidR="00E6713E">
        <w:t>UNDRR</w:t>
      </w:r>
      <w:r w:rsidR="00564746">
        <w:t xml:space="preserve">, </w:t>
      </w:r>
      <w:r w:rsidR="00E6713E">
        <w:t xml:space="preserve">et la Banque </w:t>
      </w:r>
      <w:r w:rsidR="00564746">
        <w:t>m</w:t>
      </w:r>
      <w:r w:rsidR="00E6713E">
        <w:t xml:space="preserve">ondiale sur  </w:t>
      </w:r>
      <w:r w:rsidR="008C4256">
        <w:t xml:space="preserve">le projet CREWS;  UNDRR, OMM sur le « Early warning for all » ; </w:t>
      </w:r>
      <w:bookmarkStart w:id="0" w:name="_Hlk163577268"/>
      <w:r w:rsidR="008C4256">
        <w:t xml:space="preserve">l’Union </w:t>
      </w:r>
      <w:proofErr w:type="spellStart"/>
      <w:r w:rsidR="00564746">
        <w:t>a</w:t>
      </w:r>
      <w:r w:rsidR="008C4256">
        <w:t>ricain</w:t>
      </w:r>
      <w:r w:rsidR="007B05DD">
        <w:t>e</w:t>
      </w:r>
      <w:bookmarkEnd w:id="0"/>
      <w:proofErr w:type="spellEnd"/>
      <w:r w:rsidR="008C4256">
        <w:t xml:space="preserve">, RCMRD , ICPAC et CSIR sur les outils d’observation de la </w:t>
      </w:r>
      <w:r w:rsidR="00564746">
        <w:t>T</w:t>
      </w:r>
      <w:r w:rsidR="008C4256">
        <w:t>erre dans le cadre du projet GMES e</w:t>
      </w:r>
      <w:r w:rsidR="007B05DD">
        <w:t>n</w:t>
      </w:r>
      <w:r w:rsidR="008C4256">
        <w:t xml:space="preserve"> Afrique</w:t>
      </w:r>
    </w:p>
    <w:p w14:paraId="37B94F6A" w14:textId="45439051" w:rsidR="006100F6" w:rsidRDefault="006100F6" w:rsidP="00DB4164">
      <w:pPr>
        <w:pStyle w:val="Paragraphedeliste"/>
        <w:numPr>
          <w:ilvl w:val="0"/>
          <w:numId w:val="8"/>
        </w:numPr>
      </w:pPr>
      <w:r>
        <w:t>La Commission Climat des Etats insulaire</w:t>
      </w:r>
      <w:r w:rsidR="00026A87">
        <w:t>s</w:t>
      </w:r>
      <w:r>
        <w:t xml:space="preserve"> </w:t>
      </w:r>
      <w:r w:rsidR="00026A87">
        <w:t>d’Afrique</w:t>
      </w:r>
      <w:r>
        <w:t xml:space="preserve"> </w:t>
      </w:r>
      <w:r w:rsidR="00026A87">
        <w:t>(</w:t>
      </w:r>
      <w:r w:rsidR="00026A87">
        <w:rPr>
          <w:rFonts w:ascii="Roboto" w:hAnsi="Roboto"/>
          <w:color w:val="71777D"/>
          <w:sz w:val="21"/>
          <w:szCs w:val="21"/>
          <w:shd w:val="clear" w:color="auto" w:fill="FFFFFF"/>
        </w:rPr>
        <w:t>AISCC sous son acronyme anglais)</w:t>
      </w:r>
    </w:p>
    <w:p w14:paraId="5B182D15" w14:textId="37B3BF71" w:rsidR="00A9629E" w:rsidRDefault="00A9629E" w:rsidP="00C44FDA">
      <w:pPr>
        <w:pStyle w:val="Paragraphedeliste"/>
        <w:numPr>
          <w:ilvl w:val="0"/>
          <w:numId w:val="0"/>
        </w:numPr>
        <w:ind w:left="720"/>
      </w:pPr>
    </w:p>
    <w:p w14:paraId="7DA25A6D" w14:textId="3FCFF823" w:rsidR="008C4256" w:rsidRPr="005C790C" w:rsidRDefault="008C4256" w:rsidP="005C790C">
      <w:pPr>
        <w:pStyle w:val="Paragraphedeliste"/>
        <w:numPr>
          <w:ilvl w:val="0"/>
          <w:numId w:val="12"/>
        </w:numPr>
        <w:rPr>
          <w:rFonts w:eastAsia="Verdana" w:cs="Verdana"/>
          <w:b/>
          <w:color w:val="0070C0"/>
          <w:szCs w:val="20"/>
        </w:rPr>
      </w:pPr>
      <w:bookmarkStart w:id="1" w:name="_heading=h.gjdgxs" w:colFirst="0" w:colLast="0"/>
      <w:bookmarkEnd w:id="1"/>
      <w:r w:rsidRPr="005C790C">
        <w:rPr>
          <w:rFonts w:eastAsia="Verdana" w:cs="Verdana"/>
          <w:b/>
          <w:color w:val="0070C0"/>
          <w:szCs w:val="20"/>
        </w:rPr>
        <w:t xml:space="preserve">La mise en œuvre de la stratégie </w:t>
      </w:r>
      <w:r w:rsidR="001D6F7B" w:rsidRPr="005C790C">
        <w:rPr>
          <w:rFonts w:eastAsia="Verdana" w:cs="Verdana"/>
          <w:b/>
          <w:color w:val="0070C0"/>
          <w:szCs w:val="20"/>
        </w:rPr>
        <w:t>régional</w:t>
      </w:r>
      <w:r w:rsidR="00E72302">
        <w:rPr>
          <w:rFonts w:eastAsia="Verdana" w:cs="Verdana"/>
          <w:b/>
          <w:color w:val="0070C0"/>
          <w:szCs w:val="20"/>
        </w:rPr>
        <w:t>e</w:t>
      </w:r>
      <w:r w:rsidR="001D6F7B" w:rsidRPr="005C790C">
        <w:rPr>
          <w:rFonts w:eastAsia="Verdana" w:cs="Verdana"/>
          <w:b/>
          <w:color w:val="0070C0"/>
          <w:szCs w:val="20"/>
        </w:rPr>
        <w:t xml:space="preserve"> </w:t>
      </w:r>
      <w:r w:rsidRPr="005C790C">
        <w:rPr>
          <w:rFonts w:eastAsia="Verdana" w:cs="Verdana"/>
          <w:b/>
          <w:color w:val="0070C0"/>
          <w:szCs w:val="20"/>
        </w:rPr>
        <w:t xml:space="preserve">sur l’adaptation aux changement climatique </w:t>
      </w:r>
    </w:p>
    <w:p w14:paraId="3BF15C9D" w14:textId="7168B494" w:rsidR="00132191" w:rsidRPr="00DB4164" w:rsidRDefault="008C4256" w:rsidP="008C4256">
      <w:pPr>
        <w:pBdr>
          <w:top w:val="nil"/>
          <w:left w:val="nil"/>
          <w:bottom w:val="nil"/>
          <w:right w:val="nil"/>
          <w:between w:val="nil"/>
        </w:pBdr>
        <w:spacing w:before="240"/>
        <w:rPr>
          <w:rFonts w:eastAsia="Verdana" w:cs="Verdana"/>
          <w:bCs/>
          <w:szCs w:val="20"/>
        </w:rPr>
      </w:pPr>
      <w:r w:rsidRPr="00DB4164">
        <w:rPr>
          <w:rFonts w:eastAsia="Verdana" w:cs="Verdana"/>
          <w:bCs/>
          <w:szCs w:val="20"/>
        </w:rPr>
        <w:t xml:space="preserve">Le </w:t>
      </w:r>
      <w:r w:rsidR="008B2E0A" w:rsidRPr="004F0053">
        <w:rPr>
          <w:rFonts w:eastAsia="Verdana" w:cs="Verdana"/>
          <w:bCs/>
          <w:szCs w:val="20"/>
        </w:rPr>
        <w:t>28</w:t>
      </w:r>
      <w:r w:rsidR="005975AA">
        <w:rPr>
          <w:rFonts w:eastAsia="Verdana" w:cs="Verdana"/>
          <w:bCs/>
          <w:szCs w:val="20"/>
        </w:rPr>
        <w:t>è</w:t>
      </w:r>
      <w:r w:rsidR="008B2E0A" w:rsidRPr="004F0053">
        <w:rPr>
          <w:rFonts w:eastAsia="Verdana" w:cs="Verdana"/>
          <w:bCs/>
          <w:szCs w:val="20"/>
        </w:rPr>
        <w:t xml:space="preserve">me </w:t>
      </w:r>
      <w:r w:rsidRPr="004F0053">
        <w:rPr>
          <w:rFonts w:eastAsia="Verdana" w:cs="Verdana"/>
          <w:bCs/>
          <w:szCs w:val="20"/>
        </w:rPr>
        <w:t>Conseil</w:t>
      </w:r>
      <w:r w:rsidR="005975AA">
        <w:rPr>
          <w:rFonts w:eastAsia="Verdana" w:cs="Verdana"/>
          <w:bCs/>
          <w:szCs w:val="20"/>
        </w:rPr>
        <w:t xml:space="preserve"> des ministres</w:t>
      </w:r>
      <w:r w:rsidR="008B2E0A" w:rsidRPr="00DB4164">
        <w:rPr>
          <w:rFonts w:eastAsia="Verdana" w:cs="Verdana"/>
          <w:bCs/>
          <w:szCs w:val="20"/>
        </w:rPr>
        <w:t>, décision 9</w:t>
      </w:r>
      <w:r w:rsidR="005975AA">
        <w:rPr>
          <w:rFonts w:eastAsia="Verdana" w:cs="Verdana"/>
          <w:bCs/>
          <w:szCs w:val="20"/>
        </w:rPr>
        <w:t>,</w:t>
      </w:r>
      <w:r w:rsidRPr="00DB4164">
        <w:rPr>
          <w:rFonts w:eastAsia="Verdana" w:cs="Verdana"/>
          <w:bCs/>
          <w:szCs w:val="20"/>
        </w:rPr>
        <w:t xml:space="preserve"> avait adopté </w:t>
      </w:r>
      <w:r w:rsidR="001D6F7B" w:rsidRPr="00DB4164">
        <w:rPr>
          <w:rFonts w:eastAsia="Verdana" w:cs="Verdana"/>
          <w:bCs/>
          <w:szCs w:val="20"/>
        </w:rPr>
        <w:t>la stratégie régionale d’adaptation au changement climatique (2012-2020) qui a été complété par l’adoption de la stratégie régional</w:t>
      </w:r>
      <w:r w:rsidR="00E72302">
        <w:rPr>
          <w:rFonts w:eastAsia="Verdana" w:cs="Verdana"/>
          <w:bCs/>
          <w:szCs w:val="20"/>
        </w:rPr>
        <w:t>e</w:t>
      </w:r>
      <w:r w:rsidR="001D6F7B" w:rsidRPr="00DB4164">
        <w:rPr>
          <w:rFonts w:eastAsia="Verdana" w:cs="Verdana"/>
          <w:bCs/>
          <w:szCs w:val="20"/>
        </w:rPr>
        <w:t xml:space="preserve"> de transition énergétique (2018-2025) par le 35</w:t>
      </w:r>
      <w:r w:rsidR="005975AA">
        <w:rPr>
          <w:rFonts w:eastAsia="Verdana" w:cs="Verdana"/>
          <w:bCs/>
          <w:szCs w:val="20"/>
        </w:rPr>
        <w:t>è</w:t>
      </w:r>
      <w:r w:rsidR="001D6F7B" w:rsidRPr="00DB4164">
        <w:rPr>
          <w:rFonts w:eastAsia="Verdana" w:cs="Verdana"/>
          <w:bCs/>
          <w:szCs w:val="20"/>
        </w:rPr>
        <w:t xml:space="preserve">me </w:t>
      </w:r>
      <w:r w:rsidR="00132191" w:rsidRPr="00DB4164">
        <w:rPr>
          <w:rFonts w:eastAsia="Verdana" w:cs="Verdana"/>
          <w:bCs/>
          <w:szCs w:val="20"/>
        </w:rPr>
        <w:t>Conseil et</w:t>
      </w:r>
      <w:r w:rsidR="001D6F7B" w:rsidRPr="00DB4164">
        <w:rPr>
          <w:rFonts w:eastAsia="Verdana" w:cs="Verdana"/>
          <w:bCs/>
          <w:szCs w:val="20"/>
        </w:rPr>
        <w:t xml:space="preserve"> un plan d’action sur l’économie bleu</w:t>
      </w:r>
      <w:r w:rsidR="00E72302">
        <w:rPr>
          <w:rFonts w:eastAsia="Verdana" w:cs="Verdana"/>
          <w:bCs/>
          <w:szCs w:val="20"/>
        </w:rPr>
        <w:t>e</w:t>
      </w:r>
      <w:r w:rsidR="001D6F7B" w:rsidRPr="00DB4164">
        <w:rPr>
          <w:rFonts w:eastAsia="Verdana" w:cs="Verdana"/>
          <w:bCs/>
          <w:szCs w:val="20"/>
        </w:rPr>
        <w:t xml:space="preserve"> (2019)</w:t>
      </w:r>
      <w:r w:rsidR="00E72302">
        <w:rPr>
          <w:rFonts w:eastAsia="Verdana" w:cs="Verdana"/>
          <w:bCs/>
          <w:szCs w:val="20"/>
        </w:rPr>
        <w:t>,</w:t>
      </w:r>
      <w:r w:rsidR="001D6F7B" w:rsidRPr="00DB4164">
        <w:rPr>
          <w:rFonts w:eastAsia="Verdana" w:cs="Verdana"/>
          <w:bCs/>
          <w:szCs w:val="20"/>
        </w:rPr>
        <w:t xml:space="preserve"> le plan d’action valorisation et gestion de déchets ainsi que le plan d’action </w:t>
      </w:r>
      <w:r w:rsidR="00E6713E" w:rsidRPr="00DB4164">
        <w:rPr>
          <w:rFonts w:eastAsia="Verdana" w:cs="Verdana"/>
          <w:bCs/>
          <w:szCs w:val="20"/>
        </w:rPr>
        <w:t>int</w:t>
      </w:r>
      <w:r w:rsidR="00E6713E">
        <w:rPr>
          <w:rFonts w:eastAsia="Verdana" w:cs="Verdana"/>
          <w:bCs/>
          <w:szCs w:val="20"/>
        </w:rPr>
        <w:t>é</w:t>
      </w:r>
      <w:r w:rsidR="00E6713E" w:rsidRPr="00DB4164">
        <w:rPr>
          <w:rFonts w:eastAsia="Verdana" w:cs="Verdana"/>
          <w:bCs/>
          <w:szCs w:val="20"/>
        </w:rPr>
        <w:t>gr</w:t>
      </w:r>
      <w:r w:rsidR="00E6713E">
        <w:rPr>
          <w:rFonts w:eastAsia="Verdana" w:cs="Verdana"/>
          <w:bCs/>
          <w:szCs w:val="20"/>
        </w:rPr>
        <w:t>é</w:t>
      </w:r>
      <w:r w:rsidR="001D6F7B" w:rsidRPr="00DB4164">
        <w:rPr>
          <w:rFonts w:eastAsia="Verdana" w:cs="Verdana"/>
          <w:bCs/>
          <w:szCs w:val="20"/>
        </w:rPr>
        <w:t xml:space="preserve"> du changement climatique et la réduction des risques de </w:t>
      </w:r>
      <w:r w:rsidR="005C790C" w:rsidRPr="00DB4164">
        <w:rPr>
          <w:rFonts w:eastAsia="Verdana" w:cs="Verdana"/>
          <w:bCs/>
          <w:szCs w:val="20"/>
        </w:rPr>
        <w:t>catastrophes</w:t>
      </w:r>
      <w:r w:rsidR="005C790C">
        <w:rPr>
          <w:rFonts w:eastAsia="Verdana" w:cs="Verdana"/>
          <w:bCs/>
          <w:szCs w:val="20"/>
        </w:rPr>
        <w:t xml:space="preserve"> (2019)</w:t>
      </w:r>
      <w:r w:rsidR="00132191" w:rsidRPr="00DB4164">
        <w:rPr>
          <w:rFonts w:eastAsia="Verdana" w:cs="Verdana"/>
          <w:bCs/>
          <w:szCs w:val="20"/>
        </w:rPr>
        <w:t>.</w:t>
      </w:r>
    </w:p>
    <w:p w14:paraId="47B589DC" w14:textId="2607E461" w:rsidR="00AC3D53" w:rsidRPr="00EE0D3A" w:rsidRDefault="00AC3D53" w:rsidP="00AC3D53">
      <w:pPr>
        <w:pBdr>
          <w:top w:val="nil"/>
          <w:left w:val="nil"/>
          <w:bottom w:val="nil"/>
          <w:right w:val="nil"/>
          <w:between w:val="nil"/>
        </w:pBdr>
        <w:spacing w:before="240"/>
      </w:pPr>
      <w:r w:rsidRPr="00EE0D3A">
        <w:t>La Stratégie régionale d’adaptation au changement climatique était</w:t>
      </w:r>
      <w:r w:rsidR="00E72302">
        <w:t xml:space="preserve"> initialement conçue pour une durée </w:t>
      </w:r>
      <w:r w:rsidR="00E6713E">
        <w:t xml:space="preserve">de </w:t>
      </w:r>
      <w:r w:rsidR="00E6713E" w:rsidRPr="00EE0D3A">
        <w:t>sept</w:t>
      </w:r>
      <w:r w:rsidRPr="00EE0D3A">
        <w:t xml:space="preserve"> </w:t>
      </w:r>
      <w:r w:rsidR="00E6713E" w:rsidRPr="00EE0D3A">
        <w:t>ans</w:t>
      </w:r>
      <w:r w:rsidR="00E6713E">
        <w:t>. Depuis</w:t>
      </w:r>
      <w:r w:rsidR="00BF738B">
        <w:t xml:space="preserve"> </w:t>
      </w:r>
      <w:r w:rsidR="00E6713E">
        <w:t>lors</w:t>
      </w:r>
      <w:r w:rsidR="005975AA">
        <w:t>,</w:t>
      </w:r>
      <w:r w:rsidR="00E6713E" w:rsidRPr="00EE0D3A">
        <w:t xml:space="preserve"> le</w:t>
      </w:r>
      <w:r w:rsidRPr="00EE0D3A">
        <w:t xml:space="preserve"> </w:t>
      </w:r>
      <w:r w:rsidR="005975AA">
        <w:t>S</w:t>
      </w:r>
      <w:r w:rsidR="00E6713E" w:rsidRPr="00EE0D3A">
        <w:t>ecrétariat</w:t>
      </w:r>
      <w:r w:rsidR="005975AA">
        <w:t xml:space="preserve"> général</w:t>
      </w:r>
      <w:r w:rsidR="00E6713E" w:rsidRPr="00EE0D3A">
        <w:t xml:space="preserve"> a</w:t>
      </w:r>
      <w:r w:rsidR="00BF738B">
        <w:t xml:space="preserve"> </w:t>
      </w:r>
      <w:r w:rsidR="00E6713E">
        <w:t>activement</w:t>
      </w:r>
      <w:r w:rsidR="00E6713E" w:rsidRPr="00EE0D3A">
        <w:t xml:space="preserve"> mobilisé</w:t>
      </w:r>
      <w:r w:rsidRPr="00EE0D3A">
        <w:t xml:space="preserve"> </w:t>
      </w:r>
      <w:r w:rsidR="00BF738B">
        <w:t>d</w:t>
      </w:r>
      <w:r w:rsidRPr="00EE0D3A">
        <w:t xml:space="preserve">es financements </w:t>
      </w:r>
      <w:r w:rsidR="00C44FDA" w:rsidRPr="00EE0D3A">
        <w:t>et établi</w:t>
      </w:r>
      <w:r w:rsidR="00BF738B">
        <w:t xml:space="preserve"> </w:t>
      </w:r>
      <w:r w:rsidRPr="00EE0D3A">
        <w:t xml:space="preserve">des partenariats importants pour sa mise en œuvre. Les réalisations basées sur le cadre qui a été mis en place sont nombreux. Le </w:t>
      </w:r>
      <w:r w:rsidRPr="00DB4164">
        <w:rPr>
          <w:rFonts w:eastAsia="Verdana" w:cs="Verdana"/>
          <w:bCs/>
          <w:szCs w:val="20"/>
        </w:rPr>
        <w:t xml:space="preserve">changement climatique </w:t>
      </w:r>
      <w:r w:rsidR="00BF738B">
        <w:rPr>
          <w:rFonts w:eastAsia="Verdana" w:cs="Verdana"/>
          <w:bCs/>
          <w:szCs w:val="20"/>
        </w:rPr>
        <w:t>a</w:t>
      </w:r>
      <w:r w:rsidRPr="00DB4164">
        <w:rPr>
          <w:rFonts w:eastAsia="Verdana" w:cs="Verdana"/>
          <w:bCs/>
          <w:szCs w:val="20"/>
        </w:rPr>
        <w:t xml:space="preserve"> été intégré dans un certain nombre de projets sectoriel</w:t>
      </w:r>
      <w:r w:rsidR="00BF738B">
        <w:rPr>
          <w:rFonts w:eastAsia="Verdana" w:cs="Verdana"/>
          <w:bCs/>
          <w:szCs w:val="20"/>
        </w:rPr>
        <w:t>s</w:t>
      </w:r>
      <w:r w:rsidRPr="00DB4164">
        <w:rPr>
          <w:rFonts w:eastAsia="Verdana" w:cs="Verdana"/>
          <w:bCs/>
          <w:szCs w:val="20"/>
        </w:rPr>
        <w:t xml:space="preserve"> porté</w:t>
      </w:r>
      <w:r w:rsidR="005C790C">
        <w:rPr>
          <w:rFonts w:eastAsia="Verdana" w:cs="Verdana"/>
          <w:bCs/>
          <w:szCs w:val="20"/>
        </w:rPr>
        <w:t>s</w:t>
      </w:r>
      <w:r w:rsidRPr="00DB4164">
        <w:rPr>
          <w:rFonts w:eastAsia="Verdana" w:cs="Verdana"/>
          <w:bCs/>
          <w:szCs w:val="20"/>
        </w:rPr>
        <w:t xml:space="preserve"> par la COI</w:t>
      </w:r>
      <w:r w:rsidR="005975AA">
        <w:rPr>
          <w:rFonts w:eastAsia="Verdana" w:cs="Verdana"/>
          <w:bCs/>
          <w:szCs w:val="20"/>
        </w:rPr>
        <w:t>,</w:t>
      </w:r>
      <w:r w:rsidRPr="00DB4164">
        <w:rPr>
          <w:rFonts w:eastAsia="Verdana" w:cs="Verdana"/>
          <w:bCs/>
          <w:szCs w:val="20"/>
        </w:rPr>
        <w:t xml:space="preserve"> </w:t>
      </w:r>
      <w:r w:rsidRPr="00EE0D3A">
        <w:t xml:space="preserve">à savoir le programme Santé (projet RSIE) </w:t>
      </w:r>
      <w:r w:rsidR="00BF738B">
        <w:t>axé</w:t>
      </w:r>
      <w:r w:rsidR="005C790C">
        <w:t xml:space="preserve"> sur les </w:t>
      </w:r>
      <w:r w:rsidRPr="00EE0D3A">
        <w:t xml:space="preserve"> maladies </w:t>
      </w:r>
      <w:proofErr w:type="spellStart"/>
      <w:r w:rsidRPr="00EE0D3A">
        <w:t>climatosensible</w:t>
      </w:r>
      <w:r w:rsidR="00BF738B">
        <w:t>s</w:t>
      </w:r>
      <w:proofErr w:type="spellEnd"/>
      <w:r w:rsidRPr="00EE0D3A">
        <w:t xml:space="preserve">; le programme pêche (ECOFISH) avec la mise en place d’un observatoire régional sur le climat et la pêche </w:t>
      </w:r>
      <w:r w:rsidR="005C790C">
        <w:t>piloté par l’Institut Océanographie de Maurice (</w:t>
      </w:r>
      <w:r w:rsidRPr="00EE0D3A">
        <w:t>MOI</w:t>
      </w:r>
      <w:r w:rsidR="005C790C">
        <w:t>)</w:t>
      </w:r>
      <w:r w:rsidRPr="00EE0D3A">
        <w:t xml:space="preserve">  ; les actions de sécurité alimentaire</w:t>
      </w:r>
      <w:r w:rsidR="00C06888">
        <w:t xml:space="preserve"> (projet porté par l’Union Européenne)</w:t>
      </w:r>
      <w:r w:rsidRPr="00EE0D3A">
        <w:t xml:space="preserve">, la transformation énergétique à travers le projet </w:t>
      </w:r>
      <w:proofErr w:type="spellStart"/>
      <w:r w:rsidRPr="00EE0D3A">
        <w:t>TWEENeX</w:t>
      </w:r>
      <w:proofErr w:type="spellEnd"/>
      <w:r w:rsidRPr="00EE0D3A">
        <w:t xml:space="preserve"> ou encore </w:t>
      </w:r>
      <w:r w:rsidR="00FE34E9" w:rsidRPr="00C44FDA">
        <w:t xml:space="preserve">SWIOFISH 2 </w:t>
      </w:r>
      <w:r w:rsidR="00C06888" w:rsidRPr="00C44FDA">
        <w:t xml:space="preserve">à travers son projet </w:t>
      </w:r>
      <w:r w:rsidRPr="00C44FDA">
        <w:t xml:space="preserve"> pilot</w:t>
      </w:r>
      <w:r w:rsidR="00BF738B" w:rsidRPr="00C44FDA">
        <w:t>e</w:t>
      </w:r>
      <w:r w:rsidRPr="00C44FDA">
        <w:t xml:space="preserve"> sur</w:t>
      </w:r>
      <w:r w:rsidR="00564746">
        <w:t xml:space="preserve"> le « verdissement des ports</w:t>
      </w:r>
      <w:r w:rsidRPr="00C44FDA">
        <w:t> » à Port</w:t>
      </w:r>
      <w:r w:rsidR="005975AA">
        <w:t>-</w:t>
      </w:r>
      <w:r w:rsidRPr="00C44FDA">
        <w:t>Louis .</w:t>
      </w:r>
      <w:r w:rsidRPr="00EE0D3A">
        <w:t xml:space="preserve"> </w:t>
      </w:r>
    </w:p>
    <w:p w14:paraId="407C67EF" w14:textId="17D127DF" w:rsidR="00564746" w:rsidRDefault="00AC3D53" w:rsidP="00C01A55">
      <w:pPr>
        <w:pBdr>
          <w:top w:val="nil"/>
          <w:left w:val="nil"/>
          <w:bottom w:val="nil"/>
          <w:right w:val="nil"/>
          <w:between w:val="nil"/>
        </w:pBdr>
        <w:spacing w:before="240"/>
        <w:rPr>
          <w:rFonts w:eastAsia="Verdana" w:cs="Verdana"/>
          <w:bCs/>
          <w:szCs w:val="20"/>
        </w:rPr>
      </w:pPr>
      <w:r w:rsidRPr="00DB4164">
        <w:rPr>
          <w:rFonts w:eastAsia="Verdana" w:cs="Verdana"/>
          <w:bCs/>
          <w:szCs w:val="20"/>
        </w:rPr>
        <w:lastRenderedPageBreak/>
        <w:t>Le Secretariat a développé et mis en œuvre un grand nombre des projets dans le domaine d</w:t>
      </w:r>
      <w:r w:rsidR="00BF738B">
        <w:rPr>
          <w:rFonts w:eastAsia="Verdana" w:cs="Verdana"/>
          <w:bCs/>
          <w:szCs w:val="20"/>
        </w:rPr>
        <w:t>u</w:t>
      </w:r>
      <w:r w:rsidRPr="00DB4164">
        <w:rPr>
          <w:rFonts w:eastAsia="Verdana" w:cs="Verdana"/>
          <w:bCs/>
          <w:szCs w:val="20"/>
        </w:rPr>
        <w:t xml:space="preserve"> changement climatique</w:t>
      </w:r>
      <w:r w:rsidR="006F6BB2">
        <w:rPr>
          <w:rFonts w:eastAsia="Verdana" w:cs="Verdana"/>
          <w:bCs/>
          <w:szCs w:val="20"/>
        </w:rPr>
        <w:t>,</w:t>
      </w:r>
      <w:r w:rsidRPr="00DB4164">
        <w:rPr>
          <w:rFonts w:eastAsia="Verdana" w:cs="Verdana"/>
          <w:bCs/>
          <w:szCs w:val="20"/>
        </w:rPr>
        <w:t xml:space="preserve"> visant à la réalisation des objectifs fixés à savoir réduire la vulnérabilité et augmenter la résilience des pays membre</w:t>
      </w:r>
      <w:r w:rsidR="00BF738B">
        <w:rPr>
          <w:rFonts w:eastAsia="Verdana" w:cs="Verdana"/>
          <w:bCs/>
          <w:szCs w:val="20"/>
        </w:rPr>
        <w:t>s</w:t>
      </w:r>
      <w:r w:rsidRPr="00DB4164">
        <w:rPr>
          <w:rFonts w:eastAsia="Verdana" w:cs="Verdana"/>
          <w:bCs/>
          <w:szCs w:val="20"/>
        </w:rPr>
        <w:t xml:space="preserve"> de la COI. Parmi </w:t>
      </w:r>
      <w:r w:rsidR="00BF738B">
        <w:rPr>
          <w:rFonts w:eastAsia="Verdana" w:cs="Verdana"/>
          <w:bCs/>
          <w:szCs w:val="20"/>
        </w:rPr>
        <w:t>c</w:t>
      </w:r>
      <w:r w:rsidRPr="00DB4164">
        <w:rPr>
          <w:rFonts w:eastAsia="Verdana" w:cs="Verdana"/>
          <w:bCs/>
          <w:szCs w:val="20"/>
        </w:rPr>
        <w:t>es projets</w:t>
      </w:r>
      <w:r w:rsidR="00BF738B">
        <w:rPr>
          <w:rFonts w:eastAsia="Verdana" w:cs="Verdana"/>
          <w:bCs/>
          <w:szCs w:val="20"/>
        </w:rPr>
        <w:t>, figurent</w:t>
      </w:r>
      <w:r w:rsidRPr="00DB4164">
        <w:rPr>
          <w:rFonts w:eastAsia="Verdana" w:cs="Verdana"/>
          <w:bCs/>
          <w:szCs w:val="20"/>
        </w:rPr>
        <w:t xml:space="preserve"> : </w:t>
      </w:r>
    </w:p>
    <w:p w14:paraId="5C3360E5" w14:textId="16AABEA9" w:rsidR="00564746" w:rsidRPr="00564746" w:rsidRDefault="00AC3D53" w:rsidP="00564746">
      <w:pPr>
        <w:pStyle w:val="Paragraphedeliste"/>
        <w:numPr>
          <w:ilvl w:val="0"/>
          <w:numId w:val="17"/>
        </w:numPr>
        <w:pBdr>
          <w:top w:val="nil"/>
          <w:left w:val="nil"/>
          <w:bottom w:val="nil"/>
          <w:right w:val="nil"/>
          <w:between w:val="nil"/>
        </w:pBdr>
        <w:spacing w:before="240"/>
      </w:pPr>
      <w:r w:rsidRPr="00564746">
        <w:rPr>
          <w:rFonts w:eastAsia="Verdana" w:cs="Verdana"/>
          <w:b/>
          <w:szCs w:val="20"/>
        </w:rPr>
        <w:t>ISLANDS</w:t>
      </w:r>
      <w:r w:rsidRPr="00564746">
        <w:rPr>
          <w:rFonts w:eastAsia="Verdana" w:cs="Verdana"/>
          <w:bCs/>
          <w:szCs w:val="20"/>
        </w:rPr>
        <w:t xml:space="preserve">- financé par l’UE qui a permis de mettre en place le portail </w:t>
      </w:r>
      <w:r w:rsidR="006F6BB2" w:rsidRPr="00564746">
        <w:rPr>
          <w:rFonts w:eastAsia="Verdana" w:cs="Verdana"/>
          <w:bCs/>
          <w:szCs w:val="20"/>
        </w:rPr>
        <w:t>« </w:t>
      </w:r>
      <w:r w:rsidRPr="00564746">
        <w:rPr>
          <w:rFonts w:eastAsia="Verdana" w:cs="Verdana"/>
          <w:bCs/>
          <w:szCs w:val="20"/>
        </w:rPr>
        <w:t>changement climatique</w:t>
      </w:r>
      <w:r w:rsidR="006F6BB2" w:rsidRPr="00564746">
        <w:rPr>
          <w:rFonts w:eastAsia="Verdana" w:cs="Verdana"/>
          <w:bCs/>
          <w:szCs w:val="20"/>
        </w:rPr>
        <w:t> »</w:t>
      </w:r>
      <w:r w:rsidRPr="00564746">
        <w:rPr>
          <w:rFonts w:eastAsia="Verdana" w:cs="Verdana"/>
          <w:bCs/>
          <w:szCs w:val="20"/>
        </w:rPr>
        <w:t xml:space="preserve"> actuellement hébergé par l’autorité </w:t>
      </w:r>
      <w:r w:rsidR="00BF738B" w:rsidRPr="00564746">
        <w:rPr>
          <w:rFonts w:eastAsia="Verdana" w:cs="Verdana"/>
          <w:bCs/>
          <w:szCs w:val="20"/>
        </w:rPr>
        <w:t xml:space="preserve">de la </w:t>
      </w:r>
      <w:r w:rsidRPr="00564746">
        <w:rPr>
          <w:rFonts w:eastAsia="Verdana" w:cs="Verdana"/>
          <w:bCs/>
          <w:szCs w:val="20"/>
        </w:rPr>
        <w:t>météorologie des Seychelles </w:t>
      </w:r>
      <w:r w:rsidR="006F6BB2" w:rsidRPr="00564746">
        <w:rPr>
          <w:rFonts w:eastAsia="Verdana" w:cs="Verdana"/>
          <w:bCs/>
          <w:szCs w:val="20"/>
        </w:rPr>
        <w:t xml:space="preserve">et </w:t>
      </w:r>
      <w:r w:rsidRPr="00564746">
        <w:rPr>
          <w:rFonts w:eastAsia="Verdana" w:cs="Verdana"/>
          <w:bCs/>
          <w:szCs w:val="20"/>
        </w:rPr>
        <w:t>développ</w:t>
      </w:r>
      <w:r w:rsidR="00BF738B" w:rsidRPr="00564746">
        <w:rPr>
          <w:rFonts w:eastAsia="Verdana" w:cs="Verdana"/>
          <w:bCs/>
          <w:szCs w:val="20"/>
        </w:rPr>
        <w:t>er</w:t>
      </w:r>
      <w:r w:rsidRPr="00564746">
        <w:rPr>
          <w:rFonts w:eastAsia="Verdana" w:cs="Verdana"/>
          <w:bCs/>
          <w:szCs w:val="20"/>
        </w:rPr>
        <w:t xml:space="preserve"> et m</w:t>
      </w:r>
      <w:r w:rsidR="00BF738B" w:rsidRPr="00564746">
        <w:rPr>
          <w:rFonts w:eastAsia="Verdana" w:cs="Verdana"/>
          <w:bCs/>
          <w:szCs w:val="20"/>
        </w:rPr>
        <w:t>ettre</w:t>
      </w:r>
      <w:r w:rsidRPr="00564746">
        <w:rPr>
          <w:rFonts w:eastAsia="Verdana" w:cs="Verdana"/>
          <w:bCs/>
          <w:szCs w:val="20"/>
        </w:rPr>
        <w:t xml:space="preserve"> en place des outils d’éducation et sensibilisation des enfants et des jeunes de la région</w:t>
      </w:r>
      <w:r w:rsidR="00C06888" w:rsidRPr="00564746">
        <w:rPr>
          <w:rFonts w:eastAsia="Verdana" w:cs="Verdana"/>
          <w:bCs/>
          <w:szCs w:val="20"/>
        </w:rPr>
        <w:t xml:space="preserve"> sur le changement climatique et développement durable</w:t>
      </w:r>
      <w:r w:rsidR="006F6BB2" w:rsidRPr="00564746">
        <w:rPr>
          <w:rFonts w:eastAsia="Verdana" w:cs="Verdana"/>
          <w:bCs/>
          <w:szCs w:val="20"/>
        </w:rPr>
        <w:t>.</w:t>
      </w:r>
      <w:r w:rsidRPr="00564746">
        <w:rPr>
          <w:rFonts w:eastAsia="Verdana" w:cs="Verdana"/>
          <w:bCs/>
          <w:szCs w:val="20"/>
        </w:rPr>
        <w:t xml:space="preserve"> </w:t>
      </w:r>
      <w:r w:rsidR="006F6BB2" w:rsidRPr="00564746">
        <w:rPr>
          <w:rFonts w:eastAsia="Verdana" w:cs="Verdana"/>
          <w:bCs/>
          <w:szCs w:val="20"/>
        </w:rPr>
        <w:t>L</w:t>
      </w:r>
      <w:r w:rsidRPr="00564746">
        <w:rPr>
          <w:rFonts w:eastAsia="Verdana" w:cs="Verdana"/>
          <w:bCs/>
          <w:szCs w:val="20"/>
        </w:rPr>
        <w:t>e projet a permis également de mettre en lumière les défis de la zone côtière face au changement climatique ainsi que la corrélation climat et réduction de</w:t>
      </w:r>
      <w:r w:rsidR="00BF738B" w:rsidRPr="00564746">
        <w:rPr>
          <w:rFonts w:eastAsia="Verdana" w:cs="Verdana"/>
          <w:bCs/>
          <w:szCs w:val="20"/>
        </w:rPr>
        <w:t>s</w:t>
      </w:r>
      <w:r w:rsidRPr="00564746">
        <w:rPr>
          <w:rFonts w:eastAsia="Verdana" w:cs="Verdana"/>
          <w:bCs/>
          <w:szCs w:val="20"/>
        </w:rPr>
        <w:t xml:space="preserve"> risque</w:t>
      </w:r>
      <w:r w:rsidR="00917856" w:rsidRPr="00564746">
        <w:rPr>
          <w:rFonts w:eastAsia="Verdana" w:cs="Verdana"/>
          <w:bCs/>
          <w:szCs w:val="20"/>
        </w:rPr>
        <w:t>s</w:t>
      </w:r>
      <w:r w:rsidRPr="00564746">
        <w:rPr>
          <w:rFonts w:eastAsia="Verdana" w:cs="Verdana"/>
          <w:bCs/>
          <w:szCs w:val="20"/>
        </w:rPr>
        <w:t xml:space="preserve"> de catastrophe</w:t>
      </w:r>
      <w:r w:rsidR="006F6BB2" w:rsidRPr="00564746">
        <w:rPr>
          <w:rFonts w:eastAsia="Verdana" w:cs="Verdana"/>
          <w:bCs/>
          <w:szCs w:val="20"/>
        </w:rPr>
        <w:t>s</w:t>
      </w:r>
      <w:r w:rsidR="00C06888" w:rsidRPr="00564746">
        <w:rPr>
          <w:rFonts w:eastAsia="Verdana" w:cs="Verdana"/>
          <w:bCs/>
          <w:szCs w:val="20"/>
        </w:rPr>
        <w:t xml:space="preserve"> qui ont contribué à la mise en place d</w:t>
      </w:r>
      <w:r w:rsidR="00607DD2" w:rsidRPr="00564746">
        <w:rPr>
          <w:rFonts w:eastAsia="Verdana" w:cs="Verdana"/>
          <w:bCs/>
          <w:szCs w:val="20"/>
        </w:rPr>
        <w:t xml:space="preserve">u plan d’action </w:t>
      </w:r>
      <w:r w:rsidR="00E6713E" w:rsidRPr="00564746">
        <w:rPr>
          <w:rFonts w:eastAsia="Verdana" w:cs="Verdana"/>
          <w:bCs/>
          <w:szCs w:val="20"/>
        </w:rPr>
        <w:t>intégré</w:t>
      </w:r>
      <w:r w:rsidR="00607DD2" w:rsidRPr="00564746">
        <w:rPr>
          <w:rFonts w:eastAsia="Verdana" w:cs="Verdana"/>
          <w:bCs/>
          <w:szCs w:val="20"/>
        </w:rPr>
        <w:t xml:space="preserve"> de </w:t>
      </w:r>
      <w:r w:rsidR="00917856" w:rsidRPr="00564746">
        <w:rPr>
          <w:rFonts w:eastAsia="Verdana" w:cs="Verdana"/>
          <w:bCs/>
          <w:szCs w:val="20"/>
        </w:rPr>
        <w:t>changement</w:t>
      </w:r>
      <w:r w:rsidR="00607DD2" w:rsidRPr="00564746">
        <w:rPr>
          <w:rFonts w:eastAsia="Verdana" w:cs="Verdana"/>
          <w:bCs/>
          <w:szCs w:val="20"/>
        </w:rPr>
        <w:t xml:space="preserve"> climatique</w:t>
      </w:r>
      <w:r w:rsidR="00564746">
        <w:rPr>
          <w:rFonts w:eastAsia="Verdana" w:cs="Verdana"/>
          <w:bCs/>
          <w:szCs w:val="20"/>
        </w:rPr>
        <w:t> ;</w:t>
      </w:r>
    </w:p>
    <w:p w14:paraId="2A474A1E" w14:textId="07DF1A0B" w:rsidR="00564746" w:rsidRDefault="00AC3D53" w:rsidP="00564746">
      <w:pPr>
        <w:pStyle w:val="Paragraphedeliste"/>
        <w:numPr>
          <w:ilvl w:val="0"/>
          <w:numId w:val="17"/>
        </w:numPr>
        <w:pBdr>
          <w:top w:val="nil"/>
          <w:left w:val="nil"/>
          <w:bottom w:val="nil"/>
          <w:right w:val="nil"/>
          <w:between w:val="nil"/>
        </w:pBdr>
        <w:spacing w:before="240"/>
      </w:pPr>
      <w:r w:rsidRPr="00564746">
        <w:rPr>
          <w:rFonts w:eastAsia="Verdana" w:cs="Verdana"/>
          <w:b/>
          <w:szCs w:val="20"/>
        </w:rPr>
        <w:t>Acclimate</w:t>
      </w:r>
      <w:r w:rsidR="006F6BB2" w:rsidRPr="00564746">
        <w:rPr>
          <w:rFonts w:eastAsia="Verdana" w:cs="Verdana"/>
          <w:b/>
          <w:szCs w:val="20"/>
        </w:rPr>
        <w:t>,</w:t>
      </w:r>
      <w:r w:rsidRPr="00564746">
        <w:rPr>
          <w:rFonts w:eastAsia="Verdana" w:cs="Verdana"/>
          <w:bCs/>
          <w:szCs w:val="20"/>
        </w:rPr>
        <w:t xml:space="preserve"> sous financement AFD, FFEM, </w:t>
      </w:r>
      <w:r w:rsidR="006F6BB2" w:rsidRPr="00564746">
        <w:rPr>
          <w:rFonts w:eastAsia="Verdana" w:cs="Verdana"/>
          <w:bCs/>
          <w:szCs w:val="20"/>
        </w:rPr>
        <w:t xml:space="preserve">qui </w:t>
      </w:r>
      <w:r w:rsidRPr="00564746">
        <w:rPr>
          <w:rFonts w:eastAsia="Verdana" w:cs="Verdana"/>
          <w:bCs/>
          <w:szCs w:val="20"/>
        </w:rPr>
        <w:t>a permis de mobiliser les partenaires</w:t>
      </w:r>
      <w:r w:rsidR="006F6BB2" w:rsidRPr="00564746">
        <w:rPr>
          <w:rFonts w:eastAsia="Verdana" w:cs="Verdana"/>
          <w:bCs/>
          <w:szCs w:val="20"/>
        </w:rPr>
        <w:t>,</w:t>
      </w:r>
      <w:r w:rsidRPr="00564746">
        <w:rPr>
          <w:rFonts w:eastAsia="Verdana" w:cs="Verdana"/>
          <w:bCs/>
          <w:szCs w:val="20"/>
        </w:rPr>
        <w:t xml:space="preserve"> avec Météo France et ACMAD</w:t>
      </w:r>
      <w:r w:rsidR="006F6BB2" w:rsidRPr="00564746">
        <w:rPr>
          <w:rFonts w:eastAsia="Verdana" w:cs="Verdana"/>
          <w:bCs/>
          <w:szCs w:val="20"/>
        </w:rPr>
        <w:t>,</w:t>
      </w:r>
      <w:r w:rsidRPr="00564746">
        <w:rPr>
          <w:rFonts w:eastAsia="Verdana" w:cs="Verdana"/>
          <w:bCs/>
          <w:szCs w:val="20"/>
        </w:rPr>
        <w:t xml:space="preserve"> afin de mettre en place les premières éditions de SWIOCOF et qui est devenu un évènement annuel essentiel pour la région </w:t>
      </w:r>
      <w:r w:rsidR="00917856" w:rsidRPr="00564746">
        <w:rPr>
          <w:rFonts w:eastAsia="Verdana" w:cs="Verdana"/>
          <w:bCs/>
          <w:szCs w:val="20"/>
        </w:rPr>
        <w:t>en terme</w:t>
      </w:r>
      <w:r w:rsidR="006F6BB2" w:rsidRPr="00564746">
        <w:rPr>
          <w:rFonts w:eastAsia="Verdana" w:cs="Verdana"/>
          <w:bCs/>
          <w:szCs w:val="20"/>
        </w:rPr>
        <w:t>s</w:t>
      </w:r>
      <w:r w:rsidR="00917856" w:rsidRPr="00564746">
        <w:rPr>
          <w:rFonts w:eastAsia="Verdana" w:cs="Verdana"/>
          <w:bCs/>
          <w:szCs w:val="20"/>
        </w:rPr>
        <w:t xml:space="preserve"> de </w:t>
      </w:r>
      <w:r w:rsidRPr="00564746">
        <w:rPr>
          <w:rFonts w:eastAsia="Verdana" w:cs="Verdana"/>
          <w:bCs/>
          <w:szCs w:val="20"/>
        </w:rPr>
        <w:t xml:space="preserve">prévision </w:t>
      </w:r>
      <w:proofErr w:type="gramStart"/>
      <w:r w:rsidRPr="00564746">
        <w:rPr>
          <w:rFonts w:eastAsia="Verdana" w:cs="Verdana"/>
          <w:bCs/>
          <w:szCs w:val="20"/>
        </w:rPr>
        <w:t>saisonnière</w:t>
      </w:r>
      <w:r w:rsidR="00564746">
        <w:t>;</w:t>
      </w:r>
      <w:proofErr w:type="gramEnd"/>
      <w:r w:rsidR="00564746">
        <w:t xml:space="preserve"> </w:t>
      </w:r>
    </w:p>
    <w:p w14:paraId="74A5C576" w14:textId="770BFEA7" w:rsidR="00AC3D53" w:rsidRPr="00EE0D3A" w:rsidRDefault="00AC3D53" w:rsidP="00564746">
      <w:pPr>
        <w:pStyle w:val="Paragraphedeliste"/>
        <w:numPr>
          <w:ilvl w:val="0"/>
          <w:numId w:val="17"/>
        </w:numPr>
        <w:pBdr>
          <w:top w:val="nil"/>
          <w:left w:val="nil"/>
          <w:bottom w:val="nil"/>
          <w:right w:val="nil"/>
          <w:between w:val="nil"/>
        </w:pBdr>
        <w:spacing w:before="240"/>
      </w:pPr>
      <w:r w:rsidRPr="00564746">
        <w:rPr>
          <w:rFonts w:eastAsia="Verdana" w:cs="Verdana"/>
          <w:b/>
          <w:szCs w:val="20"/>
        </w:rPr>
        <w:t>Agroécologie</w:t>
      </w:r>
      <w:r w:rsidR="006F6BB2" w:rsidRPr="00564746">
        <w:rPr>
          <w:rFonts w:eastAsia="Verdana" w:cs="Verdana"/>
          <w:b/>
          <w:szCs w:val="20"/>
        </w:rPr>
        <w:t>,</w:t>
      </w:r>
      <w:r w:rsidRPr="00564746">
        <w:rPr>
          <w:rFonts w:eastAsia="Verdana" w:cs="Verdana"/>
          <w:bCs/>
          <w:szCs w:val="20"/>
        </w:rPr>
        <w:t xml:space="preserve"> financé par le FIDA, a permis de faire le lien entre le climat, l’eau et l’agriculture et de rece</w:t>
      </w:r>
      <w:r w:rsidR="00917856" w:rsidRPr="00564746">
        <w:rPr>
          <w:rFonts w:eastAsia="Verdana" w:cs="Verdana"/>
          <w:bCs/>
          <w:szCs w:val="20"/>
        </w:rPr>
        <w:t>n</w:t>
      </w:r>
      <w:r w:rsidRPr="00564746">
        <w:rPr>
          <w:rFonts w:eastAsia="Verdana" w:cs="Verdana"/>
          <w:bCs/>
          <w:szCs w:val="20"/>
        </w:rPr>
        <w:t xml:space="preserve">ser quelques bonnes pratiques d’adaptation des petites agricultures. </w:t>
      </w:r>
    </w:p>
    <w:p w14:paraId="6939FC27" w14:textId="7FC2BB90" w:rsidR="00564746" w:rsidRDefault="00AC3D53" w:rsidP="008556B7">
      <w:pPr>
        <w:pBdr>
          <w:top w:val="nil"/>
          <w:left w:val="nil"/>
          <w:bottom w:val="nil"/>
          <w:right w:val="nil"/>
          <w:between w:val="nil"/>
        </w:pBdr>
        <w:spacing w:before="240"/>
        <w:rPr>
          <w:rFonts w:eastAsia="Verdana" w:cs="Verdana"/>
          <w:bCs/>
          <w:szCs w:val="20"/>
        </w:rPr>
      </w:pPr>
      <w:r w:rsidRPr="00DB4164">
        <w:rPr>
          <w:rFonts w:eastAsia="Verdana" w:cs="Verdana"/>
          <w:bCs/>
          <w:szCs w:val="20"/>
        </w:rPr>
        <w:t xml:space="preserve">Une nouvelle gamme des projets </w:t>
      </w:r>
      <w:r w:rsidR="00564746">
        <w:rPr>
          <w:rFonts w:eastAsia="Verdana" w:cs="Verdana"/>
          <w:bCs/>
          <w:szCs w:val="20"/>
        </w:rPr>
        <w:t>a</w:t>
      </w:r>
      <w:r w:rsidR="00564746" w:rsidRPr="00DB4164">
        <w:rPr>
          <w:rFonts w:eastAsia="Verdana" w:cs="Verdana"/>
          <w:bCs/>
          <w:szCs w:val="20"/>
        </w:rPr>
        <w:t xml:space="preserve"> </w:t>
      </w:r>
      <w:r w:rsidRPr="00DB4164">
        <w:rPr>
          <w:rFonts w:eastAsia="Verdana" w:cs="Verdana"/>
          <w:bCs/>
          <w:szCs w:val="20"/>
        </w:rPr>
        <w:t>été développé</w:t>
      </w:r>
      <w:r w:rsidR="00564746">
        <w:rPr>
          <w:rFonts w:eastAsia="Verdana" w:cs="Verdana"/>
          <w:bCs/>
          <w:szCs w:val="20"/>
        </w:rPr>
        <w:t>e</w:t>
      </w:r>
      <w:r w:rsidRPr="00DB4164">
        <w:rPr>
          <w:rFonts w:eastAsia="Verdana" w:cs="Verdana"/>
          <w:bCs/>
          <w:szCs w:val="20"/>
        </w:rPr>
        <w:t xml:space="preserve"> entre 2018 à 2020 pour poursuivre la </w:t>
      </w:r>
      <w:r w:rsidRPr="008041AB">
        <w:rPr>
          <w:rFonts w:eastAsia="Verdana" w:cs="Verdana"/>
          <w:bCs/>
          <w:szCs w:val="20"/>
        </w:rPr>
        <w:t xml:space="preserve">mise en œuvre de la stratégie. </w:t>
      </w:r>
      <w:r w:rsidR="00C01A55" w:rsidRPr="008041AB">
        <w:rPr>
          <w:rFonts w:eastAsia="Verdana" w:cs="Verdana"/>
          <w:bCs/>
          <w:szCs w:val="20"/>
        </w:rPr>
        <w:t>I</w:t>
      </w:r>
      <w:r w:rsidR="00917856" w:rsidRPr="008041AB">
        <w:rPr>
          <w:rFonts w:eastAsia="Verdana" w:cs="Verdana"/>
          <w:bCs/>
          <w:szCs w:val="20"/>
        </w:rPr>
        <w:t>l</w:t>
      </w:r>
      <w:r w:rsidR="00C01A55" w:rsidRPr="008041AB">
        <w:rPr>
          <w:rFonts w:eastAsia="Verdana" w:cs="Verdana"/>
          <w:bCs/>
          <w:szCs w:val="20"/>
        </w:rPr>
        <w:t xml:space="preserve"> s’agit de :</w:t>
      </w:r>
    </w:p>
    <w:p w14:paraId="76967D19" w14:textId="4EDA7C66" w:rsidR="00564746" w:rsidRDefault="00AC3D53" w:rsidP="00564746">
      <w:pPr>
        <w:pStyle w:val="Paragraphedeliste"/>
        <w:numPr>
          <w:ilvl w:val="0"/>
          <w:numId w:val="17"/>
        </w:numPr>
        <w:pBdr>
          <w:top w:val="nil"/>
          <w:left w:val="nil"/>
          <w:bottom w:val="nil"/>
          <w:right w:val="nil"/>
          <w:between w:val="nil"/>
        </w:pBdr>
        <w:spacing w:before="240"/>
      </w:pPr>
      <w:r w:rsidRPr="00564746">
        <w:rPr>
          <w:b/>
          <w:bCs/>
        </w:rPr>
        <w:t xml:space="preserve">BRIO </w:t>
      </w:r>
      <w:r w:rsidRPr="008041AB">
        <w:t xml:space="preserve">sous financement de la facilité </w:t>
      </w:r>
      <w:proofErr w:type="spellStart"/>
      <w:r w:rsidRPr="008041AB">
        <w:t>Adapt’Action</w:t>
      </w:r>
      <w:proofErr w:type="spellEnd"/>
      <w:r w:rsidRPr="008041AB">
        <w:t xml:space="preserve"> de l’AFD</w:t>
      </w:r>
      <w:r w:rsidR="006F6BB2">
        <w:t>,</w:t>
      </w:r>
      <w:r w:rsidRPr="008041AB">
        <w:t xml:space="preserve"> déjà clôturé. Ce </w:t>
      </w:r>
      <w:r w:rsidR="008041AB" w:rsidRPr="008041AB">
        <w:t xml:space="preserve">projet </w:t>
      </w:r>
      <w:r w:rsidRPr="008041AB">
        <w:t xml:space="preserve">a permis </w:t>
      </w:r>
      <w:proofErr w:type="gramStart"/>
      <w:r w:rsidRPr="008041AB">
        <w:t>de  former</w:t>
      </w:r>
      <w:proofErr w:type="gramEnd"/>
      <w:r w:rsidRPr="008041AB">
        <w:t xml:space="preserve"> quatre personnes dans les centres météorologi</w:t>
      </w:r>
      <w:r w:rsidR="00917856" w:rsidRPr="008041AB">
        <w:t>ques</w:t>
      </w:r>
      <w:r w:rsidRPr="008041AB">
        <w:t xml:space="preserve"> </w:t>
      </w:r>
      <w:r w:rsidR="00027AE3" w:rsidRPr="008041AB">
        <w:t>nationaux ;</w:t>
      </w:r>
      <w:r w:rsidRPr="008041AB">
        <w:t xml:space="preserve"> </w:t>
      </w:r>
      <w:r w:rsidR="00917856" w:rsidRPr="008041AB">
        <w:t>d’</w:t>
      </w:r>
      <w:r w:rsidRPr="008041AB">
        <w:t>assurer la continuité de SWIOCOF</w:t>
      </w:r>
      <w:r w:rsidR="006F6BB2">
        <w:t>,</w:t>
      </w:r>
      <w:r w:rsidR="008041AB">
        <w:t xml:space="preserve"> </w:t>
      </w:r>
      <w:r w:rsidR="008041AB" w:rsidRPr="008041AB">
        <w:t>de</w:t>
      </w:r>
      <w:r w:rsidR="008041AB">
        <w:t xml:space="preserve"> </w:t>
      </w:r>
      <w:r w:rsidR="008041AB" w:rsidRPr="008041AB">
        <w:t>décliner</w:t>
      </w:r>
      <w:r w:rsidRPr="008041AB">
        <w:t xml:space="preserve"> des modèles climatiques dédiés à la région</w:t>
      </w:r>
      <w:r w:rsidR="006F6BB2">
        <w:t>.</w:t>
      </w:r>
      <w:r w:rsidR="008556B7" w:rsidRPr="008041AB">
        <w:t xml:space="preserve"> </w:t>
      </w:r>
      <w:r>
        <w:t>L’accès aux données issu</w:t>
      </w:r>
      <w:r w:rsidR="006F6BB2">
        <w:t>e</w:t>
      </w:r>
      <w:r>
        <w:t xml:space="preserve">s des modèles climatiques mis en place au travers du projet </w:t>
      </w:r>
      <w:r w:rsidR="008041AB">
        <w:t>BRIO est</w:t>
      </w:r>
      <w:r w:rsidR="008556B7">
        <w:t xml:space="preserve"> </w:t>
      </w:r>
      <w:r>
        <w:t xml:space="preserve">rendu disponibles sur le site du </w:t>
      </w:r>
      <w:r w:rsidRPr="00DC6FD2">
        <w:t>Géoportail</w:t>
      </w:r>
      <w:r>
        <w:t>.</w:t>
      </w:r>
    </w:p>
    <w:p w14:paraId="03F8CD3A" w14:textId="5C9D2189" w:rsidR="00564746" w:rsidRDefault="00C01A55" w:rsidP="00564746">
      <w:pPr>
        <w:pStyle w:val="Paragraphedeliste"/>
        <w:numPr>
          <w:ilvl w:val="0"/>
          <w:numId w:val="17"/>
        </w:numPr>
        <w:pBdr>
          <w:top w:val="nil"/>
          <w:left w:val="nil"/>
          <w:bottom w:val="nil"/>
          <w:right w:val="nil"/>
          <w:between w:val="nil"/>
        </w:pBdr>
        <w:spacing w:before="240"/>
      </w:pPr>
      <w:r w:rsidRPr="00564746">
        <w:rPr>
          <w:b/>
          <w:bCs/>
        </w:rPr>
        <w:t>HYDROMET</w:t>
      </w:r>
      <w:r>
        <w:t xml:space="preserve"> permett</w:t>
      </w:r>
      <w:r w:rsidR="008556B7">
        <w:t>r</w:t>
      </w:r>
      <w:r>
        <w:t>a de capitaliser sur les acquis du</w:t>
      </w:r>
      <w:r w:rsidR="008556B7">
        <w:t xml:space="preserve"> projet</w:t>
      </w:r>
      <w:r w:rsidR="008041AB">
        <w:t xml:space="preserve"> </w:t>
      </w:r>
      <w:r>
        <w:t xml:space="preserve">BRIO pour améliorer la collecte et </w:t>
      </w:r>
      <w:r w:rsidR="008556B7">
        <w:t xml:space="preserve">le </w:t>
      </w:r>
      <w:r>
        <w:t xml:space="preserve">traitement des données, développer </w:t>
      </w:r>
      <w:r w:rsidR="004448CC">
        <w:t>les services climatiques</w:t>
      </w:r>
      <w:r w:rsidR="008556B7">
        <w:t xml:space="preserve"> et</w:t>
      </w:r>
      <w:r>
        <w:t xml:space="preserve"> aide</w:t>
      </w:r>
      <w:r w:rsidR="008556B7">
        <w:t>r</w:t>
      </w:r>
      <w:r>
        <w:t xml:space="preserve"> à la prise des </w:t>
      </w:r>
      <w:r w:rsidR="008041AB">
        <w:t>décisions, mettre</w:t>
      </w:r>
      <w:r w:rsidR="00027AE3">
        <w:t xml:space="preserve"> en </w:t>
      </w:r>
      <w:r w:rsidR="008041AB">
        <w:t>réseau</w:t>
      </w:r>
      <w:r w:rsidR="00027AE3">
        <w:t xml:space="preserve"> les services </w:t>
      </w:r>
      <w:r w:rsidR="008041AB">
        <w:t>météorologies</w:t>
      </w:r>
      <w:r w:rsidR="00027AE3">
        <w:t xml:space="preserve"> de la </w:t>
      </w:r>
      <w:proofErr w:type="gramStart"/>
      <w:r w:rsidR="008041AB">
        <w:t>région</w:t>
      </w:r>
      <w:r w:rsidR="00027AE3">
        <w:t xml:space="preserve"> </w:t>
      </w:r>
      <w:r w:rsidR="006F6BB2">
        <w:t>.</w:t>
      </w:r>
      <w:proofErr w:type="gramEnd"/>
    </w:p>
    <w:p w14:paraId="596675EA" w14:textId="131C7E15" w:rsidR="00564746" w:rsidRDefault="00C01A55" w:rsidP="00564746">
      <w:pPr>
        <w:pStyle w:val="Paragraphedeliste"/>
        <w:numPr>
          <w:ilvl w:val="0"/>
          <w:numId w:val="17"/>
        </w:numPr>
        <w:pBdr>
          <w:top w:val="nil"/>
          <w:left w:val="nil"/>
          <w:bottom w:val="nil"/>
          <w:right w:val="nil"/>
          <w:between w:val="nil"/>
        </w:pBdr>
        <w:spacing w:before="240"/>
      </w:pPr>
      <w:r w:rsidRPr="00564746">
        <w:rPr>
          <w:b/>
          <w:bCs/>
        </w:rPr>
        <w:t>RDRM-IO</w:t>
      </w:r>
      <w:r>
        <w:t>, projet en cours sous financement de l’</w:t>
      </w:r>
      <w:r w:rsidR="006F6BB2">
        <w:t>U</w:t>
      </w:r>
      <w:r>
        <w:t>nion européenne</w:t>
      </w:r>
      <w:r w:rsidR="00564746">
        <w:t xml:space="preserve"> ; </w:t>
      </w:r>
    </w:p>
    <w:p w14:paraId="7612AC5B" w14:textId="56DDBB70" w:rsidR="00AC3D53" w:rsidRDefault="0086308C" w:rsidP="00564746">
      <w:pPr>
        <w:pStyle w:val="Paragraphedeliste"/>
        <w:numPr>
          <w:ilvl w:val="0"/>
          <w:numId w:val="17"/>
        </w:numPr>
        <w:pBdr>
          <w:top w:val="nil"/>
          <w:left w:val="nil"/>
          <w:bottom w:val="nil"/>
          <w:right w:val="nil"/>
          <w:between w:val="nil"/>
        </w:pBdr>
        <w:spacing w:before="240"/>
      </w:pPr>
      <w:r w:rsidRPr="00564746">
        <w:rPr>
          <w:b/>
          <w:bCs/>
        </w:rPr>
        <w:t>GCCA+</w:t>
      </w:r>
      <w:r w:rsidR="00564746">
        <w:t xml:space="preserve"> sur financement de l’Union européenne à travers le programme Intra-ACP de l’OEACP qui a, entre autres, facilité la participation de négociateurs des Etats membres aux COP sur le climat, organisé des formations pour les négociateurs en partenariat avec le Commonwealth ou encore soutenu la structuration et l’organisation des réunions de l’AISCC débouchant notamment sur la feuille de route de Beau Vallon</w:t>
      </w:r>
      <w:r w:rsidR="006F6BB2">
        <w:t>.</w:t>
      </w:r>
      <w:r>
        <w:t xml:space="preserve"> </w:t>
      </w:r>
    </w:p>
    <w:p w14:paraId="3709B702" w14:textId="282A2680" w:rsidR="003A6577" w:rsidRPr="00C44FDA" w:rsidRDefault="00DB4164" w:rsidP="008C4256">
      <w:pPr>
        <w:pBdr>
          <w:top w:val="nil"/>
          <w:left w:val="nil"/>
          <w:bottom w:val="nil"/>
          <w:right w:val="nil"/>
          <w:between w:val="nil"/>
        </w:pBdr>
        <w:spacing w:before="240"/>
        <w:rPr>
          <w:rFonts w:eastAsia="Verdana" w:cs="Verdana"/>
          <w:bCs/>
          <w:szCs w:val="20"/>
        </w:rPr>
      </w:pPr>
      <w:r w:rsidRPr="009200EE">
        <w:t>Tenant compte</w:t>
      </w:r>
      <w:r w:rsidR="00AC3D53" w:rsidRPr="009200EE">
        <w:t xml:space="preserve"> </w:t>
      </w:r>
      <w:r w:rsidR="009200EE" w:rsidRPr="009200EE">
        <w:t>de</w:t>
      </w:r>
      <w:r w:rsidR="008556B7">
        <w:t>s</w:t>
      </w:r>
      <w:r w:rsidR="000672A5">
        <w:t xml:space="preserve"> dispositifs de l’</w:t>
      </w:r>
      <w:r w:rsidR="001D599A">
        <w:t>A</w:t>
      </w:r>
      <w:r w:rsidR="000672A5">
        <w:t xml:space="preserve">ccord de Paris sur le Climat ainsi que </w:t>
      </w:r>
      <w:r w:rsidR="001D599A">
        <w:t>d</w:t>
      </w:r>
      <w:r w:rsidR="000672A5">
        <w:t>es retombées des divers</w:t>
      </w:r>
      <w:r w:rsidR="001D599A">
        <w:t>es</w:t>
      </w:r>
      <w:r w:rsidR="000672A5">
        <w:t xml:space="preserve"> </w:t>
      </w:r>
      <w:r w:rsidR="001D599A">
        <w:t>« </w:t>
      </w:r>
      <w:r w:rsidR="000672A5">
        <w:t>Conf</w:t>
      </w:r>
      <w:r w:rsidR="008556B7">
        <w:t>é</w:t>
      </w:r>
      <w:r w:rsidR="000672A5">
        <w:t>rence</w:t>
      </w:r>
      <w:r w:rsidR="008556B7">
        <w:t>s</w:t>
      </w:r>
      <w:r w:rsidR="000672A5">
        <w:t xml:space="preserve"> des parties sur le Climat </w:t>
      </w:r>
      <w:r w:rsidR="004F0053">
        <w:t>»,</w:t>
      </w:r>
      <w:r w:rsidR="00AC3D53" w:rsidRPr="009200EE">
        <w:t xml:space="preserve"> il </w:t>
      </w:r>
      <w:r w:rsidR="004448CC" w:rsidRPr="009200EE">
        <w:t>est</w:t>
      </w:r>
      <w:r w:rsidR="00AC3D53" w:rsidRPr="009200EE">
        <w:t xml:space="preserve"> important pour la COI de</w:t>
      </w:r>
      <w:r w:rsidRPr="009200EE">
        <w:t xml:space="preserve"> faire une mise à jour de</w:t>
      </w:r>
      <w:r w:rsidR="00AC3D53" w:rsidRPr="009200EE">
        <w:t xml:space="preserve"> la </w:t>
      </w:r>
      <w:r w:rsidR="001D599A">
        <w:t>S</w:t>
      </w:r>
      <w:r w:rsidR="00AC3D53" w:rsidRPr="009200EE">
        <w:t xml:space="preserve">tratégie </w:t>
      </w:r>
      <w:r w:rsidR="004F0053">
        <w:t>régional</w:t>
      </w:r>
      <w:r w:rsidR="008556B7">
        <w:t>e</w:t>
      </w:r>
      <w:r w:rsidR="004F0053">
        <w:t xml:space="preserve"> d’adaptation au</w:t>
      </w:r>
      <w:r w:rsidR="00C01A55" w:rsidRPr="009200EE">
        <w:t xml:space="preserve"> changement climatique</w:t>
      </w:r>
      <w:r w:rsidR="00AC3D53" w:rsidRPr="009200EE">
        <w:t xml:space="preserve"> pour s’aligner </w:t>
      </w:r>
      <w:r w:rsidR="001D599A">
        <w:t>sur</w:t>
      </w:r>
      <w:r w:rsidR="001D599A" w:rsidRPr="009200EE">
        <w:t xml:space="preserve"> </w:t>
      </w:r>
      <w:r w:rsidR="00AC3D53" w:rsidRPr="009200EE">
        <w:t xml:space="preserve">la nouvelle réorientation </w:t>
      </w:r>
      <w:r w:rsidR="001D599A">
        <w:t>de son Plan de développement stratégique (PDS) 2023-2033</w:t>
      </w:r>
      <w:r w:rsidR="00AC3D53" w:rsidRPr="009200EE">
        <w:t xml:space="preserve">, </w:t>
      </w:r>
      <w:r w:rsidR="001D599A">
        <w:t>sur les</w:t>
      </w:r>
      <w:r w:rsidR="001D599A" w:rsidRPr="009200EE">
        <w:t xml:space="preserve"> </w:t>
      </w:r>
      <w:r w:rsidR="00AC3D53" w:rsidRPr="009200EE">
        <w:t>cadre</w:t>
      </w:r>
      <w:r w:rsidR="006124EE">
        <w:t>s</w:t>
      </w:r>
      <w:r w:rsidR="00AC3D53" w:rsidRPr="009200EE">
        <w:t xml:space="preserve"> </w:t>
      </w:r>
      <w:r w:rsidRPr="009200EE">
        <w:t>nationaux,</w:t>
      </w:r>
      <w:r w:rsidR="00AC3D53" w:rsidRPr="009200EE">
        <w:t xml:space="preserve"> internationaux et régionaux</w:t>
      </w:r>
      <w:r w:rsidR="004448CC" w:rsidRPr="009200EE">
        <w:t xml:space="preserve"> et </w:t>
      </w:r>
      <w:r w:rsidR="001D599A">
        <w:t>de</w:t>
      </w:r>
      <w:r w:rsidR="001D599A" w:rsidRPr="009200EE">
        <w:t xml:space="preserve"> </w:t>
      </w:r>
      <w:r w:rsidR="004448CC" w:rsidRPr="009200EE">
        <w:t xml:space="preserve">définir un plan d’action prioritaire. </w:t>
      </w:r>
      <w:r w:rsidRPr="009200EE">
        <w:t xml:space="preserve">La nouvelle stratégie devra porter une attention particulière </w:t>
      </w:r>
      <w:r w:rsidR="001D599A">
        <w:t>aux</w:t>
      </w:r>
      <w:r w:rsidR="004F0053">
        <w:t xml:space="preserve"> </w:t>
      </w:r>
      <w:r w:rsidR="004F0053" w:rsidRPr="009200EE">
        <w:t>mesures</w:t>
      </w:r>
      <w:r w:rsidRPr="009200EE">
        <w:t xml:space="preserve"> </w:t>
      </w:r>
      <w:r w:rsidR="008041AB" w:rsidRPr="009200EE">
        <w:t>d’atténuation en</w:t>
      </w:r>
      <w:r w:rsidR="006124EE">
        <w:t xml:space="preserve"> mettant l’accent </w:t>
      </w:r>
      <w:r w:rsidRPr="009200EE">
        <w:t xml:space="preserve">sur </w:t>
      </w:r>
      <w:r w:rsidR="009200EE" w:rsidRPr="009200EE">
        <w:t>la décarbonation</w:t>
      </w:r>
      <w:r w:rsidRPr="009200EE">
        <w:t xml:space="preserve"> des infrastructures critiques, </w:t>
      </w:r>
      <w:r w:rsidR="006124EE">
        <w:t xml:space="preserve">et du </w:t>
      </w:r>
      <w:r w:rsidRPr="009200EE">
        <w:t xml:space="preserve">transport (marine, aérienne et terrestre). </w:t>
      </w:r>
      <w:r w:rsidRPr="00C44FDA">
        <w:t xml:space="preserve">Le mandat est recherché pour la révision de la </w:t>
      </w:r>
      <w:r w:rsidR="001D599A">
        <w:t>S</w:t>
      </w:r>
      <w:r w:rsidRPr="00C44FDA">
        <w:t xml:space="preserve">tratégie changement climatique.  </w:t>
      </w:r>
    </w:p>
    <w:p w14:paraId="00000010" w14:textId="0B7AB5EF" w:rsidR="00FB0ED7" w:rsidRDefault="004877C0" w:rsidP="005C790C">
      <w:pPr>
        <w:numPr>
          <w:ilvl w:val="0"/>
          <w:numId w:val="12"/>
        </w:numPr>
        <w:pBdr>
          <w:top w:val="nil"/>
          <w:left w:val="nil"/>
          <w:bottom w:val="nil"/>
          <w:right w:val="nil"/>
          <w:between w:val="nil"/>
        </w:pBdr>
        <w:spacing w:before="240"/>
        <w:ind w:left="714" w:hanging="357"/>
        <w:rPr>
          <w:rFonts w:eastAsia="Verdana" w:cs="Verdana"/>
          <w:b/>
          <w:color w:val="0070C0"/>
          <w:szCs w:val="20"/>
        </w:rPr>
      </w:pPr>
      <w:bookmarkStart w:id="2" w:name="_Hlk163247384"/>
      <w:r>
        <w:rPr>
          <w:rFonts w:eastAsia="Verdana" w:cs="Verdana"/>
          <w:b/>
          <w:color w:val="0070C0"/>
          <w:szCs w:val="20"/>
        </w:rPr>
        <w:t>Etat d’avancement des actions de la COI dans ce domaine</w:t>
      </w:r>
    </w:p>
    <w:p w14:paraId="00000015" w14:textId="77777777" w:rsidR="00FB0ED7" w:rsidRDefault="004877C0" w:rsidP="005C790C">
      <w:pPr>
        <w:numPr>
          <w:ilvl w:val="1"/>
          <w:numId w:val="12"/>
        </w:numPr>
        <w:pBdr>
          <w:top w:val="nil"/>
          <w:left w:val="nil"/>
          <w:bottom w:val="nil"/>
          <w:right w:val="nil"/>
          <w:between w:val="nil"/>
        </w:pBdr>
        <w:rPr>
          <w:rFonts w:eastAsia="Verdana" w:cs="Verdana"/>
          <w:color w:val="0070C0"/>
          <w:szCs w:val="20"/>
        </w:rPr>
      </w:pPr>
      <w:bookmarkStart w:id="3" w:name="_heading=h.30j0zll" w:colFirst="0" w:colLast="0"/>
      <w:bookmarkEnd w:id="2"/>
      <w:bookmarkEnd w:id="3"/>
      <w:r>
        <w:rPr>
          <w:rFonts w:eastAsia="Verdana" w:cs="Verdana"/>
          <w:color w:val="0070C0"/>
          <w:szCs w:val="20"/>
        </w:rPr>
        <w:t>Alliance mondiale pour le changement climatique (AMCC +)</w:t>
      </w:r>
    </w:p>
    <w:p w14:paraId="00000016" w14:textId="0CDA979D" w:rsidR="00FB0ED7" w:rsidRDefault="004877C0">
      <w:r>
        <w:lastRenderedPageBreak/>
        <w:t>Ce projet est une subvention obtenue à travers le programme de l’Alliance mondiale pour le climat porté par l’OEACP sur financement de l’Union européenne. Ce projet vise le renforcement des capacités pour les négociations climatiques et le suivi de la mise en œuvre des engagements, dont les contributions nationales déterminées, à travers des formations et des ateliers nationaux et régionaux et un appui à la participation des pays à la COP sur le climat.</w:t>
      </w:r>
      <w:r w:rsidR="00550C5A">
        <w:t xml:space="preserve"> </w:t>
      </w:r>
      <w:r w:rsidR="00C85A23">
        <w:t>L</w:t>
      </w:r>
      <w:r w:rsidR="00550C5A">
        <w:t>e contrat de subvention est sign</w:t>
      </w:r>
      <w:r w:rsidR="0086308C">
        <w:t>é</w:t>
      </w:r>
      <w:r w:rsidR="00550C5A">
        <w:t xml:space="preserve"> en </w:t>
      </w:r>
      <w:r w:rsidR="00036FED">
        <w:t>décembre</w:t>
      </w:r>
      <w:r w:rsidR="00550C5A">
        <w:t xml:space="preserve"> 2019 pour un démarrage effectif en janvier 2020</w:t>
      </w:r>
      <w:r w:rsidR="00036FED">
        <w:t xml:space="preserve"> mais </w:t>
      </w:r>
      <w:r w:rsidR="004448CC">
        <w:t>son démarrage a</w:t>
      </w:r>
      <w:r w:rsidR="00036FED">
        <w:t xml:space="preserve"> été interrompu </w:t>
      </w:r>
      <w:r w:rsidR="0086308C">
        <w:t xml:space="preserve">pendant deux ans </w:t>
      </w:r>
      <w:r w:rsidR="00036FED">
        <w:t>par la pandémie ce qui a retard</w:t>
      </w:r>
      <w:r w:rsidR="006124EE">
        <w:t>é</w:t>
      </w:r>
      <w:r w:rsidR="00280E4A">
        <w:t xml:space="preserve"> </w:t>
      </w:r>
      <w:r w:rsidR="00036FED">
        <w:t>sa mise en œuvre effecti</w:t>
      </w:r>
      <w:r w:rsidR="006124EE">
        <w:t>ve</w:t>
      </w:r>
      <w:r w:rsidR="00036FED">
        <w:t xml:space="preserve">. </w:t>
      </w:r>
      <w:r w:rsidR="0086308C">
        <w:t>Le dernier comité de pilotage</w:t>
      </w:r>
      <w:r w:rsidR="001D599A">
        <w:t xml:space="preserve">, lequel marque également la fin de période de mise en œuvre, </w:t>
      </w:r>
      <w:r w:rsidR="0086308C">
        <w:t xml:space="preserve">a eu lieu en décembre </w:t>
      </w:r>
      <w:proofErr w:type="gramStart"/>
      <w:r w:rsidR="0086308C">
        <w:t>2023</w:t>
      </w:r>
      <w:r w:rsidR="006124EE">
        <w:t>,</w:t>
      </w:r>
      <w:r w:rsidR="0086308C">
        <w:t>.</w:t>
      </w:r>
      <w:proofErr w:type="gramEnd"/>
      <w:r w:rsidR="0086308C">
        <w:t xml:space="preserve"> Le projet est actuellement en phase de clôture</w:t>
      </w:r>
      <w:r w:rsidR="000672A5">
        <w:t xml:space="preserve">. </w:t>
      </w:r>
      <w:r w:rsidR="0086308C">
        <w:t xml:space="preserve"> </w:t>
      </w:r>
    </w:p>
    <w:p w14:paraId="0000001A" w14:textId="77777777" w:rsidR="00FB0ED7" w:rsidRDefault="004877C0" w:rsidP="005C790C">
      <w:pPr>
        <w:numPr>
          <w:ilvl w:val="1"/>
          <w:numId w:val="12"/>
        </w:numPr>
        <w:pBdr>
          <w:top w:val="nil"/>
          <w:left w:val="nil"/>
          <w:bottom w:val="nil"/>
          <w:right w:val="nil"/>
          <w:between w:val="nil"/>
        </w:pBdr>
        <w:rPr>
          <w:rFonts w:eastAsia="Verdana" w:cs="Verdana"/>
          <w:color w:val="0070C0"/>
          <w:szCs w:val="20"/>
        </w:rPr>
      </w:pPr>
      <w:r>
        <w:rPr>
          <w:rFonts w:eastAsia="Verdana" w:cs="Verdana"/>
          <w:color w:val="0070C0"/>
          <w:szCs w:val="20"/>
        </w:rPr>
        <w:t>HYDROMET</w:t>
      </w:r>
    </w:p>
    <w:p w14:paraId="0000001B" w14:textId="7D486E7F" w:rsidR="00FB0ED7" w:rsidRDefault="004877C0">
      <w:r>
        <w:t xml:space="preserve">Les Conventions de financement entre la COI et l’AFD ont été signées en 2021. Ce projet multi-bailleurs avec les contributions des Etats membres bénéficiaires (financements GCF, AFD, EU) </w:t>
      </w:r>
      <w:r w:rsidR="00816CCB">
        <w:t>a réuni</w:t>
      </w:r>
      <w:r>
        <w:t xml:space="preserve"> toutes les conditions demandées par le Fonds Vert pour le Climat</w:t>
      </w:r>
      <w:r w:rsidR="00280E4A">
        <w:t xml:space="preserve"> en octobre 2022 et </w:t>
      </w:r>
      <w:r w:rsidR="0086308C">
        <w:t>le premier versement du financement a été effectué durant l</w:t>
      </w:r>
      <w:r w:rsidR="006124EE">
        <w:t>e</w:t>
      </w:r>
      <w:r w:rsidR="0086308C">
        <w:t xml:space="preserve"> premi</w:t>
      </w:r>
      <w:r w:rsidR="006124EE">
        <w:t>e</w:t>
      </w:r>
      <w:r w:rsidR="0086308C">
        <w:t>r trimestre de 2023</w:t>
      </w:r>
      <w:r w:rsidR="006124EE">
        <w:t>,</w:t>
      </w:r>
      <w:r w:rsidR="00035C9B">
        <w:t xml:space="preserve"> ce qui a  permis au Secretariat général d'initie</w:t>
      </w:r>
      <w:r w:rsidR="006124EE">
        <w:t>r</w:t>
      </w:r>
      <w:r w:rsidR="00035C9B">
        <w:t xml:space="preserve"> certaines activités, tel</w:t>
      </w:r>
      <w:r w:rsidR="001D599A">
        <w:t>le</w:t>
      </w:r>
      <w:r w:rsidR="006124EE">
        <w:t>s</w:t>
      </w:r>
      <w:r w:rsidR="00035C9B">
        <w:t xml:space="preserve"> que l’organisation d</w:t>
      </w:r>
      <w:r w:rsidR="006124EE">
        <w:t>e</w:t>
      </w:r>
      <w:r w:rsidR="00035C9B">
        <w:t xml:space="preserve"> </w:t>
      </w:r>
      <w:r w:rsidR="006124EE">
        <w:t xml:space="preserve">la </w:t>
      </w:r>
      <w:r w:rsidR="00035C9B">
        <w:t>12</w:t>
      </w:r>
      <w:r w:rsidR="001D599A">
        <w:t>è</w:t>
      </w:r>
      <w:r w:rsidR="00035C9B">
        <w:t xml:space="preserve">me édition du SWIOCOF, </w:t>
      </w:r>
      <w:r w:rsidR="001D599A">
        <w:t xml:space="preserve">de </w:t>
      </w:r>
      <w:r w:rsidR="003D30B7">
        <w:t>soutenir la participation des représentant</w:t>
      </w:r>
      <w:r w:rsidR="006124EE">
        <w:t>s</w:t>
      </w:r>
      <w:r w:rsidR="003D30B7">
        <w:t xml:space="preserve"> des pays </w:t>
      </w:r>
      <w:r w:rsidR="004448CC">
        <w:t>à</w:t>
      </w:r>
      <w:r w:rsidR="003D30B7">
        <w:t xml:space="preserve"> quelques </w:t>
      </w:r>
      <w:r w:rsidR="004448CC">
        <w:t xml:space="preserve">évènements tel que le forum du projet CLIMSA aux </w:t>
      </w:r>
      <w:r w:rsidR="00871F2C">
        <w:t>Seychelles</w:t>
      </w:r>
      <w:r w:rsidR="004448CC">
        <w:t xml:space="preserve"> </w:t>
      </w:r>
      <w:r w:rsidR="00871F2C">
        <w:t xml:space="preserve">en septembre 2023 </w:t>
      </w:r>
      <w:r w:rsidR="004448CC">
        <w:t xml:space="preserve">ainsi que la COP 28 à </w:t>
      </w:r>
      <w:r w:rsidR="00871F2C">
        <w:t>Dubaï</w:t>
      </w:r>
      <w:r w:rsidR="004448CC">
        <w:t xml:space="preserve"> </w:t>
      </w:r>
      <w:r w:rsidR="00871F2C">
        <w:t>en novembre 2023 </w:t>
      </w:r>
      <w:r w:rsidR="001D599A">
        <w:t xml:space="preserve">ou encore </w:t>
      </w:r>
      <w:r w:rsidR="00871F2C">
        <w:t xml:space="preserve">la tenue du </w:t>
      </w:r>
      <w:r w:rsidR="00035C9B">
        <w:t xml:space="preserve"> premier comité de pilotage </w:t>
      </w:r>
      <w:r w:rsidR="00871F2C">
        <w:t xml:space="preserve">à Maurice </w:t>
      </w:r>
      <w:r w:rsidR="00035C9B">
        <w:t>et les achats des matériels pour l</w:t>
      </w:r>
      <w:r w:rsidR="00871F2C">
        <w:t xml:space="preserve">e fonctionnement de l’unité de gestion du projet. </w:t>
      </w:r>
      <w:r w:rsidR="00035C9B">
        <w:t xml:space="preserve"> </w:t>
      </w:r>
      <w:r w:rsidR="0086308C">
        <w:t xml:space="preserve"> </w:t>
      </w:r>
    </w:p>
    <w:p w14:paraId="0D1CD168" w14:textId="007AE7FD" w:rsidR="0040612F" w:rsidRDefault="001874FA" w:rsidP="0040612F">
      <w:r>
        <w:t>Les échanges avec les pays pour le recrutement des coordinateurs nationaux</w:t>
      </w:r>
      <w:r w:rsidR="001D599A">
        <w:t>,</w:t>
      </w:r>
      <w:r>
        <w:t xml:space="preserve"> qui seront basé</w:t>
      </w:r>
      <w:r w:rsidR="006124EE">
        <w:t>s</w:t>
      </w:r>
      <w:r>
        <w:t xml:space="preserve"> dans les services</w:t>
      </w:r>
      <w:r w:rsidR="006124EE">
        <w:t xml:space="preserve"> nationaux</w:t>
      </w:r>
      <w:r>
        <w:t xml:space="preserve"> de la </w:t>
      </w:r>
      <w:r w:rsidR="00D550E3">
        <w:t>météorologie,</w:t>
      </w:r>
      <w:r>
        <w:t xml:space="preserve"> se poursui</w:t>
      </w:r>
      <w:r w:rsidR="006124EE">
        <w:t>v</w:t>
      </w:r>
      <w:r>
        <w:t>e</w:t>
      </w:r>
      <w:r w:rsidR="006124EE">
        <w:t>nt</w:t>
      </w:r>
      <w:r>
        <w:t xml:space="preserve"> et le déploiement est </w:t>
      </w:r>
      <w:r w:rsidR="00D550E3">
        <w:t>envisagé au</w:t>
      </w:r>
      <w:r w:rsidR="006124EE">
        <w:t xml:space="preserve"> </w:t>
      </w:r>
      <w:r>
        <w:t>début d</w:t>
      </w:r>
      <w:r w:rsidR="006124EE">
        <w:t>u</w:t>
      </w:r>
      <w:r>
        <w:t xml:space="preserve"> 2</w:t>
      </w:r>
      <w:r w:rsidR="001D599A">
        <w:t>è</w:t>
      </w:r>
      <w:r>
        <w:t>me semestre de 2024. Entretemps</w:t>
      </w:r>
      <w:r w:rsidR="00462F13">
        <w:t>,</w:t>
      </w:r>
      <w:r>
        <w:t xml:space="preserve"> </w:t>
      </w:r>
      <w:r w:rsidR="00871F2C">
        <w:t>l’équipe de l</w:t>
      </w:r>
      <w:r w:rsidR="00F301B2">
        <w:t>’assistance technique</w:t>
      </w:r>
      <w:r w:rsidR="001C6AF4">
        <w:t xml:space="preserve"> </w:t>
      </w:r>
      <w:r w:rsidR="00A42433">
        <w:t xml:space="preserve">est </w:t>
      </w:r>
      <w:r w:rsidR="00EE0D3A">
        <w:t>installée</w:t>
      </w:r>
      <w:r w:rsidR="00A73C2B">
        <w:t xml:space="preserve"> au siège de la COI à Ebène. Les </w:t>
      </w:r>
      <w:r w:rsidR="00871F2C">
        <w:t>missions de terrain sont en cours et devront s’achever en mai</w:t>
      </w:r>
      <w:r w:rsidR="00AB2CA4">
        <w:t>, ce</w:t>
      </w:r>
      <w:r w:rsidR="00871F2C">
        <w:t xml:space="preserve"> qui coïncidera avec la visite du Chef de projet de l</w:t>
      </w:r>
      <w:r w:rsidR="00AB2CA4">
        <w:t>’</w:t>
      </w:r>
      <w:r w:rsidR="00871F2C">
        <w:t>AFD à Maurice</w:t>
      </w:r>
      <w:r w:rsidR="00EF5AEB">
        <w:t xml:space="preserve"> en</w:t>
      </w:r>
      <w:r w:rsidR="00AB2CA4">
        <w:t xml:space="preserve"> pleine</w:t>
      </w:r>
      <w:r w:rsidR="00EF5AEB">
        <w:t xml:space="preserve"> préparation pour le 2</w:t>
      </w:r>
      <w:r w:rsidR="001D599A">
        <w:t>è</w:t>
      </w:r>
      <w:r w:rsidR="00EF5AEB">
        <w:t xml:space="preserve">me Comité de Pilotage </w:t>
      </w:r>
      <w:r w:rsidR="00A3497D">
        <w:t xml:space="preserve">dont la tenue est </w:t>
      </w:r>
      <w:r w:rsidR="00EF5AEB">
        <w:t>proposé</w:t>
      </w:r>
      <w:r w:rsidR="00A3497D">
        <w:t>e</w:t>
      </w:r>
      <w:r w:rsidR="00EF5AEB">
        <w:t xml:space="preserve"> à Madagascar en juin</w:t>
      </w:r>
      <w:r w:rsidR="00A3497D">
        <w:t xml:space="preserve"> 2024</w:t>
      </w:r>
      <w:r w:rsidR="00EF5AEB">
        <w:t xml:space="preserve">. </w:t>
      </w:r>
      <w:r w:rsidR="00564746">
        <w:t>C</w:t>
      </w:r>
      <w:r w:rsidR="00871F2C">
        <w:t>es missions devront permettre d</w:t>
      </w:r>
      <w:r w:rsidR="006710BD">
        <w:t xml:space="preserve">e préciser les besoins </w:t>
      </w:r>
      <w:r>
        <w:t xml:space="preserve">en équipement </w:t>
      </w:r>
      <w:r w:rsidR="006710BD">
        <w:t>des pays</w:t>
      </w:r>
      <w:r w:rsidR="00EF5AEB">
        <w:t xml:space="preserve"> et aligner l</w:t>
      </w:r>
      <w:r w:rsidR="00D829C3">
        <w:t>e</w:t>
      </w:r>
      <w:r w:rsidR="00EF5AEB">
        <w:t>s activités pour le</w:t>
      </w:r>
      <w:r w:rsidR="00AB2CA4">
        <w:t>s</w:t>
      </w:r>
      <w:r w:rsidR="00EF5AEB">
        <w:t xml:space="preserve"> </w:t>
      </w:r>
      <w:r w:rsidR="00A3497D">
        <w:t xml:space="preserve">18 </w:t>
      </w:r>
      <w:r w:rsidR="00EF5AEB">
        <w:t>prochain</w:t>
      </w:r>
      <w:r w:rsidR="00AB2CA4">
        <w:t>s</w:t>
      </w:r>
      <w:r w:rsidR="00EF5AEB">
        <w:t xml:space="preserve"> mois</w:t>
      </w:r>
      <w:r w:rsidR="006710BD">
        <w:t xml:space="preserve">. </w:t>
      </w:r>
      <w:r w:rsidR="00D829C3">
        <w:t>Il est rappel</w:t>
      </w:r>
      <w:r w:rsidR="00564746">
        <w:t>é</w:t>
      </w:r>
      <w:r w:rsidR="00D829C3">
        <w:t xml:space="preserve"> que </w:t>
      </w:r>
      <w:r w:rsidR="00A52724">
        <w:t>le déploiement</w:t>
      </w:r>
      <w:r w:rsidR="0040612F">
        <w:t xml:space="preserve"> et l'installation de</w:t>
      </w:r>
      <w:r w:rsidR="00A52724">
        <w:t>s équipement</w:t>
      </w:r>
      <w:r w:rsidR="00AB2CA4">
        <w:t>s</w:t>
      </w:r>
      <w:r w:rsidR="00A52724">
        <w:t xml:space="preserve"> sont prévus pour 2025. </w:t>
      </w:r>
      <w:r w:rsidR="000672A5">
        <w:t>Entretemps</w:t>
      </w:r>
      <w:r w:rsidR="00AB2CA4">
        <w:t>,</w:t>
      </w:r>
      <w:r w:rsidR="000672A5">
        <w:t xml:space="preserve"> </w:t>
      </w:r>
      <w:r w:rsidR="00A52724">
        <w:t xml:space="preserve">les pays devront se préparer pour assurer le dédouanement et </w:t>
      </w:r>
      <w:r w:rsidR="00A3497D">
        <w:t xml:space="preserve">la </w:t>
      </w:r>
      <w:r w:rsidR="00A52724">
        <w:t>détaxe des</w:t>
      </w:r>
      <w:r w:rsidR="00A3497D">
        <w:t>dits</w:t>
      </w:r>
      <w:r w:rsidR="0040612F">
        <w:t xml:space="preserve"> </w:t>
      </w:r>
      <w:r w:rsidR="000672A5">
        <w:t>équipements.</w:t>
      </w:r>
      <w:r w:rsidR="00A52724">
        <w:t xml:space="preserve"> Il est aussi question de la construction</w:t>
      </w:r>
      <w:r w:rsidR="00A3497D">
        <w:t>,</w:t>
      </w:r>
      <w:r w:rsidR="00A52724">
        <w:t xml:space="preserve"> </w:t>
      </w:r>
      <w:r w:rsidR="00A3497D">
        <w:t xml:space="preserve">entre autres, </w:t>
      </w:r>
      <w:r w:rsidR="00A52724">
        <w:t>d’une</w:t>
      </w:r>
      <w:r w:rsidR="0040612F">
        <w:t xml:space="preserve"> plateforme pour l'installation du radar</w:t>
      </w:r>
      <w:r w:rsidR="00A52724">
        <w:t>.</w:t>
      </w:r>
      <w:r w:rsidR="0040612F">
        <w:t xml:space="preserve"> Étant donné que des travaux seront nécessaires, les pays seront appelés à veiller au respect de</w:t>
      </w:r>
      <w:r w:rsidR="00A3497D">
        <w:t xml:space="preserve"> leur</w:t>
      </w:r>
      <w:r w:rsidR="0040612F">
        <w:t xml:space="preserve">s normes environnementales et sociales </w:t>
      </w:r>
      <w:r w:rsidR="00A3497D">
        <w:t>propres</w:t>
      </w:r>
      <w:r w:rsidR="0040612F">
        <w:t xml:space="preserve">. </w:t>
      </w:r>
    </w:p>
    <w:p w14:paraId="0F33BF9A" w14:textId="0622979A" w:rsidR="00A42433" w:rsidRDefault="00FD532B" w:rsidP="00A42433">
      <w:r>
        <w:t xml:space="preserve">Les échanges et </w:t>
      </w:r>
      <w:r w:rsidR="00A3497D">
        <w:t xml:space="preserve">la </w:t>
      </w:r>
      <w:r>
        <w:t>coordination avec les partenaires techniques continuent</w:t>
      </w:r>
      <w:r w:rsidR="006A3778">
        <w:t xml:space="preserve">, notamment </w:t>
      </w:r>
      <w:r>
        <w:t>l’Organisation mondial</w:t>
      </w:r>
      <w:r w:rsidR="00AB2CA4">
        <w:t>e</w:t>
      </w:r>
      <w:r>
        <w:t xml:space="preserve"> de la météorologie (OMM) pour la mise en </w:t>
      </w:r>
      <w:r w:rsidR="00D550E3">
        <w:t>place d’un</w:t>
      </w:r>
      <w:r w:rsidR="00AB2CA4">
        <w:t xml:space="preserve"> </w:t>
      </w:r>
      <w:r w:rsidR="006A3778">
        <w:t>réseau régional des Centres météorologi</w:t>
      </w:r>
      <w:r w:rsidR="00A3497D">
        <w:t>qu</w:t>
      </w:r>
      <w:r w:rsidR="006A3778">
        <w:t>e</w:t>
      </w:r>
      <w:r w:rsidR="00A3497D">
        <w:t>s</w:t>
      </w:r>
      <w:r w:rsidR="006A3778">
        <w:t xml:space="preserve"> nationaux pour le </w:t>
      </w:r>
      <w:r w:rsidR="001874FA">
        <w:t>climat,</w:t>
      </w:r>
      <w:r>
        <w:t xml:space="preserve"> dit RCC de l’océan Indien. </w:t>
      </w:r>
      <w:r w:rsidR="001874FA">
        <w:t xml:space="preserve">Le forum </w:t>
      </w:r>
      <w:r w:rsidR="00D550E3">
        <w:t>de prévision</w:t>
      </w:r>
      <w:r w:rsidR="001874FA">
        <w:t xml:space="preserve"> saisonnière (SWIOCOF), qui est un évènement annuel, se tiendra en septembre avec le soutien de l’OMM et Météo-France Réunion.</w:t>
      </w:r>
      <w:r w:rsidR="00A42433" w:rsidRPr="00A42433">
        <w:t xml:space="preserve"> </w:t>
      </w:r>
      <w:r w:rsidR="00A42433">
        <w:t>Le projet collabore également avec le projet CLIMSA de l’OEACP</w:t>
      </w:r>
      <w:r w:rsidR="000672A5">
        <w:t xml:space="preserve"> donc une</w:t>
      </w:r>
      <w:r w:rsidR="00A42433">
        <w:t xml:space="preserve"> étude « </w:t>
      </w:r>
      <w:proofErr w:type="spellStart"/>
      <w:r w:rsidR="00A42433">
        <w:t>Result</w:t>
      </w:r>
      <w:proofErr w:type="spellEnd"/>
      <w:r w:rsidR="00A42433">
        <w:t xml:space="preserve"> </w:t>
      </w:r>
      <w:proofErr w:type="spellStart"/>
      <w:r w:rsidR="00A42433">
        <w:t>Oriented</w:t>
      </w:r>
      <w:proofErr w:type="spellEnd"/>
      <w:r w:rsidR="00A42433">
        <w:t xml:space="preserve"> Monitoring » (ROM)est en cours et la COI et ses Etats membres seront consult</w:t>
      </w:r>
      <w:r w:rsidR="00AB2CA4">
        <w:t>és</w:t>
      </w:r>
      <w:r w:rsidR="00A42433">
        <w:t xml:space="preserve">. </w:t>
      </w:r>
    </w:p>
    <w:p w14:paraId="6E2755A0" w14:textId="6951AE81" w:rsidR="009200EE" w:rsidRDefault="000672A5" w:rsidP="00FD532B">
      <w:r>
        <w:t xml:space="preserve">Avec </w:t>
      </w:r>
      <w:r w:rsidR="001D3FF5">
        <w:t>l’installation</w:t>
      </w:r>
      <w:r>
        <w:t xml:space="preserve"> de l’</w:t>
      </w:r>
      <w:r w:rsidR="001D3FF5">
        <w:t>équipe</w:t>
      </w:r>
      <w:r>
        <w:t xml:space="preserve"> </w:t>
      </w:r>
      <w:r w:rsidR="001D3FF5">
        <w:t>technique,</w:t>
      </w:r>
      <w:r>
        <w:t xml:space="preserve"> nous espérons pouvoir avancer</w:t>
      </w:r>
      <w:r w:rsidR="001D3FF5">
        <w:t xml:space="preserve"> un peu plus </w:t>
      </w:r>
      <w:r w:rsidR="00D550E3">
        <w:t>rapidement sur</w:t>
      </w:r>
      <w:r>
        <w:t xml:space="preserve"> les activités bien que nous sommes </w:t>
      </w:r>
      <w:r w:rsidR="001D3FF5">
        <w:t>conscient</w:t>
      </w:r>
      <w:r w:rsidR="00AB2CA4">
        <w:t>s</w:t>
      </w:r>
      <w:r>
        <w:t xml:space="preserve"> que les défis </w:t>
      </w:r>
      <w:r w:rsidR="001D3FF5">
        <w:t xml:space="preserve">sont énormes. </w:t>
      </w:r>
    </w:p>
    <w:p w14:paraId="397D1C94" w14:textId="77777777" w:rsidR="001D3FF5" w:rsidRDefault="001D3FF5" w:rsidP="00FD532B"/>
    <w:p w14:paraId="00000027" w14:textId="77777777" w:rsidR="00FB0ED7" w:rsidRDefault="004877C0" w:rsidP="005C790C">
      <w:pPr>
        <w:numPr>
          <w:ilvl w:val="1"/>
          <w:numId w:val="12"/>
        </w:numPr>
        <w:pBdr>
          <w:top w:val="nil"/>
          <w:left w:val="nil"/>
          <w:bottom w:val="nil"/>
          <w:right w:val="nil"/>
          <w:between w:val="nil"/>
        </w:pBdr>
        <w:rPr>
          <w:rFonts w:eastAsia="Verdana" w:cs="Verdana"/>
          <w:color w:val="0070C0"/>
          <w:szCs w:val="20"/>
        </w:rPr>
      </w:pPr>
      <w:r>
        <w:rPr>
          <w:rFonts w:eastAsia="Verdana" w:cs="Verdana"/>
          <w:color w:val="0070C0"/>
          <w:szCs w:val="20"/>
        </w:rPr>
        <w:t>Projet RDRM - IO</w:t>
      </w:r>
    </w:p>
    <w:p w14:paraId="28C1C135" w14:textId="1590A447" w:rsidR="002F37F1" w:rsidRDefault="004877C0">
      <w:r>
        <w:t xml:space="preserve">Le projet de renforcement de la résilience et </w:t>
      </w:r>
      <w:r w:rsidR="00AB2CA4">
        <w:t>gestion de</w:t>
      </w:r>
      <w:r>
        <w:t xml:space="preserve"> la réponse </w:t>
      </w:r>
      <w:r w:rsidR="00340078">
        <w:t>aux catastrophes</w:t>
      </w:r>
      <w:r>
        <w:t xml:space="preserve"> (RDRM-IO) dont la Convention de financement a été signée entre la COI et l’Union européenne en </w:t>
      </w:r>
      <w:r>
        <w:lastRenderedPageBreak/>
        <w:t xml:space="preserve">décembre </w:t>
      </w:r>
      <w:r w:rsidRPr="00D86B5B">
        <w:t>2020</w:t>
      </w:r>
      <w:r>
        <w:t xml:space="preserve"> est en cours. Ce projet vise le renforcement des capacités des </w:t>
      </w:r>
      <w:sdt>
        <w:sdtPr>
          <w:tag w:val="goog_rdk_0"/>
          <w:id w:val="743218638"/>
        </w:sdtPr>
        <w:sdtEndPr/>
        <w:sdtContent>
          <w:r>
            <w:t>institutions</w:t>
          </w:r>
        </w:sdtContent>
      </w:sdt>
      <w:r w:rsidR="00EE0D3A">
        <w:t xml:space="preserve"> </w:t>
      </w:r>
      <w:r>
        <w:t xml:space="preserve">des Etats membres de la COI en matière </w:t>
      </w:r>
      <w:r w:rsidR="00340078">
        <w:t>de réduction</w:t>
      </w:r>
      <w:r>
        <w:t>, gestion et réponse</w:t>
      </w:r>
      <w:sdt>
        <w:sdtPr>
          <w:tag w:val="goog_rdk_2"/>
          <w:id w:val="377598500"/>
        </w:sdtPr>
        <w:sdtEndPr/>
        <w:sdtContent>
          <w:r w:rsidR="00A3497D">
            <w:t xml:space="preserve"> </w:t>
          </w:r>
        </w:sdtContent>
      </w:sdt>
      <w:r>
        <w:t xml:space="preserve">aux catastrophes. </w:t>
      </w:r>
      <w:r w:rsidR="00A52724">
        <w:t>Pour rappel</w:t>
      </w:r>
      <w:r w:rsidR="00AB2CA4">
        <w:t>,</w:t>
      </w:r>
      <w:r>
        <w:t xml:space="preserve"> </w:t>
      </w:r>
      <w:r w:rsidR="00A52724">
        <w:t xml:space="preserve">le </w:t>
      </w:r>
      <w:r>
        <w:t xml:space="preserve">Secrétariat travaille en étroite collaboration avec le bureau des Nations </w:t>
      </w:r>
      <w:sdt>
        <w:sdtPr>
          <w:tag w:val="goog_rdk_3"/>
          <w:id w:val="2121180531"/>
        </w:sdtPr>
        <w:sdtEndPr/>
        <w:sdtContent>
          <w:r>
            <w:t>Unies</w:t>
          </w:r>
          <w:r w:rsidR="0076679A">
            <w:t xml:space="preserve"> </w:t>
          </w:r>
        </w:sdtContent>
      </w:sdt>
      <w:r>
        <w:t xml:space="preserve">pour la réduction des risques de catastrophes (UNDRR), la Plateforme d’intervention régionale de l’océan Indien (PIROI) et la délégation de l’Union européenne à Maurice. </w:t>
      </w:r>
      <w:r w:rsidR="00BB11B4">
        <w:t>Le Secr</w:t>
      </w:r>
      <w:r w:rsidR="00A3497D">
        <w:t>é</w:t>
      </w:r>
      <w:r w:rsidR="00BB11B4">
        <w:t xml:space="preserve">tariat bénéficie également d’un appui du spécialiste en RRC de REDR-Australie qui sera en poste </w:t>
      </w:r>
      <w:r w:rsidR="00A3497D">
        <w:t xml:space="preserve">jusqu’en </w:t>
      </w:r>
      <w:r w:rsidR="00BB11B4">
        <w:t xml:space="preserve">juin 2024. </w:t>
      </w:r>
    </w:p>
    <w:p w14:paraId="441BAF89" w14:textId="3FEBDCFE" w:rsidR="001310F9" w:rsidRDefault="00975BF6" w:rsidP="00975BF6">
      <w:r w:rsidRPr="00975BF6">
        <w:rPr>
          <w:rFonts w:ascii="Segoe UI" w:hAnsi="Segoe UI" w:cs="Segoe UI"/>
          <w:color w:val="0D0D0D"/>
          <w:shd w:val="clear" w:color="auto" w:fill="FFFFFF"/>
        </w:rPr>
        <w:t xml:space="preserve"> </w:t>
      </w:r>
      <w:r w:rsidRPr="00975BF6">
        <w:t>Les activités de ce projet progressent favorablement et entrent dans une phase opérationnelle stable</w:t>
      </w:r>
      <w:r>
        <w:t>.</w:t>
      </w:r>
      <w:r w:rsidR="001D3FF5">
        <w:t xml:space="preserve"> L</w:t>
      </w:r>
      <w:r w:rsidR="00D17D1D">
        <w:t>e</w:t>
      </w:r>
      <w:r w:rsidR="001D3FF5">
        <w:t xml:space="preserve"> mécanisme pour le déploiement</w:t>
      </w:r>
      <w:r w:rsidR="00D17D1D">
        <w:t xml:space="preserve"> </w:t>
      </w:r>
      <w:r w:rsidR="002E43BC">
        <w:t xml:space="preserve">sur une base pilote </w:t>
      </w:r>
      <w:r>
        <w:t>d’</w:t>
      </w:r>
      <w:r w:rsidR="002E43BC">
        <w:t>un fond</w:t>
      </w:r>
      <w:r w:rsidR="00EC512E">
        <w:t>s</w:t>
      </w:r>
      <w:r w:rsidR="002E43BC">
        <w:t xml:space="preserve"> d’urgence </w:t>
      </w:r>
      <w:r w:rsidR="00BB11B4">
        <w:t>« </w:t>
      </w:r>
      <w:proofErr w:type="spellStart"/>
      <w:r w:rsidR="00BB11B4">
        <w:t>crisis</w:t>
      </w:r>
      <w:proofErr w:type="spellEnd"/>
      <w:r w:rsidR="00BB11B4">
        <w:t xml:space="preserve"> modifier » </w:t>
      </w:r>
      <w:r w:rsidR="002E43BC">
        <w:t xml:space="preserve">pour aider les </w:t>
      </w:r>
      <w:r w:rsidR="00EC512E">
        <w:t xml:space="preserve">Etats </w:t>
      </w:r>
      <w:r w:rsidR="002E43BC">
        <w:t>en cas de catastrophe</w:t>
      </w:r>
      <w:r w:rsidR="001D3FF5">
        <w:t xml:space="preserve"> est en cours de finalisation. Le « </w:t>
      </w:r>
      <w:proofErr w:type="spellStart"/>
      <w:r w:rsidR="001D3FF5">
        <w:t>crisis</w:t>
      </w:r>
      <w:proofErr w:type="spellEnd"/>
      <w:r w:rsidR="001D3FF5">
        <w:t xml:space="preserve"> modifier » proposé par la COI prévoit un soutien</w:t>
      </w:r>
      <w:r>
        <w:t xml:space="preserve"> technique et </w:t>
      </w:r>
      <w:r w:rsidRPr="008041AB">
        <w:t>financier</w:t>
      </w:r>
      <w:r w:rsidR="001D3FF5" w:rsidRPr="008041AB">
        <w:t xml:space="preserve"> aux </w:t>
      </w:r>
      <w:r w:rsidR="00EC512E">
        <w:t>E</w:t>
      </w:r>
      <w:r w:rsidR="00EC512E" w:rsidRPr="008041AB">
        <w:t xml:space="preserve">tats </w:t>
      </w:r>
      <w:r w:rsidRPr="008041AB">
        <w:t>pour accélérer la réponse et contribuer à modifier favorablement le cours d’une crise</w:t>
      </w:r>
      <w:r w:rsidR="00340078" w:rsidRPr="008041AB">
        <w:t>.</w:t>
      </w:r>
      <w:r w:rsidR="001D3FF5" w:rsidRPr="008041AB">
        <w:t xml:space="preserve"> A noter que dans l</w:t>
      </w:r>
      <w:r w:rsidR="005A7F6E" w:rsidRPr="008041AB">
        <w:t xml:space="preserve">a Subvention de la PIROI sous ce projet, un </w:t>
      </w:r>
      <w:proofErr w:type="spellStart"/>
      <w:r w:rsidR="005A7F6E" w:rsidRPr="00564746">
        <w:rPr>
          <w:i/>
          <w:iCs/>
        </w:rPr>
        <w:t>crisis</w:t>
      </w:r>
      <w:proofErr w:type="spellEnd"/>
      <w:r w:rsidR="005A7F6E" w:rsidRPr="00564746">
        <w:rPr>
          <w:i/>
          <w:iCs/>
        </w:rPr>
        <w:t xml:space="preserve"> modifier</w:t>
      </w:r>
      <w:r w:rsidR="00C02548" w:rsidRPr="008041AB">
        <w:t xml:space="preserve"> </w:t>
      </w:r>
      <w:proofErr w:type="gramStart"/>
      <w:r w:rsidR="00C02548" w:rsidRPr="008041AB">
        <w:t>axé</w:t>
      </w:r>
      <w:proofErr w:type="gramEnd"/>
      <w:r w:rsidR="00C02548" w:rsidRPr="008041AB">
        <w:t xml:space="preserve"> sur l’aide humanitaire</w:t>
      </w:r>
      <w:r w:rsidR="005A7F6E" w:rsidRPr="008041AB">
        <w:t xml:space="preserve"> est</w:t>
      </w:r>
      <w:r w:rsidR="00C02548" w:rsidRPr="008041AB">
        <w:t xml:space="preserve"> également</w:t>
      </w:r>
      <w:r w:rsidR="005A7F6E" w:rsidRPr="008041AB">
        <w:t xml:space="preserve"> actif et la PIROI a déclenché ce mécanisme </w:t>
      </w:r>
      <w:r w:rsidR="00EC512E">
        <w:t>à</w:t>
      </w:r>
      <w:r w:rsidR="00EC512E" w:rsidRPr="008041AB">
        <w:t xml:space="preserve"> </w:t>
      </w:r>
      <w:r w:rsidR="005A7F6E" w:rsidRPr="008041AB">
        <w:t xml:space="preserve">plusieurs reprises pour soutenir les communautés </w:t>
      </w:r>
      <w:r w:rsidR="00EC512E">
        <w:t>à</w:t>
      </w:r>
      <w:r w:rsidR="00EC512E" w:rsidRPr="008041AB">
        <w:t xml:space="preserve"> </w:t>
      </w:r>
      <w:r w:rsidR="005A7F6E" w:rsidRPr="008041AB">
        <w:t xml:space="preserve">Maurice en 2022, Madagascar </w:t>
      </w:r>
      <w:r w:rsidR="00EC512E">
        <w:t xml:space="preserve">en </w:t>
      </w:r>
      <w:r w:rsidR="005A7F6E" w:rsidRPr="008041AB">
        <w:t xml:space="preserve">2022 et 2023, </w:t>
      </w:r>
      <w:r w:rsidR="00EC512E">
        <w:t xml:space="preserve">aux </w:t>
      </w:r>
      <w:r w:rsidR="005A7F6E" w:rsidRPr="008041AB">
        <w:t>Comores e</w:t>
      </w:r>
      <w:r w:rsidR="00C02548" w:rsidRPr="008041AB">
        <w:t>n</w:t>
      </w:r>
      <w:r w:rsidR="005A7F6E" w:rsidRPr="008041AB">
        <w:t xml:space="preserve"> 2023 et </w:t>
      </w:r>
      <w:r w:rsidR="00EC512E">
        <w:t>aux</w:t>
      </w:r>
      <w:r w:rsidR="00564746">
        <w:t xml:space="preserve"> </w:t>
      </w:r>
      <w:r w:rsidR="005A7F6E" w:rsidRPr="008041AB">
        <w:t>Seychelles en décembre 2023.</w:t>
      </w:r>
      <w:r w:rsidR="001D3FF5">
        <w:t xml:space="preserve"> L</w:t>
      </w:r>
      <w:r w:rsidR="00C02548">
        <w:t xml:space="preserve">e processus </w:t>
      </w:r>
      <w:r w:rsidR="00340078">
        <w:t>d’acquisition</w:t>
      </w:r>
      <w:r w:rsidR="00D17D1D">
        <w:t xml:space="preserve"> des matériels et équipement</w:t>
      </w:r>
      <w:r w:rsidR="00C02548">
        <w:t>s</w:t>
      </w:r>
      <w:r w:rsidR="00D17D1D">
        <w:t xml:space="preserve"> pour </w:t>
      </w:r>
      <w:r w:rsidR="00A42433">
        <w:t>les centres</w:t>
      </w:r>
      <w:r w:rsidR="00D17D1D">
        <w:t xml:space="preserve"> de gestion et réponse aux catastrophes</w:t>
      </w:r>
      <w:r w:rsidR="001D3FF5">
        <w:t xml:space="preserve"> progresse bien. Le diagnostic a été mené par UNDRR dans le cadre de sa subvention sur ce projet. </w:t>
      </w:r>
      <w:r w:rsidR="00340078">
        <w:t>La publication des dossiers d’appel d’offre est prévue en</w:t>
      </w:r>
      <w:r w:rsidR="001D3FF5">
        <w:t xml:space="preserve"> début </w:t>
      </w:r>
      <w:r w:rsidR="00EC512E">
        <w:t xml:space="preserve">de </w:t>
      </w:r>
      <w:r w:rsidR="00340078">
        <w:t>deuxième semestre</w:t>
      </w:r>
      <w:r w:rsidR="001D3FF5">
        <w:t xml:space="preserve"> pour assurer le déploiement en 2025. </w:t>
      </w:r>
      <w:r w:rsidR="00340078">
        <w:t>L</w:t>
      </w:r>
      <w:r w:rsidR="00A42433">
        <w:t>es formations des agents et visites d’échange entre paire</w:t>
      </w:r>
      <w:r w:rsidR="00C02548">
        <w:t>s</w:t>
      </w:r>
      <w:r w:rsidR="00A42433">
        <w:t xml:space="preserve"> orienté</w:t>
      </w:r>
      <w:r w:rsidR="00EC512E">
        <w:t>e</w:t>
      </w:r>
      <w:r w:rsidR="00A42433">
        <w:t>s sur les besoins exprimés par les pays</w:t>
      </w:r>
      <w:r w:rsidR="005A7F6E">
        <w:t xml:space="preserve"> sont en cours. Une visite d’échange aux caraïbes est en perspective pour le début du mois de juin avec le soutien de UNDRR</w:t>
      </w:r>
      <w:r w:rsidR="00A42433">
        <w:t xml:space="preserve">. </w:t>
      </w:r>
      <w:r w:rsidR="005D2187">
        <w:t xml:space="preserve">La réflexion sur la mise en place d’un mécanisme de coordination régionale pour la réduction des risques de </w:t>
      </w:r>
      <w:r w:rsidR="00591BB9">
        <w:t>catastrophes (RRC)</w:t>
      </w:r>
      <w:r w:rsidR="005D2187">
        <w:t xml:space="preserve"> </w:t>
      </w:r>
      <w:r w:rsidR="002E43BC">
        <w:t xml:space="preserve">continue. Une rencontre de cette plateforme est prévue en marge du </w:t>
      </w:r>
      <w:r w:rsidR="00EC512E">
        <w:t>C</w:t>
      </w:r>
      <w:r w:rsidR="002E43BC">
        <w:t>omité de pilotage du projet qui se tiendra aux Seychelles en début du mois de mai</w:t>
      </w:r>
      <w:r w:rsidR="00EE0D3A">
        <w:t>.</w:t>
      </w:r>
      <w:r w:rsidR="002E43BC">
        <w:t xml:space="preserve"> </w:t>
      </w:r>
    </w:p>
    <w:p w14:paraId="61C26FAD" w14:textId="09BD4762" w:rsidR="00FE34E9" w:rsidRPr="00E033DE" w:rsidRDefault="005E693A" w:rsidP="00FE34E9">
      <w:r>
        <w:t>D’autre part, pour</w:t>
      </w:r>
      <w:r w:rsidR="00FE34E9">
        <w:t xml:space="preserve"> appuyer d’avantage des activités sur la réduction des risques de catastrophes de la COI, </w:t>
      </w:r>
      <w:r w:rsidR="00EC512E">
        <w:t>il est rappelé qu’</w:t>
      </w:r>
      <w:r w:rsidR="00FE34E9">
        <w:t>un expert a été déployé au sein de la COI dans le cadre du partenariat COI -REDR Australia pour une période de six mois</w:t>
      </w:r>
      <w:r w:rsidR="007172FE">
        <w:t>, jusqu’à juin 2024</w:t>
      </w:r>
      <w:r w:rsidR="00FE34E9">
        <w:t xml:space="preserve">. Durant </w:t>
      </w:r>
      <w:r w:rsidR="007172FE">
        <w:t xml:space="preserve">cette courte période de mise à disposition, l’expert </w:t>
      </w:r>
      <w:r w:rsidR="00FE34E9">
        <w:t>appui</w:t>
      </w:r>
      <w:r w:rsidR="00EC512E">
        <w:t>e</w:t>
      </w:r>
      <w:r w:rsidR="00FE34E9">
        <w:t xml:space="preserve"> </w:t>
      </w:r>
      <w:r w:rsidR="007172FE">
        <w:t>le</w:t>
      </w:r>
      <w:r w:rsidR="00FE34E9">
        <w:t xml:space="preserve"> </w:t>
      </w:r>
      <w:r w:rsidR="00EC512E">
        <w:t>S</w:t>
      </w:r>
      <w:r w:rsidR="00FE34E9">
        <w:t xml:space="preserve">ecrétariat général </w:t>
      </w:r>
      <w:r w:rsidR="007172FE">
        <w:t xml:space="preserve">sur le </w:t>
      </w:r>
      <w:r w:rsidR="00EC512E">
        <w:t xml:space="preserve">renforcement de </w:t>
      </w:r>
      <w:r w:rsidR="00FE34E9">
        <w:t>la coopération régionale dans le domaine de</w:t>
      </w:r>
      <w:r w:rsidR="00EC512E">
        <w:t xml:space="preserve"> la</w:t>
      </w:r>
      <w:r w:rsidR="00FE34E9">
        <w:t xml:space="preserve"> RRC</w:t>
      </w:r>
      <w:r w:rsidR="00EC512E">
        <w:t>,</w:t>
      </w:r>
      <w:r w:rsidR="00FE34E9">
        <w:t xml:space="preserve"> sur la question de résilience urbain face aux risques des catastrophes et un appui au projet RDRM-IO sur la question de « Crisis Modifier ». </w:t>
      </w:r>
      <w:r w:rsidR="007172FE">
        <w:t xml:space="preserve">Les termes du </w:t>
      </w:r>
      <w:r w:rsidR="00EC512E">
        <w:t>Mémorandum d’entente (</w:t>
      </w:r>
      <w:proofErr w:type="spellStart"/>
      <w:r w:rsidR="007172FE">
        <w:t>MoU</w:t>
      </w:r>
      <w:proofErr w:type="spellEnd"/>
      <w:r w:rsidR="00EC512E">
        <w:t>)</w:t>
      </w:r>
      <w:r w:rsidR="007172FE">
        <w:t xml:space="preserve"> permet à la </w:t>
      </w:r>
      <w:r w:rsidR="00EC512E">
        <w:t xml:space="preserve">COI </w:t>
      </w:r>
      <w:r w:rsidR="007172FE">
        <w:t>de demander un renouvellement de ce poste et cela devra faire l’objet d’un échange avec REDR-Australia. Vu l’importance de la thématique</w:t>
      </w:r>
      <w:r w:rsidR="00EC512E">
        <w:t>,</w:t>
      </w:r>
      <w:r w:rsidR="007172FE">
        <w:t xml:space="preserve"> il est souhaitable de se rapprocher de REDR-Australia pour demander un </w:t>
      </w:r>
      <w:r>
        <w:t>renouvellement de</w:t>
      </w:r>
      <w:r w:rsidR="007172FE">
        <w:t xml:space="preserve"> ce poste.  Si le poste est </w:t>
      </w:r>
      <w:r>
        <w:t>reconduit, le Secretariat</w:t>
      </w:r>
      <w:r w:rsidR="00FE34E9">
        <w:t xml:space="preserve"> général </w:t>
      </w:r>
      <w:r>
        <w:t xml:space="preserve">pourra </w:t>
      </w:r>
      <w:r w:rsidR="00EC512E">
        <w:t>s’</w:t>
      </w:r>
      <w:r>
        <w:t>appuyer sur</w:t>
      </w:r>
      <w:r w:rsidR="00FE34E9">
        <w:t xml:space="preserve"> </w:t>
      </w:r>
      <w:r>
        <w:t>cette expertise</w:t>
      </w:r>
      <w:r w:rsidR="00FE34E9">
        <w:t xml:space="preserve"> </w:t>
      </w:r>
      <w:r>
        <w:t>pour consolider</w:t>
      </w:r>
      <w:r w:rsidR="00FE34E9">
        <w:t xml:space="preserve"> son plan d’action </w:t>
      </w:r>
      <w:r>
        <w:t>intégré</w:t>
      </w:r>
      <w:r w:rsidR="00FE34E9">
        <w:t xml:space="preserve"> DDR </w:t>
      </w:r>
      <w:r>
        <w:t xml:space="preserve">sous l’axe 1 du PDS 2023-2033. </w:t>
      </w:r>
    </w:p>
    <w:p w14:paraId="374B80DF" w14:textId="5FAB7339" w:rsidR="00FE34E9" w:rsidRDefault="00FE34E9" w:rsidP="00FE34E9">
      <w:r w:rsidRPr="00C44FDA">
        <w:t xml:space="preserve">Les échanges sont </w:t>
      </w:r>
      <w:r w:rsidR="005E693A" w:rsidRPr="00C44FDA">
        <w:t xml:space="preserve">aussi </w:t>
      </w:r>
      <w:r w:rsidRPr="00C44FDA">
        <w:t xml:space="preserve">en cours avec la Fédération Internationale </w:t>
      </w:r>
      <w:r w:rsidR="00EC512E">
        <w:t xml:space="preserve">des sociétés </w:t>
      </w:r>
      <w:r w:rsidRPr="00C44FDA">
        <w:t xml:space="preserve">de la Croix rouge et </w:t>
      </w:r>
      <w:r w:rsidR="00EC512E">
        <w:t xml:space="preserve">du </w:t>
      </w:r>
      <w:r w:rsidRPr="00C44FDA">
        <w:t xml:space="preserve">Croissant rouge </w:t>
      </w:r>
      <w:r w:rsidR="00EC512E">
        <w:t xml:space="preserve">(FICR) </w:t>
      </w:r>
      <w:r w:rsidRPr="00C44FDA">
        <w:t>sur la faisabilité d’un partenariat entre les deux instituions dans le domaine de la réduction des risques de catastrophe</w:t>
      </w:r>
      <w:r w:rsidR="00EC512E">
        <w:t>s</w:t>
      </w:r>
      <w:r w:rsidRPr="00C44FDA">
        <w:t>.</w:t>
      </w:r>
      <w:r w:rsidR="005E693A">
        <w:t xml:space="preserve"> U</w:t>
      </w:r>
      <w:r>
        <w:t>ne collaboration avec la Fédération internationale de la croix rouge et croissant rouge est envisagée notamment sur la question des cadres légaux et règlementaires sur la Gestion des risques de catastrophe</w:t>
      </w:r>
      <w:r w:rsidR="00EC512E">
        <w:t>s</w:t>
      </w:r>
      <w:r>
        <w:t xml:space="preserve">. Un intérêt est exprimé pour concrétiser cette collaboration à travers un </w:t>
      </w:r>
      <w:proofErr w:type="spellStart"/>
      <w:r>
        <w:t>MoU</w:t>
      </w:r>
      <w:proofErr w:type="spellEnd"/>
      <w:r>
        <w:t>. Dans un premier temps</w:t>
      </w:r>
      <w:r w:rsidR="00EC512E">
        <w:t>,</w:t>
      </w:r>
      <w:r>
        <w:t xml:space="preserve"> des activités de sensibilisation sur les questions juridiques relatives à la gestion des risques de catastrophes </w:t>
      </w:r>
      <w:r w:rsidR="00EC512E">
        <w:t xml:space="preserve">sont </w:t>
      </w:r>
      <w:r>
        <w:t>envisagé</w:t>
      </w:r>
      <w:r w:rsidR="00EC512E">
        <w:t>es</w:t>
      </w:r>
      <w:r>
        <w:t xml:space="preserve">. </w:t>
      </w:r>
      <w:r w:rsidRPr="007C7B22">
        <w:t xml:space="preserve">De plus, le FICR s'est </w:t>
      </w:r>
      <w:r>
        <w:t>montré disponible</w:t>
      </w:r>
      <w:r w:rsidRPr="007C7B22">
        <w:t xml:space="preserve"> à soutenir les pays désireux d'établir</w:t>
      </w:r>
      <w:r>
        <w:t xml:space="preserve"> ou de mettre à jour des</w:t>
      </w:r>
      <w:r w:rsidRPr="007C7B22">
        <w:t xml:space="preserve"> réglementations dans ce domaine.</w:t>
      </w:r>
      <w:r>
        <w:t xml:space="preserve">  (Annexe :</w:t>
      </w:r>
      <w:r w:rsidR="009340FB">
        <w:t>1</w:t>
      </w:r>
      <w:r>
        <w:t xml:space="preserve"> projet d’</w:t>
      </w:r>
      <w:proofErr w:type="spellStart"/>
      <w:r>
        <w:t>MoU</w:t>
      </w:r>
      <w:proofErr w:type="spellEnd"/>
      <w:r>
        <w:t>)</w:t>
      </w:r>
    </w:p>
    <w:p w14:paraId="4D93229A" w14:textId="77777777" w:rsidR="00FE34E9" w:rsidRDefault="00FE34E9" w:rsidP="00975BF6"/>
    <w:p w14:paraId="1FA0C7FC" w14:textId="234BC94C" w:rsidR="0076679A" w:rsidRDefault="0076679A" w:rsidP="005C790C">
      <w:pPr>
        <w:numPr>
          <w:ilvl w:val="1"/>
          <w:numId w:val="12"/>
        </w:numPr>
        <w:pBdr>
          <w:top w:val="nil"/>
          <w:left w:val="nil"/>
          <w:bottom w:val="nil"/>
          <w:right w:val="nil"/>
          <w:between w:val="nil"/>
        </w:pBdr>
        <w:rPr>
          <w:rFonts w:eastAsia="Verdana" w:cs="Verdana"/>
          <w:color w:val="0070C0"/>
          <w:szCs w:val="20"/>
        </w:rPr>
      </w:pPr>
      <w:r>
        <w:rPr>
          <w:rFonts w:eastAsia="Verdana" w:cs="Verdana"/>
          <w:color w:val="0070C0"/>
          <w:szCs w:val="20"/>
        </w:rPr>
        <w:lastRenderedPageBreak/>
        <w:t xml:space="preserve">Programme GMES et Afrique </w:t>
      </w:r>
    </w:p>
    <w:p w14:paraId="186E9A62" w14:textId="4F7032F7" w:rsidR="0076679A" w:rsidRDefault="0076679A" w:rsidP="0076679A">
      <w:pPr>
        <w:pStyle w:val="Paragraphedeliste"/>
        <w:numPr>
          <w:ilvl w:val="0"/>
          <w:numId w:val="0"/>
        </w:numPr>
        <w:rPr>
          <w:szCs w:val="20"/>
        </w:rPr>
      </w:pPr>
      <w:r w:rsidRPr="0076679A">
        <w:rPr>
          <w:szCs w:val="20"/>
        </w:rPr>
        <w:t>Le Programme GMES &amp; Africa est un programme sous l’égide de l’Union africaine</w:t>
      </w:r>
      <w:r w:rsidR="00312671">
        <w:rPr>
          <w:szCs w:val="20"/>
        </w:rPr>
        <w:t>,</w:t>
      </w:r>
      <w:r w:rsidRPr="0076679A">
        <w:rPr>
          <w:szCs w:val="20"/>
        </w:rPr>
        <w:t xml:space="preserve"> sur</w:t>
      </w:r>
      <w:r w:rsidRPr="0076679A">
        <w:rPr>
          <w:spacing w:val="1"/>
          <w:szCs w:val="20"/>
        </w:rPr>
        <w:t xml:space="preserve"> </w:t>
      </w:r>
      <w:r w:rsidRPr="0076679A">
        <w:rPr>
          <w:szCs w:val="20"/>
        </w:rPr>
        <w:t xml:space="preserve">financement de l’Union européenne, </w:t>
      </w:r>
      <w:r w:rsidR="00312671">
        <w:rPr>
          <w:szCs w:val="20"/>
        </w:rPr>
        <w:t>visant</w:t>
      </w:r>
      <w:r w:rsidRPr="0076679A">
        <w:rPr>
          <w:szCs w:val="20"/>
        </w:rPr>
        <w:t xml:space="preserve"> à améliorer les capacités africaines à faire face</w:t>
      </w:r>
      <w:r w:rsidRPr="0076679A">
        <w:rPr>
          <w:spacing w:val="1"/>
          <w:szCs w:val="20"/>
        </w:rPr>
        <w:t xml:space="preserve"> </w:t>
      </w:r>
      <w:r w:rsidRPr="0076679A">
        <w:rPr>
          <w:szCs w:val="20"/>
        </w:rPr>
        <w:t>aux contraintes climatiques et socio-économiques croissantes sur ses ressources naturelles</w:t>
      </w:r>
      <w:r w:rsidRPr="0076679A">
        <w:rPr>
          <w:spacing w:val="1"/>
          <w:szCs w:val="20"/>
        </w:rPr>
        <w:t xml:space="preserve"> </w:t>
      </w:r>
      <w:r w:rsidRPr="0076679A">
        <w:rPr>
          <w:szCs w:val="20"/>
        </w:rPr>
        <w:t>et ayant un impact sur les moyens de subsistance de la population. Ainsi</w:t>
      </w:r>
      <w:r w:rsidR="00312671">
        <w:rPr>
          <w:szCs w:val="20"/>
        </w:rPr>
        <w:t>,</w:t>
      </w:r>
      <w:r w:rsidRPr="0076679A">
        <w:rPr>
          <w:szCs w:val="20"/>
        </w:rPr>
        <w:t xml:space="preserve"> le programme met</w:t>
      </w:r>
      <w:r w:rsidRPr="0076679A">
        <w:rPr>
          <w:spacing w:val="-68"/>
          <w:szCs w:val="20"/>
        </w:rPr>
        <w:t xml:space="preserve"> </w:t>
      </w:r>
      <w:r w:rsidRPr="0076679A">
        <w:rPr>
          <w:szCs w:val="20"/>
        </w:rPr>
        <w:t>l’accent</w:t>
      </w:r>
      <w:r w:rsidRPr="0076679A">
        <w:rPr>
          <w:spacing w:val="1"/>
          <w:szCs w:val="20"/>
        </w:rPr>
        <w:t xml:space="preserve"> </w:t>
      </w:r>
      <w:r w:rsidRPr="0076679A">
        <w:rPr>
          <w:szCs w:val="20"/>
        </w:rPr>
        <w:t>sur</w:t>
      </w:r>
      <w:r w:rsidRPr="0076679A">
        <w:rPr>
          <w:spacing w:val="1"/>
          <w:szCs w:val="20"/>
        </w:rPr>
        <w:t xml:space="preserve"> </w:t>
      </w:r>
      <w:r w:rsidRPr="0076679A">
        <w:rPr>
          <w:szCs w:val="20"/>
        </w:rPr>
        <w:t>le</w:t>
      </w:r>
      <w:r w:rsidRPr="0076679A">
        <w:rPr>
          <w:spacing w:val="1"/>
          <w:szCs w:val="20"/>
        </w:rPr>
        <w:t xml:space="preserve"> </w:t>
      </w:r>
      <w:r w:rsidRPr="0076679A">
        <w:rPr>
          <w:szCs w:val="20"/>
        </w:rPr>
        <w:t>développement</w:t>
      </w:r>
      <w:r w:rsidRPr="0076679A">
        <w:rPr>
          <w:spacing w:val="1"/>
          <w:szCs w:val="20"/>
        </w:rPr>
        <w:t xml:space="preserve"> </w:t>
      </w:r>
      <w:r w:rsidRPr="0076679A">
        <w:rPr>
          <w:szCs w:val="20"/>
        </w:rPr>
        <w:t>des</w:t>
      </w:r>
      <w:r w:rsidRPr="0076679A">
        <w:rPr>
          <w:spacing w:val="1"/>
          <w:szCs w:val="20"/>
        </w:rPr>
        <w:t xml:space="preserve"> </w:t>
      </w:r>
      <w:r w:rsidRPr="0076679A">
        <w:rPr>
          <w:szCs w:val="20"/>
        </w:rPr>
        <w:t>capacités</w:t>
      </w:r>
      <w:r w:rsidRPr="0076679A">
        <w:rPr>
          <w:spacing w:val="1"/>
          <w:szCs w:val="20"/>
        </w:rPr>
        <w:t xml:space="preserve"> </w:t>
      </w:r>
      <w:r w:rsidRPr="0076679A">
        <w:rPr>
          <w:szCs w:val="20"/>
        </w:rPr>
        <w:t>locales,</w:t>
      </w:r>
      <w:r w:rsidRPr="0076679A">
        <w:rPr>
          <w:spacing w:val="1"/>
          <w:szCs w:val="20"/>
        </w:rPr>
        <w:t xml:space="preserve"> </w:t>
      </w:r>
      <w:r w:rsidRPr="0076679A">
        <w:rPr>
          <w:szCs w:val="20"/>
        </w:rPr>
        <w:t>des</w:t>
      </w:r>
      <w:r w:rsidRPr="0076679A">
        <w:rPr>
          <w:spacing w:val="1"/>
          <w:szCs w:val="20"/>
        </w:rPr>
        <w:t xml:space="preserve"> </w:t>
      </w:r>
      <w:r w:rsidRPr="0076679A">
        <w:rPr>
          <w:szCs w:val="20"/>
        </w:rPr>
        <w:t>ressources</w:t>
      </w:r>
      <w:r w:rsidRPr="0076679A">
        <w:rPr>
          <w:spacing w:val="1"/>
          <w:szCs w:val="20"/>
        </w:rPr>
        <w:t xml:space="preserve"> </w:t>
      </w:r>
      <w:r w:rsidRPr="0076679A">
        <w:rPr>
          <w:szCs w:val="20"/>
        </w:rPr>
        <w:t>institutionnelles,</w:t>
      </w:r>
      <w:r w:rsidRPr="0076679A">
        <w:rPr>
          <w:spacing w:val="1"/>
          <w:szCs w:val="20"/>
        </w:rPr>
        <w:t xml:space="preserve"> </w:t>
      </w:r>
      <w:r w:rsidRPr="0076679A">
        <w:rPr>
          <w:szCs w:val="20"/>
        </w:rPr>
        <w:t>humaines et techniques pour l'accès et l'exploitation des services d'observation de la terre</w:t>
      </w:r>
      <w:r w:rsidRPr="0076679A">
        <w:rPr>
          <w:spacing w:val="1"/>
          <w:szCs w:val="20"/>
        </w:rPr>
        <w:t xml:space="preserve"> </w:t>
      </w:r>
      <w:r w:rsidRPr="0076679A">
        <w:rPr>
          <w:szCs w:val="20"/>
        </w:rPr>
        <w:t>(OT)</w:t>
      </w:r>
      <w:r w:rsidRPr="0076679A">
        <w:rPr>
          <w:spacing w:val="-5"/>
          <w:szCs w:val="20"/>
        </w:rPr>
        <w:t xml:space="preserve"> </w:t>
      </w:r>
      <w:r w:rsidRPr="0076679A">
        <w:rPr>
          <w:szCs w:val="20"/>
        </w:rPr>
        <w:t>sur</w:t>
      </w:r>
      <w:r w:rsidRPr="0076679A">
        <w:rPr>
          <w:spacing w:val="-6"/>
          <w:szCs w:val="20"/>
        </w:rPr>
        <w:t xml:space="preserve"> </w:t>
      </w:r>
      <w:r w:rsidRPr="0076679A">
        <w:rPr>
          <w:szCs w:val="20"/>
        </w:rPr>
        <w:t>une</w:t>
      </w:r>
      <w:r w:rsidRPr="0076679A">
        <w:rPr>
          <w:spacing w:val="-9"/>
          <w:szCs w:val="20"/>
        </w:rPr>
        <w:t xml:space="preserve"> </w:t>
      </w:r>
      <w:r w:rsidRPr="0076679A">
        <w:rPr>
          <w:szCs w:val="20"/>
        </w:rPr>
        <w:t>base</w:t>
      </w:r>
      <w:r w:rsidRPr="0076679A">
        <w:rPr>
          <w:spacing w:val="-8"/>
          <w:szCs w:val="20"/>
        </w:rPr>
        <w:t xml:space="preserve"> </w:t>
      </w:r>
      <w:r w:rsidRPr="0076679A">
        <w:rPr>
          <w:szCs w:val="20"/>
        </w:rPr>
        <w:t>opérationnelle</w:t>
      </w:r>
      <w:r w:rsidRPr="0076679A">
        <w:rPr>
          <w:spacing w:val="-9"/>
          <w:szCs w:val="20"/>
        </w:rPr>
        <w:t xml:space="preserve"> </w:t>
      </w:r>
      <w:r w:rsidRPr="0076679A">
        <w:rPr>
          <w:szCs w:val="20"/>
        </w:rPr>
        <w:t>pour</w:t>
      </w:r>
      <w:r w:rsidRPr="0076679A">
        <w:rPr>
          <w:spacing w:val="-7"/>
          <w:szCs w:val="20"/>
        </w:rPr>
        <w:t xml:space="preserve"> </w:t>
      </w:r>
      <w:r w:rsidRPr="0076679A">
        <w:rPr>
          <w:szCs w:val="20"/>
        </w:rPr>
        <w:t>le</w:t>
      </w:r>
      <w:r w:rsidRPr="0076679A">
        <w:rPr>
          <w:spacing w:val="-7"/>
          <w:szCs w:val="20"/>
        </w:rPr>
        <w:t xml:space="preserve"> </w:t>
      </w:r>
      <w:r w:rsidRPr="0076679A">
        <w:rPr>
          <w:szCs w:val="20"/>
        </w:rPr>
        <w:t>développement</w:t>
      </w:r>
      <w:r w:rsidRPr="0076679A">
        <w:rPr>
          <w:spacing w:val="-7"/>
          <w:szCs w:val="20"/>
        </w:rPr>
        <w:t xml:space="preserve"> </w:t>
      </w:r>
      <w:r w:rsidRPr="0076679A">
        <w:rPr>
          <w:szCs w:val="20"/>
        </w:rPr>
        <w:t>durable</w:t>
      </w:r>
      <w:r w:rsidRPr="0076679A">
        <w:rPr>
          <w:spacing w:val="-6"/>
          <w:szCs w:val="20"/>
        </w:rPr>
        <w:t xml:space="preserve"> </w:t>
      </w:r>
      <w:r w:rsidRPr="0076679A">
        <w:rPr>
          <w:szCs w:val="20"/>
        </w:rPr>
        <w:t>en</w:t>
      </w:r>
      <w:r w:rsidRPr="0076679A">
        <w:rPr>
          <w:spacing w:val="-5"/>
          <w:szCs w:val="20"/>
        </w:rPr>
        <w:t xml:space="preserve"> </w:t>
      </w:r>
      <w:r w:rsidRPr="0076679A">
        <w:rPr>
          <w:szCs w:val="20"/>
        </w:rPr>
        <w:t xml:space="preserve">Afrique. </w:t>
      </w:r>
    </w:p>
    <w:p w14:paraId="6AB4D126" w14:textId="77777777" w:rsidR="0076679A" w:rsidRPr="0076679A" w:rsidRDefault="0076679A" w:rsidP="0076679A">
      <w:pPr>
        <w:pStyle w:val="Paragraphedeliste"/>
        <w:numPr>
          <w:ilvl w:val="0"/>
          <w:numId w:val="0"/>
        </w:numPr>
        <w:rPr>
          <w:szCs w:val="20"/>
        </w:rPr>
      </w:pPr>
    </w:p>
    <w:p w14:paraId="6A0FFAA3" w14:textId="59EB5835" w:rsidR="00E924B7" w:rsidRDefault="00E924B7" w:rsidP="0076679A">
      <w:pPr>
        <w:pStyle w:val="Paragraphedeliste"/>
        <w:numPr>
          <w:ilvl w:val="0"/>
          <w:numId w:val="0"/>
        </w:numPr>
        <w:rPr>
          <w:szCs w:val="20"/>
        </w:rPr>
      </w:pPr>
      <w:r>
        <w:rPr>
          <w:szCs w:val="20"/>
        </w:rPr>
        <w:t xml:space="preserve">Pour assurer </w:t>
      </w:r>
      <w:r w:rsidR="00240A76">
        <w:rPr>
          <w:szCs w:val="20"/>
        </w:rPr>
        <w:t>que les Etats de la COI bénéficient de ce projet, le Secr</w:t>
      </w:r>
      <w:r w:rsidR="00312671">
        <w:rPr>
          <w:szCs w:val="20"/>
        </w:rPr>
        <w:t>é</w:t>
      </w:r>
      <w:r w:rsidR="00240A76">
        <w:rPr>
          <w:szCs w:val="20"/>
        </w:rPr>
        <w:t>tariat général travaille en étroite collaboration avec l’Union Africain</w:t>
      </w:r>
      <w:r w:rsidR="007C7B22">
        <w:rPr>
          <w:szCs w:val="20"/>
        </w:rPr>
        <w:t>e</w:t>
      </w:r>
      <w:r w:rsidR="00240A76">
        <w:rPr>
          <w:szCs w:val="20"/>
        </w:rPr>
        <w:t xml:space="preserve"> et les entités bénéficiaires de subvention de </w:t>
      </w:r>
      <w:r w:rsidR="00340078">
        <w:rPr>
          <w:szCs w:val="20"/>
        </w:rPr>
        <w:t>l’UA</w:t>
      </w:r>
      <w:r w:rsidR="00240A76">
        <w:rPr>
          <w:szCs w:val="20"/>
        </w:rPr>
        <w:t xml:space="preserve"> (RCMRD, ICPAC et CSIR). </w:t>
      </w:r>
      <w:r w:rsidR="005944A0">
        <w:rPr>
          <w:szCs w:val="20"/>
        </w:rPr>
        <w:t>Les activités impliquant</w:t>
      </w:r>
      <w:r w:rsidR="0076679A">
        <w:rPr>
          <w:szCs w:val="20"/>
        </w:rPr>
        <w:t xml:space="preserve"> les Etats membre</w:t>
      </w:r>
      <w:r w:rsidR="00312671">
        <w:rPr>
          <w:szCs w:val="20"/>
        </w:rPr>
        <w:t>s</w:t>
      </w:r>
      <w:r w:rsidR="0076679A">
        <w:rPr>
          <w:szCs w:val="20"/>
        </w:rPr>
        <w:t xml:space="preserve"> de la COI sont mise</w:t>
      </w:r>
      <w:r w:rsidR="007C7B22">
        <w:rPr>
          <w:szCs w:val="20"/>
        </w:rPr>
        <w:t>s</w:t>
      </w:r>
      <w:r w:rsidR="0076679A">
        <w:rPr>
          <w:szCs w:val="20"/>
        </w:rPr>
        <w:t xml:space="preserve"> en œuvre </w:t>
      </w:r>
      <w:r w:rsidR="005944A0">
        <w:rPr>
          <w:szCs w:val="20"/>
        </w:rPr>
        <w:t xml:space="preserve">par </w:t>
      </w:r>
      <w:r w:rsidR="0076679A" w:rsidRPr="0076679A">
        <w:rPr>
          <w:szCs w:val="20"/>
        </w:rPr>
        <w:t>RCMRD et ICPAC, deux institutions technique</w:t>
      </w:r>
      <w:r w:rsidR="007C7B22">
        <w:rPr>
          <w:szCs w:val="20"/>
        </w:rPr>
        <w:t>s</w:t>
      </w:r>
      <w:r w:rsidR="0076679A" w:rsidRPr="0076679A">
        <w:rPr>
          <w:szCs w:val="20"/>
        </w:rPr>
        <w:t xml:space="preserve"> intergouvernemental</w:t>
      </w:r>
      <w:r w:rsidR="007C7B22">
        <w:rPr>
          <w:szCs w:val="20"/>
        </w:rPr>
        <w:t>es</w:t>
      </w:r>
      <w:r w:rsidR="0076679A" w:rsidRPr="0076679A">
        <w:rPr>
          <w:szCs w:val="20"/>
        </w:rPr>
        <w:t xml:space="preserve"> bas</w:t>
      </w:r>
      <w:r w:rsidR="007C7B22">
        <w:rPr>
          <w:szCs w:val="20"/>
        </w:rPr>
        <w:t>ées</w:t>
      </w:r>
      <w:r w:rsidR="0076679A" w:rsidRPr="0076679A">
        <w:rPr>
          <w:szCs w:val="20"/>
        </w:rPr>
        <w:t xml:space="preserve"> au Kenya</w:t>
      </w:r>
      <w:r w:rsidR="00E929BE">
        <w:rPr>
          <w:szCs w:val="20"/>
        </w:rPr>
        <w:t xml:space="preserve"> sur les </w:t>
      </w:r>
      <w:r>
        <w:rPr>
          <w:szCs w:val="20"/>
        </w:rPr>
        <w:t>activités terrestres</w:t>
      </w:r>
      <w:r w:rsidR="00312671">
        <w:rPr>
          <w:szCs w:val="20"/>
        </w:rPr>
        <w:t>,</w:t>
      </w:r>
      <w:r>
        <w:rPr>
          <w:szCs w:val="20"/>
        </w:rPr>
        <w:t xml:space="preserve"> </w:t>
      </w:r>
      <w:r w:rsidR="00E929BE">
        <w:rPr>
          <w:szCs w:val="20"/>
        </w:rPr>
        <w:t xml:space="preserve">ainsi que le </w:t>
      </w:r>
      <w:r>
        <w:rPr>
          <w:szCs w:val="20"/>
        </w:rPr>
        <w:t>CSIR,</w:t>
      </w:r>
      <w:r w:rsidR="00E929BE">
        <w:rPr>
          <w:szCs w:val="20"/>
        </w:rPr>
        <w:t xml:space="preserve"> une </w:t>
      </w:r>
      <w:r>
        <w:rPr>
          <w:szCs w:val="20"/>
        </w:rPr>
        <w:t>entité sud</w:t>
      </w:r>
      <w:r w:rsidR="00E929BE">
        <w:rPr>
          <w:szCs w:val="20"/>
        </w:rPr>
        <w:t xml:space="preserve">- africaine sur </w:t>
      </w:r>
      <w:r w:rsidR="00240A76">
        <w:rPr>
          <w:szCs w:val="20"/>
        </w:rPr>
        <w:t>les activités océaniques</w:t>
      </w:r>
      <w:r w:rsidR="00312671">
        <w:rPr>
          <w:szCs w:val="20"/>
        </w:rPr>
        <w:t xml:space="preserve"> et</w:t>
      </w:r>
      <w:r w:rsidR="00564746">
        <w:rPr>
          <w:szCs w:val="20"/>
        </w:rPr>
        <w:t xml:space="preserve"> </w:t>
      </w:r>
      <w:r>
        <w:rPr>
          <w:szCs w:val="20"/>
        </w:rPr>
        <w:t>qui travail</w:t>
      </w:r>
      <w:r w:rsidR="007C7B22">
        <w:rPr>
          <w:szCs w:val="20"/>
        </w:rPr>
        <w:t>le</w:t>
      </w:r>
      <w:r>
        <w:rPr>
          <w:szCs w:val="20"/>
        </w:rPr>
        <w:t xml:space="preserve"> en consortium avec </w:t>
      </w:r>
      <w:proofErr w:type="spellStart"/>
      <w:r>
        <w:rPr>
          <w:szCs w:val="20"/>
        </w:rPr>
        <w:t>Reef</w:t>
      </w:r>
      <w:proofErr w:type="spellEnd"/>
      <w:r>
        <w:rPr>
          <w:szCs w:val="20"/>
        </w:rPr>
        <w:t xml:space="preserve"> Conservation</w:t>
      </w:r>
      <w:r w:rsidR="004F0053">
        <w:rPr>
          <w:szCs w:val="20"/>
        </w:rPr>
        <w:t>, une ONG mauricienne très impliquée dans la recherche participati</w:t>
      </w:r>
      <w:r w:rsidR="007C7B22">
        <w:rPr>
          <w:szCs w:val="20"/>
        </w:rPr>
        <w:t>ve</w:t>
      </w:r>
      <w:r w:rsidR="004F0053">
        <w:rPr>
          <w:szCs w:val="20"/>
        </w:rPr>
        <w:t xml:space="preserve"> et </w:t>
      </w:r>
      <w:r w:rsidR="007C7B22">
        <w:rPr>
          <w:szCs w:val="20"/>
        </w:rPr>
        <w:t>l’</w:t>
      </w:r>
      <w:r w:rsidR="004F0053">
        <w:rPr>
          <w:szCs w:val="20"/>
        </w:rPr>
        <w:t xml:space="preserve">éducation à l’environnement.  </w:t>
      </w:r>
      <w:r w:rsidR="00312671">
        <w:rPr>
          <w:szCs w:val="20"/>
        </w:rPr>
        <w:t xml:space="preserve">Le </w:t>
      </w:r>
      <w:r w:rsidR="004F0053">
        <w:rPr>
          <w:szCs w:val="20"/>
        </w:rPr>
        <w:t>CSIR a organisé</w:t>
      </w:r>
      <w:r>
        <w:rPr>
          <w:szCs w:val="20"/>
        </w:rPr>
        <w:t xml:space="preserve"> en octobre 2023</w:t>
      </w:r>
      <w:r w:rsidR="00312671">
        <w:rPr>
          <w:szCs w:val="20"/>
        </w:rPr>
        <w:t>,</w:t>
      </w:r>
      <w:r>
        <w:rPr>
          <w:szCs w:val="20"/>
        </w:rPr>
        <w:t xml:space="preserve"> à Mombasa</w:t>
      </w:r>
      <w:r w:rsidR="00312671">
        <w:rPr>
          <w:szCs w:val="20"/>
        </w:rPr>
        <w:t>,</w:t>
      </w:r>
      <w:r>
        <w:rPr>
          <w:szCs w:val="20"/>
        </w:rPr>
        <w:t xml:space="preserve"> le forum sur les services et produits pour le secteur maritime</w:t>
      </w:r>
      <w:r w:rsidR="004F0053">
        <w:rPr>
          <w:szCs w:val="20"/>
        </w:rPr>
        <w:t xml:space="preserve"> et pour mieux faire participer </w:t>
      </w:r>
      <w:r w:rsidR="006100F6">
        <w:rPr>
          <w:szCs w:val="20"/>
        </w:rPr>
        <w:t xml:space="preserve">les </w:t>
      </w:r>
      <w:r w:rsidR="00312671">
        <w:rPr>
          <w:szCs w:val="20"/>
        </w:rPr>
        <w:t xml:space="preserve">Etats </w:t>
      </w:r>
      <w:r w:rsidR="006100F6">
        <w:rPr>
          <w:szCs w:val="20"/>
        </w:rPr>
        <w:t>insulaires</w:t>
      </w:r>
      <w:r w:rsidR="004F0053">
        <w:rPr>
          <w:szCs w:val="20"/>
        </w:rPr>
        <w:t xml:space="preserve"> de SWIO, un webinaire a également ét</w:t>
      </w:r>
      <w:r w:rsidR="007C7B22">
        <w:rPr>
          <w:szCs w:val="20"/>
        </w:rPr>
        <w:t>é</w:t>
      </w:r>
      <w:r w:rsidR="004F0053">
        <w:rPr>
          <w:szCs w:val="20"/>
        </w:rPr>
        <w:t xml:space="preserve"> organisé en début du mois d’avril 2024 sur les service</w:t>
      </w:r>
      <w:r w:rsidR="007C7B22">
        <w:rPr>
          <w:szCs w:val="20"/>
        </w:rPr>
        <w:t>s</w:t>
      </w:r>
      <w:r w:rsidR="004F0053">
        <w:rPr>
          <w:szCs w:val="20"/>
        </w:rPr>
        <w:t xml:space="preserve"> et outils pour le suivi des zones côtière</w:t>
      </w:r>
      <w:r w:rsidR="007C7B22">
        <w:rPr>
          <w:szCs w:val="20"/>
        </w:rPr>
        <w:t>s</w:t>
      </w:r>
      <w:r w:rsidR="004F0053">
        <w:rPr>
          <w:szCs w:val="20"/>
        </w:rPr>
        <w:t xml:space="preserve">, </w:t>
      </w:r>
      <w:r w:rsidR="006100F6">
        <w:rPr>
          <w:szCs w:val="20"/>
        </w:rPr>
        <w:t>les herbiers marins</w:t>
      </w:r>
      <w:r w:rsidR="004F0053">
        <w:rPr>
          <w:szCs w:val="20"/>
        </w:rPr>
        <w:t xml:space="preserve"> et le récif </w:t>
      </w:r>
      <w:r w:rsidR="006100F6">
        <w:rPr>
          <w:szCs w:val="20"/>
        </w:rPr>
        <w:t>corallien.</w:t>
      </w:r>
      <w:r>
        <w:rPr>
          <w:szCs w:val="20"/>
        </w:rPr>
        <w:t xml:space="preserve"> </w:t>
      </w:r>
    </w:p>
    <w:p w14:paraId="362F3AFD" w14:textId="58C05859" w:rsidR="000134AE" w:rsidRDefault="000134AE" w:rsidP="005C790C">
      <w:pPr>
        <w:numPr>
          <w:ilvl w:val="0"/>
          <w:numId w:val="12"/>
        </w:numPr>
        <w:pBdr>
          <w:top w:val="nil"/>
          <w:left w:val="nil"/>
          <w:bottom w:val="nil"/>
          <w:right w:val="nil"/>
          <w:between w:val="nil"/>
        </w:pBdr>
        <w:spacing w:before="240"/>
        <w:rPr>
          <w:rFonts w:eastAsia="Verdana" w:cs="Verdana"/>
          <w:b/>
          <w:color w:val="0070C0"/>
          <w:szCs w:val="20"/>
        </w:rPr>
      </w:pPr>
      <w:r>
        <w:rPr>
          <w:rFonts w:eastAsia="Verdana" w:cs="Verdana"/>
          <w:b/>
          <w:color w:val="0070C0"/>
          <w:szCs w:val="20"/>
        </w:rPr>
        <w:t xml:space="preserve">La Commission Climat des </w:t>
      </w:r>
      <w:r w:rsidR="00312671">
        <w:rPr>
          <w:rFonts w:eastAsia="Verdana" w:cs="Verdana"/>
          <w:b/>
          <w:color w:val="0070C0"/>
          <w:szCs w:val="20"/>
        </w:rPr>
        <w:t xml:space="preserve">Etats </w:t>
      </w:r>
      <w:r>
        <w:rPr>
          <w:rFonts w:eastAsia="Verdana" w:cs="Verdana"/>
          <w:b/>
          <w:color w:val="0070C0"/>
          <w:szCs w:val="20"/>
        </w:rPr>
        <w:t>Insulaire</w:t>
      </w:r>
      <w:r w:rsidR="00564746">
        <w:rPr>
          <w:rFonts w:eastAsia="Verdana" w:cs="Verdana"/>
          <w:b/>
          <w:color w:val="0070C0"/>
          <w:szCs w:val="20"/>
        </w:rPr>
        <w:t>s</w:t>
      </w:r>
      <w:r>
        <w:rPr>
          <w:rFonts w:eastAsia="Verdana" w:cs="Verdana"/>
          <w:b/>
          <w:color w:val="0070C0"/>
          <w:szCs w:val="20"/>
        </w:rPr>
        <w:t xml:space="preserve"> d’Afrique </w:t>
      </w:r>
    </w:p>
    <w:p w14:paraId="0491B4BC" w14:textId="7DA3A1E9" w:rsidR="005A7F6E" w:rsidRPr="00C44FDA" w:rsidRDefault="005A7F6E" w:rsidP="00C44FDA">
      <w:pPr>
        <w:pStyle w:val="NormalWeb"/>
        <w:jc w:val="both"/>
        <w:rPr>
          <w:szCs w:val="20"/>
        </w:rPr>
      </w:pPr>
      <w:r w:rsidRPr="00C44FDA">
        <w:rPr>
          <w:rFonts w:ascii="Verdana" w:eastAsia="Verdana" w:hAnsi="Verdana" w:cs="Verdana"/>
          <w:bCs/>
          <w:sz w:val="20"/>
          <w:szCs w:val="20"/>
        </w:rPr>
        <w:t xml:space="preserve">La Commission </w:t>
      </w:r>
      <w:r w:rsidR="005E693A" w:rsidRPr="00C44FDA">
        <w:rPr>
          <w:rFonts w:ascii="Verdana" w:eastAsia="Verdana" w:hAnsi="Verdana" w:cs="Verdana"/>
          <w:bCs/>
          <w:sz w:val="20"/>
          <w:szCs w:val="20"/>
        </w:rPr>
        <w:t xml:space="preserve">Climat des </w:t>
      </w:r>
      <w:r w:rsidR="00312671">
        <w:rPr>
          <w:rFonts w:ascii="Verdana" w:eastAsia="Verdana" w:hAnsi="Verdana" w:cs="Verdana"/>
          <w:bCs/>
          <w:sz w:val="20"/>
          <w:szCs w:val="20"/>
        </w:rPr>
        <w:t>E</w:t>
      </w:r>
      <w:r w:rsidR="00312671" w:rsidRPr="00C44FDA">
        <w:rPr>
          <w:rFonts w:ascii="Verdana" w:eastAsia="Verdana" w:hAnsi="Verdana" w:cs="Verdana"/>
          <w:bCs/>
          <w:sz w:val="20"/>
          <w:szCs w:val="20"/>
        </w:rPr>
        <w:t xml:space="preserve">tats </w:t>
      </w:r>
      <w:r w:rsidR="005E693A" w:rsidRPr="00C44FDA">
        <w:rPr>
          <w:rFonts w:ascii="Verdana" w:eastAsia="Verdana" w:hAnsi="Verdana" w:cs="Verdana"/>
          <w:bCs/>
          <w:sz w:val="20"/>
          <w:szCs w:val="20"/>
        </w:rPr>
        <w:t>insulaire</w:t>
      </w:r>
      <w:r w:rsidR="00312671">
        <w:rPr>
          <w:rFonts w:ascii="Verdana" w:eastAsia="Verdana" w:hAnsi="Verdana" w:cs="Verdana"/>
          <w:bCs/>
          <w:sz w:val="20"/>
          <w:szCs w:val="20"/>
        </w:rPr>
        <w:t>s</w:t>
      </w:r>
      <w:r w:rsidR="005E693A" w:rsidRPr="00C44FDA">
        <w:rPr>
          <w:rFonts w:ascii="Verdana" w:eastAsia="Verdana" w:hAnsi="Verdana" w:cs="Verdana"/>
          <w:bCs/>
          <w:sz w:val="20"/>
          <w:szCs w:val="20"/>
        </w:rPr>
        <w:t xml:space="preserve"> d’Afrique (AISCC)</w:t>
      </w:r>
      <w:r w:rsidR="00564746">
        <w:rPr>
          <w:rFonts w:ascii="Verdana" w:eastAsia="Verdana" w:hAnsi="Verdana" w:cs="Verdana"/>
          <w:bCs/>
          <w:sz w:val="20"/>
          <w:szCs w:val="20"/>
        </w:rPr>
        <w:t xml:space="preserve"> </w:t>
      </w:r>
      <w:r w:rsidRPr="00C44FDA">
        <w:rPr>
          <w:rFonts w:ascii="Verdana" w:eastAsia="Verdana" w:hAnsi="Verdana" w:cs="Verdana"/>
          <w:bCs/>
          <w:sz w:val="20"/>
          <w:szCs w:val="20"/>
        </w:rPr>
        <w:t>a été mis</w:t>
      </w:r>
      <w:r w:rsidR="00564746">
        <w:rPr>
          <w:rFonts w:ascii="Verdana" w:eastAsia="Verdana" w:hAnsi="Verdana" w:cs="Verdana"/>
          <w:bCs/>
          <w:sz w:val="20"/>
          <w:szCs w:val="20"/>
        </w:rPr>
        <w:t>e</w:t>
      </w:r>
      <w:r w:rsidRPr="00C44FDA">
        <w:rPr>
          <w:rFonts w:ascii="Verdana" w:eastAsia="Verdana" w:hAnsi="Verdana" w:cs="Verdana"/>
          <w:bCs/>
          <w:sz w:val="20"/>
          <w:szCs w:val="20"/>
        </w:rPr>
        <w:t xml:space="preserve"> en place en marge de la COP 22 au Maroc sous l’</w:t>
      </w:r>
      <w:r w:rsidR="00360900" w:rsidRPr="00C44FDA">
        <w:rPr>
          <w:rFonts w:ascii="Verdana" w:eastAsia="Verdana" w:hAnsi="Verdana" w:cs="Verdana"/>
          <w:bCs/>
          <w:sz w:val="20"/>
          <w:szCs w:val="20"/>
        </w:rPr>
        <w:t>égide</w:t>
      </w:r>
      <w:r w:rsidRPr="00C44FDA">
        <w:rPr>
          <w:rFonts w:ascii="Verdana" w:eastAsia="Verdana" w:hAnsi="Verdana" w:cs="Verdana"/>
          <w:bCs/>
          <w:sz w:val="20"/>
          <w:szCs w:val="20"/>
        </w:rPr>
        <w:t xml:space="preserve"> de </w:t>
      </w:r>
      <w:r w:rsidR="00360900" w:rsidRPr="00C44FDA">
        <w:rPr>
          <w:rFonts w:ascii="Verdana" w:eastAsia="Verdana" w:hAnsi="Verdana" w:cs="Verdana"/>
          <w:bCs/>
          <w:sz w:val="20"/>
          <w:szCs w:val="20"/>
        </w:rPr>
        <w:t>l’Union</w:t>
      </w:r>
      <w:r w:rsidRPr="00C44FDA">
        <w:rPr>
          <w:rFonts w:ascii="Verdana" w:eastAsia="Verdana" w:hAnsi="Verdana" w:cs="Verdana"/>
          <w:bCs/>
          <w:sz w:val="20"/>
          <w:szCs w:val="20"/>
        </w:rPr>
        <w:t xml:space="preserve"> Africaine</w:t>
      </w:r>
      <w:r w:rsidR="00360900" w:rsidRPr="00C44FDA">
        <w:rPr>
          <w:rFonts w:ascii="Verdana" w:eastAsia="Verdana" w:hAnsi="Verdana" w:cs="Verdana"/>
          <w:bCs/>
          <w:sz w:val="20"/>
          <w:szCs w:val="20"/>
        </w:rPr>
        <w:t xml:space="preserve"> et </w:t>
      </w:r>
      <w:r w:rsidR="00312671">
        <w:rPr>
          <w:rFonts w:ascii="Verdana" w:eastAsia="Verdana" w:hAnsi="Verdana" w:cs="Verdana"/>
          <w:bCs/>
          <w:sz w:val="20"/>
          <w:szCs w:val="20"/>
        </w:rPr>
        <w:t xml:space="preserve">est </w:t>
      </w:r>
      <w:r w:rsidR="00360900" w:rsidRPr="00C44FDA">
        <w:rPr>
          <w:rFonts w:ascii="Verdana" w:eastAsia="Verdana" w:hAnsi="Verdana" w:cs="Verdana"/>
          <w:bCs/>
          <w:sz w:val="20"/>
          <w:szCs w:val="20"/>
        </w:rPr>
        <w:t>présidé</w:t>
      </w:r>
      <w:r w:rsidR="00026A87">
        <w:rPr>
          <w:rFonts w:ascii="Verdana" w:eastAsia="Verdana" w:hAnsi="Verdana" w:cs="Verdana"/>
          <w:bCs/>
          <w:sz w:val="20"/>
          <w:szCs w:val="20"/>
        </w:rPr>
        <w:t>e</w:t>
      </w:r>
      <w:r w:rsidR="00360900" w:rsidRPr="00C44FDA">
        <w:rPr>
          <w:rFonts w:ascii="Verdana" w:eastAsia="Verdana" w:hAnsi="Verdana" w:cs="Verdana"/>
          <w:bCs/>
          <w:sz w:val="20"/>
          <w:szCs w:val="20"/>
        </w:rPr>
        <w:t xml:space="preserve"> par les Seychelles. Elle regroupe l’ensemble des </w:t>
      </w:r>
      <w:r w:rsidR="00312671">
        <w:rPr>
          <w:rFonts w:ascii="Verdana" w:eastAsia="Verdana" w:hAnsi="Verdana" w:cs="Verdana"/>
          <w:bCs/>
          <w:sz w:val="20"/>
          <w:szCs w:val="20"/>
        </w:rPr>
        <w:t>î</w:t>
      </w:r>
      <w:r w:rsidR="00312671" w:rsidRPr="00C44FDA">
        <w:rPr>
          <w:rFonts w:ascii="Verdana" w:eastAsia="Verdana" w:hAnsi="Verdana" w:cs="Verdana"/>
          <w:bCs/>
          <w:sz w:val="20"/>
          <w:szCs w:val="20"/>
        </w:rPr>
        <w:t xml:space="preserve">les </w:t>
      </w:r>
      <w:r w:rsidR="00312671">
        <w:rPr>
          <w:rFonts w:ascii="Verdana" w:eastAsia="Verdana" w:hAnsi="Verdana" w:cs="Verdana"/>
          <w:bCs/>
          <w:sz w:val="20"/>
          <w:szCs w:val="20"/>
        </w:rPr>
        <w:t>africaines</w:t>
      </w:r>
      <w:r w:rsidR="00312671" w:rsidRPr="00C44FDA">
        <w:rPr>
          <w:rFonts w:ascii="Verdana" w:eastAsia="Verdana" w:hAnsi="Verdana" w:cs="Verdana"/>
          <w:bCs/>
          <w:sz w:val="20"/>
          <w:szCs w:val="20"/>
        </w:rPr>
        <w:t xml:space="preserve"> </w:t>
      </w:r>
      <w:r w:rsidR="00360900" w:rsidRPr="00C44FDA">
        <w:rPr>
          <w:rFonts w:ascii="Verdana" w:eastAsia="Verdana" w:hAnsi="Verdana" w:cs="Verdana"/>
          <w:bCs/>
          <w:sz w:val="20"/>
          <w:szCs w:val="20"/>
        </w:rPr>
        <w:t xml:space="preserve">de l’océan Indien et </w:t>
      </w:r>
      <w:r w:rsidR="00312671">
        <w:rPr>
          <w:rFonts w:ascii="Verdana" w:eastAsia="Verdana" w:hAnsi="Verdana" w:cs="Verdana"/>
          <w:bCs/>
          <w:sz w:val="20"/>
          <w:szCs w:val="20"/>
        </w:rPr>
        <w:t xml:space="preserve">de </w:t>
      </w:r>
      <w:r w:rsidR="00360900" w:rsidRPr="00C44FDA">
        <w:rPr>
          <w:rFonts w:ascii="Verdana" w:eastAsia="Verdana" w:hAnsi="Verdana" w:cs="Verdana"/>
          <w:bCs/>
          <w:sz w:val="20"/>
          <w:szCs w:val="20"/>
        </w:rPr>
        <w:t xml:space="preserve">l’Atlantique. </w:t>
      </w:r>
      <w:r w:rsidRPr="00C44FDA">
        <w:rPr>
          <w:rFonts w:ascii="Verdana" w:eastAsia="Verdana" w:hAnsi="Verdana" w:cs="Verdana"/>
          <w:bCs/>
          <w:sz w:val="20"/>
          <w:szCs w:val="20"/>
        </w:rPr>
        <w:t xml:space="preserve"> </w:t>
      </w:r>
      <w:r w:rsidR="00360900" w:rsidRPr="00C44FDA">
        <w:rPr>
          <w:rFonts w:ascii="Verdana" w:eastAsia="Verdana" w:hAnsi="Verdana" w:cs="Verdana"/>
          <w:bCs/>
          <w:sz w:val="20"/>
          <w:szCs w:val="20"/>
        </w:rPr>
        <w:t xml:space="preserve">La Commission fonctionne </w:t>
      </w:r>
      <w:r w:rsidR="003C01D0" w:rsidRPr="00C44FDA">
        <w:rPr>
          <w:rFonts w:ascii="Verdana" w:eastAsia="Verdana" w:hAnsi="Verdana" w:cs="Verdana"/>
          <w:bCs/>
          <w:sz w:val="20"/>
          <w:szCs w:val="20"/>
        </w:rPr>
        <w:t xml:space="preserve">comme une plateforme de concertation et </w:t>
      </w:r>
      <w:r w:rsidR="00312671">
        <w:rPr>
          <w:rFonts w:ascii="Verdana" w:eastAsia="Verdana" w:hAnsi="Verdana" w:cs="Verdana"/>
          <w:bCs/>
          <w:sz w:val="20"/>
          <w:szCs w:val="20"/>
        </w:rPr>
        <w:t>d’</w:t>
      </w:r>
      <w:r w:rsidR="003C01D0" w:rsidRPr="00C44FDA">
        <w:rPr>
          <w:rFonts w:ascii="Verdana" w:eastAsia="Verdana" w:hAnsi="Verdana" w:cs="Verdana"/>
          <w:bCs/>
          <w:sz w:val="20"/>
          <w:szCs w:val="20"/>
        </w:rPr>
        <w:t xml:space="preserve">actions </w:t>
      </w:r>
      <w:r w:rsidR="00AB7129" w:rsidRPr="00C44FDA">
        <w:rPr>
          <w:rFonts w:ascii="Verdana" w:eastAsia="Verdana" w:hAnsi="Verdana" w:cs="Verdana"/>
          <w:bCs/>
          <w:sz w:val="20"/>
          <w:szCs w:val="20"/>
        </w:rPr>
        <w:t xml:space="preserve">sur le climat </w:t>
      </w:r>
      <w:r w:rsidR="00360900" w:rsidRPr="00C44FDA">
        <w:rPr>
          <w:rFonts w:ascii="Verdana" w:eastAsia="Verdana" w:hAnsi="Verdana" w:cs="Verdana"/>
          <w:bCs/>
          <w:sz w:val="20"/>
          <w:szCs w:val="20"/>
        </w:rPr>
        <w:t>entre les Etats concernés. La COI apporte un appui à cette Commission à travers ses projets et programme</w:t>
      </w:r>
      <w:r w:rsidR="00312671">
        <w:rPr>
          <w:rFonts w:ascii="Verdana" w:eastAsia="Verdana" w:hAnsi="Verdana" w:cs="Verdana"/>
          <w:bCs/>
          <w:sz w:val="20"/>
          <w:szCs w:val="20"/>
        </w:rPr>
        <w:t>s</w:t>
      </w:r>
      <w:r w:rsidR="00360900" w:rsidRPr="00C44FDA">
        <w:rPr>
          <w:rFonts w:ascii="Verdana" w:eastAsia="Verdana" w:hAnsi="Verdana" w:cs="Verdana"/>
          <w:bCs/>
          <w:sz w:val="20"/>
          <w:szCs w:val="20"/>
        </w:rPr>
        <w:t xml:space="preserve"> en cours dans le domaine d</w:t>
      </w:r>
      <w:r w:rsidR="007C7B22" w:rsidRPr="00C44FDA">
        <w:rPr>
          <w:rFonts w:ascii="Verdana" w:eastAsia="Verdana" w:hAnsi="Verdana" w:cs="Verdana"/>
          <w:bCs/>
          <w:sz w:val="20"/>
          <w:szCs w:val="20"/>
        </w:rPr>
        <w:t>u</w:t>
      </w:r>
      <w:r w:rsidR="00360900" w:rsidRPr="00C44FDA">
        <w:rPr>
          <w:rFonts w:ascii="Verdana" w:eastAsia="Verdana" w:hAnsi="Verdana" w:cs="Verdana"/>
          <w:bCs/>
          <w:sz w:val="20"/>
          <w:szCs w:val="20"/>
        </w:rPr>
        <w:t xml:space="preserve"> climat. </w:t>
      </w:r>
      <w:r w:rsidR="003C01D0" w:rsidRPr="00C44FDA">
        <w:rPr>
          <w:rFonts w:ascii="Verdana" w:eastAsia="Verdana" w:hAnsi="Verdana" w:cs="Verdana"/>
          <w:bCs/>
          <w:sz w:val="20"/>
          <w:szCs w:val="20"/>
        </w:rPr>
        <w:t xml:space="preserve">La COI a joué le rôle </w:t>
      </w:r>
      <w:r w:rsidR="00312671" w:rsidRPr="00C44FDA">
        <w:rPr>
          <w:rFonts w:ascii="Verdana" w:eastAsia="Verdana" w:hAnsi="Verdana" w:cs="Verdana"/>
          <w:bCs/>
          <w:sz w:val="20"/>
          <w:szCs w:val="20"/>
        </w:rPr>
        <w:t>d</w:t>
      </w:r>
      <w:r w:rsidR="00312671">
        <w:rPr>
          <w:rFonts w:ascii="Verdana" w:eastAsia="Verdana" w:hAnsi="Verdana" w:cs="Verdana"/>
          <w:bCs/>
          <w:sz w:val="20"/>
          <w:szCs w:val="20"/>
        </w:rPr>
        <w:t>e</w:t>
      </w:r>
      <w:r w:rsidR="00312671" w:rsidRPr="00C44FDA">
        <w:rPr>
          <w:rFonts w:ascii="Verdana" w:eastAsia="Verdana" w:hAnsi="Verdana" w:cs="Verdana"/>
          <w:bCs/>
          <w:sz w:val="20"/>
          <w:szCs w:val="20"/>
        </w:rPr>
        <w:t xml:space="preserve"> </w:t>
      </w:r>
      <w:r w:rsidR="003C01D0" w:rsidRPr="00C44FDA">
        <w:rPr>
          <w:rFonts w:ascii="Verdana" w:eastAsia="Verdana" w:hAnsi="Verdana" w:cs="Verdana"/>
          <w:bCs/>
          <w:sz w:val="20"/>
          <w:szCs w:val="20"/>
        </w:rPr>
        <w:t>Secretariat d</w:t>
      </w:r>
      <w:r w:rsidR="00312671">
        <w:rPr>
          <w:rFonts w:ascii="Verdana" w:eastAsia="Verdana" w:hAnsi="Verdana" w:cs="Verdana"/>
          <w:bCs/>
          <w:sz w:val="20"/>
          <w:szCs w:val="20"/>
        </w:rPr>
        <w:t>e l</w:t>
      </w:r>
      <w:r w:rsidR="003C01D0" w:rsidRPr="00C44FDA">
        <w:rPr>
          <w:rFonts w:ascii="Verdana" w:eastAsia="Verdana" w:hAnsi="Verdana" w:cs="Verdana"/>
          <w:bCs/>
          <w:sz w:val="20"/>
          <w:szCs w:val="20"/>
        </w:rPr>
        <w:t>’AISCC en appuyant l’organisation de ses rencontres et la coordination de ses activités au</w:t>
      </w:r>
      <w:r w:rsidR="00312671">
        <w:rPr>
          <w:rFonts w:ascii="Verdana" w:eastAsia="Verdana" w:hAnsi="Verdana" w:cs="Verdana"/>
          <w:bCs/>
          <w:sz w:val="20"/>
          <w:szCs w:val="20"/>
        </w:rPr>
        <w:t>x</w:t>
      </w:r>
      <w:r w:rsidR="003C01D0" w:rsidRPr="00C44FDA">
        <w:rPr>
          <w:rFonts w:ascii="Verdana" w:eastAsia="Verdana" w:hAnsi="Verdana" w:cs="Verdana"/>
          <w:bCs/>
          <w:sz w:val="20"/>
          <w:szCs w:val="20"/>
        </w:rPr>
        <w:t xml:space="preserve"> niveau</w:t>
      </w:r>
      <w:r w:rsidR="00312671">
        <w:rPr>
          <w:rFonts w:ascii="Verdana" w:eastAsia="Verdana" w:hAnsi="Verdana" w:cs="Verdana"/>
          <w:bCs/>
          <w:sz w:val="20"/>
          <w:szCs w:val="20"/>
        </w:rPr>
        <w:t>x</w:t>
      </w:r>
      <w:r w:rsidR="003C01D0" w:rsidRPr="00C44FDA">
        <w:rPr>
          <w:rFonts w:ascii="Verdana" w:eastAsia="Verdana" w:hAnsi="Verdana" w:cs="Verdana"/>
          <w:bCs/>
          <w:sz w:val="20"/>
          <w:szCs w:val="20"/>
        </w:rPr>
        <w:t xml:space="preserve"> régional </w:t>
      </w:r>
      <w:r w:rsidR="00701132" w:rsidRPr="00C44FDA">
        <w:rPr>
          <w:rFonts w:ascii="Verdana" w:eastAsia="Verdana" w:hAnsi="Verdana" w:cs="Verdana"/>
          <w:bCs/>
          <w:sz w:val="20"/>
          <w:szCs w:val="20"/>
        </w:rPr>
        <w:t xml:space="preserve">et international </w:t>
      </w:r>
      <w:r w:rsidR="00AB7129" w:rsidRPr="00C44FDA">
        <w:rPr>
          <w:rFonts w:ascii="Verdana" w:eastAsia="Verdana" w:hAnsi="Verdana" w:cs="Verdana"/>
          <w:bCs/>
          <w:sz w:val="20"/>
          <w:szCs w:val="20"/>
        </w:rPr>
        <w:t xml:space="preserve">dans le cadre du Sommet de climat de l’Afrique ainsi </w:t>
      </w:r>
      <w:r w:rsidR="00312671" w:rsidRPr="00C44FDA">
        <w:rPr>
          <w:rFonts w:ascii="Verdana" w:eastAsia="Verdana" w:hAnsi="Verdana" w:cs="Verdana"/>
          <w:bCs/>
          <w:sz w:val="20"/>
          <w:szCs w:val="20"/>
        </w:rPr>
        <w:t>q</w:t>
      </w:r>
      <w:r w:rsidR="00312671">
        <w:rPr>
          <w:rFonts w:ascii="Verdana" w:eastAsia="Verdana" w:hAnsi="Verdana" w:cs="Verdana"/>
          <w:bCs/>
          <w:sz w:val="20"/>
          <w:szCs w:val="20"/>
        </w:rPr>
        <w:t>ue de</w:t>
      </w:r>
      <w:r w:rsidR="00312671" w:rsidRPr="00C44FDA">
        <w:rPr>
          <w:rFonts w:ascii="Verdana" w:eastAsia="Verdana" w:hAnsi="Verdana" w:cs="Verdana"/>
          <w:bCs/>
          <w:sz w:val="20"/>
          <w:szCs w:val="20"/>
        </w:rPr>
        <w:t xml:space="preserve"> </w:t>
      </w:r>
      <w:r w:rsidR="00701132" w:rsidRPr="00C44FDA">
        <w:rPr>
          <w:rFonts w:ascii="Verdana" w:eastAsia="Verdana" w:hAnsi="Verdana" w:cs="Verdana"/>
          <w:bCs/>
          <w:sz w:val="20"/>
          <w:szCs w:val="20"/>
        </w:rPr>
        <w:t>la r</w:t>
      </w:r>
      <w:r w:rsidR="00701132" w:rsidRPr="00C44FDA">
        <w:rPr>
          <w:rFonts w:ascii="Verdana" w:hAnsi="Verdana"/>
          <w:sz w:val="20"/>
          <w:szCs w:val="20"/>
        </w:rPr>
        <w:t>éunion du Comité des chefs d'État et de gouvernement africain sur le changement climatique</w:t>
      </w:r>
      <w:r w:rsidR="00701132" w:rsidRPr="00C44FDA">
        <w:rPr>
          <w:rStyle w:val="Accentuation"/>
          <w:rFonts w:ascii="Verdana" w:hAnsi="Verdana"/>
          <w:b/>
          <w:bCs/>
          <w:sz w:val="20"/>
          <w:szCs w:val="20"/>
        </w:rPr>
        <w:t xml:space="preserve"> (CAHOSCC)</w:t>
      </w:r>
      <w:r w:rsidR="00701132" w:rsidRPr="00C44FDA">
        <w:rPr>
          <w:rFonts w:ascii="Verdana" w:hAnsi="Verdana"/>
          <w:sz w:val="20"/>
          <w:szCs w:val="20"/>
        </w:rPr>
        <w:t xml:space="preserve"> en marge de</w:t>
      </w:r>
      <w:r w:rsidR="00312671">
        <w:rPr>
          <w:rFonts w:ascii="Verdana" w:hAnsi="Verdana"/>
          <w:sz w:val="20"/>
          <w:szCs w:val="20"/>
        </w:rPr>
        <w:t xml:space="preserve"> la Conférence</w:t>
      </w:r>
      <w:r w:rsidR="00701132" w:rsidRPr="00C44FDA">
        <w:rPr>
          <w:rFonts w:ascii="Verdana" w:hAnsi="Verdana"/>
          <w:sz w:val="20"/>
          <w:szCs w:val="20"/>
        </w:rPr>
        <w:t xml:space="preserve"> de l'UA</w:t>
      </w:r>
      <w:r w:rsidR="00312671">
        <w:rPr>
          <w:rFonts w:ascii="Verdana" w:hAnsi="Verdana"/>
          <w:sz w:val="20"/>
          <w:szCs w:val="20"/>
        </w:rPr>
        <w:t>,</w:t>
      </w:r>
      <w:r w:rsidR="00701132" w:rsidRPr="00C44FDA">
        <w:rPr>
          <w:rFonts w:ascii="Verdana" w:hAnsi="Verdana"/>
          <w:sz w:val="20"/>
          <w:szCs w:val="20"/>
        </w:rPr>
        <w:t xml:space="preserve"> en février 2024</w:t>
      </w:r>
      <w:r w:rsidR="00312671">
        <w:rPr>
          <w:rFonts w:ascii="Verdana" w:hAnsi="Verdana"/>
          <w:sz w:val="20"/>
          <w:szCs w:val="20"/>
        </w:rPr>
        <w:t>,</w:t>
      </w:r>
      <w:r w:rsidR="00701132" w:rsidRPr="00C44FDA">
        <w:rPr>
          <w:rFonts w:ascii="Verdana" w:hAnsi="Verdana"/>
          <w:sz w:val="20"/>
          <w:szCs w:val="20"/>
        </w:rPr>
        <w:t xml:space="preserve"> ainsi </w:t>
      </w:r>
      <w:r w:rsidR="0031733C" w:rsidRPr="00C44FDA">
        <w:rPr>
          <w:rFonts w:ascii="Verdana" w:hAnsi="Verdana"/>
          <w:sz w:val="20"/>
          <w:szCs w:val="20"/>
        </w:rPr>
        <w:t>qu’à</w:t>
      </w:r>
      <w:r w:rsidR="00AB7129" w:rsidRPr="00C44FDA">
        <w:rPr>
          <w:rFonts w:ascii="Verdana" w:eastAsia="Verdana" w:hAnsi="Verdana" w:cs="Verdana"/>
          <w:bCs/>
          <w:sz w:val="20"/>
          <w:szCs w:val="20"/>
        </w:rPr>
        <w:t xml:space="preserve"> la COP 28</w:t>
      </w:r>
      <w:r w:rsidR="00701132" w:rsidRPr="00C44FDA">
        <w:rPr>
          <w:rFonts w:ascii="Verdana" w:eastAsia="Verdana" w:hAnsi="Verdana" w:cs="Verdana"/>
          <w:bCs/>
          <w:sz w:val="20"/>
          <w:szCs w:val="20"/>
        </w:rPr>
        <w:t>.</w:t>
      </w:r>
      <w:r w:rsidR="00AB7129" w:rsidRPr="00C44FDA">
        <w:rPr>
          <w:rFonts w:ascii="Verdana" w:eastAsia="Verdana" w:hAnsi="Verdana" w:cs="Verdana"/>
          <w:bCs/>
          <w:sz w:val="20"/>
          <w:szCs w:val="20"/>
        </w:rPr>
        <w:t xml:space="preserve"> Avec l’appui de l’ensemble des Etats concernés</w:t>
      </w:r>
      <w:r w:rsidR="00701132" w:rsidRPr="00C44FDA">
        <w:rPr>
          <w:rFonts w:ascii="Verdana" w:eastAsia="Verdana" w:hAnsi="Verdana" w:cs="Verdana"/>
          <w:bCs/>
          <w:sz w:val="20"/>
          <w:szCs w:val="20"/>
        </w:rPr>
        <w:t xml:space="preserve"> porté</w:t>
      </w:r>
      <w:r w:rsidR="00312671">
        <w:rPr>
          <w:rFonts w:ascii="Verdana" w:eastAsia="Verdana" w:hAnsi="Verdana" w:cs="Verdana"/>
          <w:bCs/>
          <w:sz w:val="20"/>
          <w:szCs w:val="20"/>
        </w:rPr>
        <w:t>s</w:t>
      </w:r>
      <w:r w:rsidR="00701132" w:rsidRPr="00C44FDA">
        <w:rPr>
          <w:rFonts w:ascii="Verdana" w:eastAsia="Verdana" w:hAnsi="Verdana" w:cs="Verdana"/>
          <w:bCs/>
          <w:sz w:val="20"/>
          <w:szCs w:val="20"/>
        </w:rPr>
        <w:t xml:space="preserve"> par les Seychelles,</w:t>
      </w:r>
      <w:r w:rsidR="00AB7129" w:rsidRPr="00C44FDA">
        <w:rPr>
          <w:rFonts w:ascii="Verdana" w:eastAsia="Verdana" w:hAnsi="Verdana" w:cs="Verdana"/>
          <w:bCs/>
          <w:sz w:val="20"/>
          <w:szCs w:val="20"/>
        </w:rPr>
        <w:t xml:space="preserve"> le GCF a approuvé en mars 2024 un « Readiness programme » pour </w:t>
      </w:r>
      <w:r w:rsidR="00312671" w:rsidRPr="00C44FDA">
        <w:rPr>
          <w:rFonts w:ascii="Verdana" w:eastAsia="Verdana" w:hAnsi="Verdana" w:cs="Verdana"/>
          <w:bCs/>
          <w:sz w:val="20"/>
          <w:szCs w:val="20"/>
        </w:rPr>
        <w:t>l</w:t>
      </w:r>
      <w:r w:rsidR="00312671">
        <w:rPr>
          <w:rFonts w:ascii="Verdana" w:eastAsia="Verdana" w:hAnsi="Verdana" w:cs="Verdana"/>
          <w:bCs/>
          <w:sz w:val="20"/>
          <w:szCs w:val="20"/>
        </w:rPr>
        <w:t>’</w:t>
      </w:r>
      <w:r w:rsidR="00AB7129" w:rsidRPr="00C44FDA">
        <w:rPr>
          <w:rFonts w:ascii="Verdana" w:eastAsia="Verdana" w:hAnsi="Verdana" w:cs="Verdana"/>
          <w:bCs/>
          <w:sz w:val="20"/>
          <w:szCs w:val="20"/>
        </w:rPr>
        <w:t>AISCC</w:t>
      </w:r>
      <w:r w:rsidR="00312671">
        <w:rPr>
          <w:rFonts w:ascii="Verdana" w:eastAsia="Verdana" w:hAnsi="Verdana" w:cs="Verdana"/>
          <w:bCs/>
          <w:sz w:val="20"/>
          <w:szCs w:val="20"/>
        </w:rPr>
        <w:t>, lequel</w:t>
      </w:r>
      <w:r w:rsidR="00AB7129" w:rsidRPr="00C44FDA">
        <w:rPr>
          <w:rFonts w:ascii="Verdana" w:eastAsia="Verdana" w:hAnsi="Verdana" w:cs="Verdana"/>
          <w:bCs/>
          <w:sz w:val="20"/>
          <w:szCs w:val="20"/>
        </w:rPr>
        <w:t xml:space="preserve"> sera mise en œuvre par l</w:t>
      </w:r>
      <w:r w:rsidR="00312671">
        <w:rPr>
          <w:rFonts w:ascii="Verdana" w:eastAsia="Verdana" w:hAnsi="Verdana" w:cs="Verdana"/>
          <w:bCs/>
          <w:sz w:val="20"/>
          <w:szCs w:val="20"/>
        </w:rPr>
        <w:t>a Commission économique des Nations unies pour l’Afrique (</w:t>
      </w:r>
      <w:r w:rsidR="00AB7129" w:rsidRPr="00C44FDA">
        <w:rPr>
          <w:rFonts w:ascii="Verdana" w:eastAsia="Verdana" w:hAnsi="Verdana" w:cs="Verdana"/>
          <w:bCs/>
          <w:sz w:val="20"/>
          <w:szCs w:val="20"/>
        </w:rPr>
        <w:t>UNECA</w:t>
      </w:r>
      <w:r w:rsidR="00312671">
        <w:rPr>
          <w:rFonts w:ascii="Verdana" w:eastAsia="Verdana" w:hAnsi="Verdana" w:cs="Verdana"/>
          <w:bCs/>
          <w:sz w:val="20"/>
          <w:szCs w:val="20"/>
        </w:rPr>
        <w:t>)</w:t>
      </w:r>
      <w:r w:rsidR="00AB7129" w:rsidRPr="00C44FDA">
        <w:rPr>
          <w:rFonts w:ascii="Verdana" w:eastAsia="Verdana" w:hAnsi="Verdana" w:cs="Verdana"/>
          <w:bCs/>
          <w:sz w:val="20"/>
          <w:szCs w:val="20"/>
        </w:rPr>
        <w:t xml:space="preserve">. </w:t>
      </w:r>
      <w:r w:rsidR="003C01D0" w:rsidRPr="00C44FDA">
        <w:rPr>
          <w:rFonts w:ascii="Verdana" w:eastAsia="Verdana" w:hAnsi="Verdana" w:cs="Verdana"/>
          <w:bCs/>
          <w:sz w:val="20"/>
          <w:szCs w:val="20"/>
        </w:rPr>
        <w:t xml:space="preserve"> </w:t>
      </w:r>
    </w:p>
    <w:p w14:paraId="613CB7A7" w14:textId="6E3E329A" w:rsidR="003C01D0" w:rsidRDefault="003C01D0" w:rsidP="00C44FDA">
      <w:pPr>
        <w:pBdr>
          <w:top w:val="nil"/>
          <w:left w:val="nil"/>
          <w:bottom w:val="nil"/>
          <w:right w:val="nil"/>
          <w:between w:val="nil"/>
        </w:pBdr>
        <w:spacing w:before="240"/>
        <w:rPr>
          <w:rFonts w:eastAsia="Verdana" w:cs="Verdana"/>
          <w:bCs/>
          <w:szCs w:val="20"/>
        </w:rPr>
      </w:pPr>
      <w:r>
        <w:rPr>
          <w:rFonts w:eastAsia="Verdana" w:cs="Verdana"/>
          <w:bCs/>
          <w:szCs w:val="20"/>
        </w:rPr>
        <w:t>Le AISCC offre une opportunité pour la COI de jouer son rôle de coordination du Groupe AIS (ancien AIMS</w:t>
      </w:r>
      <w:r w:rsidR="00340078">
        <w:rPr>
          <w:rFonts w:eastAsia="Verdana" w:cs="Verdana"/>
          <w:bCs/>
          <w:szCs w:val="20"/>
        </w:rPr>
        <w:t>). En</w:t>
      </w:r>
      <w:r>
        <w:rPr>
          <w:rFonts w:eastAsia="Verdana" w:cs="Verdana"/>
          <w:bCs/>
          <w:szCs w:val="20"/>
        </w:rPr>
        <w:t xml:space="preserve"> capitalisant sur l</w:t>
      </w:r>
      <w:r w:rsidR="007C7B22">
        <w:rPr>
          <w:rFonts w:eastAsia="Verdana" w:cs="Verdana"/>
          <w:bCs/>
          <w:szCs w:val="20"/>
        </w:rPr>
        <w:t>a</w:t>
      </w:r>
      <w:r>
        <w:rPr>
          <w:rFonts w:eastAsia="Verdana" w:cs="Verdana"/>
          <w:bCs/>
          <w:szCs w:val="20"/>
        </w:rPr>
        <w:t xml:space="preserve"> </w:t>
      </w:r>
      <w:r w:rsidR="00AB7129">
        <w:rPr>
          <w:rFonts w:eastAsia="Verdana" w:cs="Verdana"/>
          <w:bCs/>
          <w:szCs w:val="20"/>
        </w:rPr>
        <w:t xml:space="preserve">plateforme et en agissant comme </w:t>
      </w:r>
      <w:r w:rsidR="00312671">
        <w:rPr>
          <w:rFonts w:eastAsia="Verdana" w:cs="Verdana"/>
          <w:bCs/>
          <w:szCs w:val="20"/>
        </w:rPr>
        <w:t>s</w:t>
      </w:r>
      <w:r w:rsidR="00AB7129">
        <w:rPr>
          <w:rFonts w:eastAsia="Verdana" w:cs="Verdana"/>
          <w:bCs/>
          <w:szCs w:val="20"/>
        </w:rPr>
        <w:t>ecr</w:t>
      </w:r>
      <w:r w:rsidR="00312671">
        <w:rPr>
          <w:rFonts w:eastAsia="Verdana" w:cs="Verdana"/>
          <w:bCs/>
          <w:szCs w:val="20"/>
        </w:rPr>
        <w:t>é</w:t>
      </w:r>
      <w:r w:rsidR="00AB7129">
        <w:rPr>
          <w:rFonts w:eastAsia="Verdana" w:cs="Verdana"/>
          <w:bCs/>
          <w:szCs w:val="20"/>
        </w:rPr>
        <w:t xml:space="preserve">tariat de </w:t>
      </w:r>
      <w:r w:rsidR="00312671">
        <w:rPr>
          <w:rFonts w:eastAsia="Verdana" w:cs="Verdana"/>
          <w:bCs/>
          <w:szCs w:val="20"/>
        </w:rPr>
        <w:t>l’</w:t>
      </w:r>
      <w:r w:rsidR="00AB7129">
        <w:rPr>
          <w:rFonts w:eastAsia="Verdana" w:cs="Verdana"/>
          <w:bCs/>
          <w:szCs w:val="20"/>
        </w:rPr>
        <w:t>AISCC</w:t>
      </w:r>
      <w:r w:rsidR="00312671">
        <w:rPr>
          <w:rFonts w:eastAsia="Verdana" w:cs="Verdana"/>
          <w:bCs/>
          <w:szCs w:val="20"/>
        </w:rPr>
        <w:t>,</w:t>
      </w:r>
      <w:r w:rsidR="00AB7129">
        <w:rPr>
          <w:rFonts w:eastAsia="Verdana" w:cs="Verdana"/>
          <w:bCs/>
          <w:szCs w:val="20"/>
        </w:rPr>
        <w:t xml:space="preserve"> la</w:t>
      </w:r>
      <w:r>
        <w:rPr>
          <w:rFonts w:eastAsia="Verdana" w:cs="Verdana"/>
          <w:bCs/>
          <w:szCs w:val="20"/>
        </w:rPr>
        <w:t xml:space="preserve"> COI pourra renforcer ses liens avec les </w:t>
      </w:r>
      <w:r w:rsidR="00312671">
        <w:rPr>
          <w:rFonts w:eastAsia="Verdana" w:cs="Verdana"/>
          <w:bCs/>
          <w:szCs w:val="20"/>
        </w:rPr>
        <w:t xml:space="preserve">îles africaines </w:t>
      </w:r>
      <w:r>
        <w:rPr>
          <w:rFonts w:eastAsia="Verdana" w:cs="Verdana"/>
          <w:bCs/>
          <w:szCs w:val="20"/>
        </w:rPr>
        <w:t xml:space="preserve">dans l’océan </w:t>
      </w:r>
      <w:r w:rsidR="00C06745">
        <w:rPr>
          <w:rFonts w:eastAsia="Verdana" w:cs="Verdana"/>
          <w:bCs/>
          <w:szCs w:val="20"/>
        </w:rPr>
        <w:t>Atlantique</w:t>
      </w:r>
      <w:r>
        <w:rPr>
          <w:rFonts w:eastAsia="Verdana" w:cs="Verdana"/>
          <w:bCs/>
          <w:szCs w:val="20"/>
        </w:rPr>
        <w:t xml:space="preserve"> </w:t>
      </w:r>
      <w:r w:rsidR="00494568">
        <w:rPr>
          <w:rFonts w:eastAsia="Verdana" w:cs="Verdana"/>
          <w:bCs/>
          <w:szCs w:val="20"/>
        </w:rPr>
        <w:t xml:space="preserve">et </w:t>
      </w:r>
      <w:r>
        <w:rPr>
          <w:rFonts w:eastAsia="Verdana" w:cs="Verdana"/>
          <w:bCs/>
          <w:szCs w:val="20"/>
        </w:rPr>
        <w:t>sur d’autre</w:t>
      </w:r>
      <w:r w:rsidR="00312671">
        <w:rPr>
          <w:rFonts w:eastAsia="Verdana" w:cs="Verdana"/>
          <w:bCs/>
          <w:szCs w:val="20"/>
        </w:rPr>
        <w:t>s</w:t>
      </w:r>
      <w:r>
        <w:rPr>
          <w:rFonts w:eastAsia="Verdana" w:cs="Verdana"/>
          <w:bCs/>
          <w:szCs w:val="20"/>
        </w:rPr>
        <w:t xml:space="preserve"> </w:t>
      </w:r>
      <w:r w:rsidR="00340078">
        <w:rPr>
          <w:rFonts w:eastAsia="Verdana" w:cs="Verdana"/>
          <w:bCs/>
          <w:szCs w:val="20"/>
        </w:rPr>
        <w:t>sujets d’intérêt</w:t>
      </w:r>
      <w:r>
        <w:rPr>
          <w:rFonts w:eastAsia="Verdana" w:cs="Verdana"/>
          <w:bCs/>
          <w:szCs w:val="20"/>
        </w:rPr>
        <w:t xml:space="preserve"> pour les </w:t>
      </w:r>
      <w:r w:rsidR="00312671">
        <w:rPr>
          <w:rFonts w:eastAsia="Verdana" w:cs="Verdana"/>
          <w:bCs/>
          <w:szCs w:val="20"/>
        </w:rPr>
        <w:t xml:space="preserve">îles </w:t>
      </w:r>
      <w:r>
        <w:rPr>
          <w:rFonts w:eastAsia="Verdana" w:cs="Verdana"/>
          <w:bCs/>
          <w:szCs w:val="20"/>
        </w:rPr>
        <w:t>d’Afrique</w:t>
      </w:r>
      <w:r w:rsidR="00AB7129">
        <w:rPr>
          <w:rFonts w:eastAsia="Verdana" w:cs="Verdana"/>
          <w:bCs/>
          <w:szCs w:val="20"/>
        </w:rPr>
        <w:t xml:space="preserve">. </w:t>
      </w:r>
      <w:r>
        <w:rPr>
          <w:rFonts w:eastAsia="Verdana" w:cs="Verdana"/>
          <w:bCs/>
          <w:szCs w:val="20"/>
        </w:rPr>
        <w:t xml:space="preserve"> </w:t>
      </w:r>
    </w:p>
    <w:p w14:paraId="320337A3" w14:textId="77777777" w:rsidR="00564746" w:rsidRDefault="00564746" w:rsidP="00C44FDA">
      <w:pPr>
        <w:pBdr>
          <w:top w:val="nil"/>
          <w:left w:val="nil"/>
          <w:bottom w:val="nil"/>
          <w:right w:val="nil"/>
          <w:between w:val="nil"/>
        </w:pBdr>
        <w:spacing w:before="240"/>
        <w:rPr>
          <w:rFonts w:eastAsia="Verdana" w:cs="Verdana"/>
          <w:bCs/>
          <w:szCs w:val="20"/>
        </w:rPr>
      </w:pPr>
    </w:p>
    <w:p w14:paraId="0000003A" w14:textId="77777777" w:rsidR="00FB0ED7" w:rsidRDefault="004877C0" w:rsidP="005C790C">
      <w:pPr>
        <w:numPr>
          <w:ilvl w:val="0"/>
          <w:numId w:val="12"/>
        </w:numPr>
        <w:pBdr>
          <w:top w:val="nil"/>
          <w:left w:val="nil"/>
          <w:bottom w:val="nil"/>
          <w:right w:val="nil"/>
          <w:between w:val="nil"/>
        </w:pBdr>
        <w:spacing w:before="240"/>
        <w:ind w:left="714" w:hanging="357"/>
        <w:rPr>
          <w:rFonts w:eastAsia="Verdana" w:cs="Verdana"/>
          <w:b/>
          <w:color w:val="0070C0"/>
          <w:szCs w:val="20"/>
        </w:rPr>
      </w:pPr>
      <w:r>
        <w:rPr>
          <w:rFonts w:eastAsia="Verdana" w:cs="Verdana"/>
          <w:b/>
          <w:color w:val="0070C0"/>
          <w:szCs w:val="20"/>
        </w:rPr>
        <w:t>Proposition de décision</w:t>
      </w:r>
    </w:p>
    <w:p w14:paraId="0000003B" w14:textId="77777777" w:rsidR="00FB0ED7" w:rsidRDefault="004877C0">
      <w:r>
        <w:t>Le Comité des OPL :</w:t>
      </w:r>
    </w:p>
    <w:p w14:paraId="4A7D9B05" w14:textId="77777777" w:rsidR="00564746" w:rsidRDefault="004877C0" w:rsidP="00564746">
      <w:pPr>
        <w:numPr>
          <w:ilvl w:val="0"/>
          <w:numId w:val="3"/>
        </w:numPr>
        <w:pBdr>
          <w:top w:val="nil"/>
          <w:left w:val="nil"/>
          <w:bottom w:val="nil"/>
          <w:right w:val="nil"/>
          <w:between w:val="nil"/>
        </w:pBdr>
        <w:spacing w:before="120" w:after="0" w:line="249" w:lineRule="auto"/>
        <w:rPr>
          <w:rFonts w:eastAsia="Verdana" w:cs="Verdana"/>
          <w:color w:val="000000"/>
          <w:szCs w:val="20"/>
        </w:rPr>
      </w:pPr>
      <w:r>
        <w:rPr>
          <w:rFonts w:eastAsia="Verdana" w:cs="Verdana"/>
          <w:color w:val="000000"/>
          <w:szCs w:val="20"/>
        </w:rPr>
        <w:t xml:space="preserve">Prend note des informations fournies sur </w:t>
      </w:r>
      <w:r w:rsidR="00EE0D3A">
        <w:rPr>
          <w:rFonts w:eastAsia="Verdana" w:cs="Verdana"/>
          <w:color w:val="000000"/>
          <w:szCs w:val="20"/>
        </w:rPr>
        <w:t xml:space="preserve">la mise en œuvre de la </w:t>
      </w:r>
      <w:r w:rsidR="00312671">
        <w:rPr>
          <w:rFonts w:eastAsia="Verdana" w:cs="Verdana"/>
          <w:color w:val="000000"/>
          <w:szCs w:val="20"/>
        </w:rPr>
        <w:t>S</w:t>
      </w:r>
      <w:r w:rsidR="00EE0D3A">
        <w:rPr>
          <w:rFonts w:eastAsia="Verdana" w:cs="Verdana"/>
          <w:color w:val="000000"/>
          <w:szCs w:val="20"/>
        </w:rPr>
        <w:t>tratégie régional</w:t>
      </w:r>
      <w:r w:rsidR="00793F77">
        <w:rPr>
          <w:rFonts w:eastAsia="Verdana" w:cs="Verdana"/>
          <w:color w:val="000000"/>
          <w:szCs w:val="20"/>
        </w:rPr>
        <w:t>e</w:t>
      </w:r>
      <w:r w:rsidR="00EE0D3A">
        <w:rPr>
          <w:rFonts w:eastAsia="Verdana" w:cs="Verdana"/>
          <w:color w:val="000000"/>
          <w:szCs w:val="20"/>
        </w:rPr>
        <w:t xml:space="preserve"> d’adaptation </w:t>
      </w:r>
      <w:r w:rsidR="009200EE">
        <w:rPr>
          <w:rFonts w:eastAsia="Verdana" w:cs="Verdana"/>
          <w:color w:val="000000"/>
          <w:szCs w:val="20"/>
        </w:rPr>
        <w:t>au changement</w:t>
      </w:r>
      <w:r w:rsidR="00EE0D3A">
        <w:rPr>
          <w:rFonts w:eastAsia="Verdana" w:cs="Verdana"/>
          <w:color w:val="000000"/>
          <w:szCs w:val="20"/>
        </w:rPr>
        <w:t xml:space="preserve"> climatique </w:t>
      </w:r>
      <w:r w:rsidR="006100F6">
        <w:rPr>
          <w:rFonts w:eastAsia="Verdana" w:cs="Verdana"/>
          <w:color w:val="000000"/>
          <w:szCs w:val="20"/>
        </w:rPr>
        <w:t>et</w:t>
      </w:r>
      <w:r w:rsidR="000134AE">
        <w:rPr>
          <w:rFonts w:eastAsia="Verdana" w:cs="Verdana"/>
          <w:color w:val="000000"/>
          <w:szCs w:val="20"/>
        </w:rPr>
        <w:t xml:space="preserve"> recommande la mise à jour de la </w:t>
      </w:r>
      <w:r w:rsidR="00312671">
        <w:rPr>
          <w:rFonts w:eastAsia="Verdana" w:cs="Verdana"/>
          <w:color w:val="000000"/>
          <w:szCs w:val="20"/>
        </w:rPr>
        <w:t>S</w:t>
      </w:r>
      <w:r w:rsidR="000134AE">
        <w:rPr>
          <w:rFonts w:eastAsia="Verdana" w:cs="Verdana"/>
          <w:color w:val="000000"/>
          <w:szCs w:val="20"/>
        </w:rPr>
        <w:t>tratégie sur le changement climatique pour prendre en compte les aspects de l’atténuation</w:t>
      </w:r>
      <w:r w:rsidR="00564746">
        <w:rPr>
          <w:rFonts w:eastAsia="Verdana" w:cs="Verdana"/>
          <w:color w:val="000000"/>
          <w:szCs w:val="20"/>
        </w:rPr>
        <w:t xml:space="preserve"> ; </w:t>
      </w:r>
      <w:r w:rsidR="000134AE">
        <w:rPr>
          <w:rFonts w:eastAsia="Verdana" w:cs="Verdana"/>
          <w:color w:val="000000"/>
          <w:szCs w:val="20"/>
        </w:rPr>
        <w:t xml:space="preserve"> </w:t>
      </w:r>
    </w:p>
    <w:p w14:paraId="54F0F1E2" w14:textId="690E6291" w:rsidR="007B7EEB" w:rsidRPr="00564746" w:rsidRDefault="006100F6" w:rsidP="00564746">
      <w:pPr>
        <w:numPr>
          <w:ilvl w:val="0"/>
          <w:numId w:val="3"/>
        </w:numPr>
        <w:pBdr>
          <w:top w:val="nil"/>
          <w:left w:val="nil"/>
          <w:bottom w:val="nil"/>
          <w:right w:val="nil"/>
          <w:between w:val="nil"/>
        </w:pBdr>
        <w:spacing w:before="120" w:after="0" w:line="249" w:lineRule="auto"/>
        <w:rPr>
          <w:rFonts w:eastAsia="Verdana" w:cs="Verdana"/>
          <w:color w:val="000000"/>
          <w:szCs w:val="20"/>
        </w:rPr>
      </w:pPr>
      <w:r w:rsidRPr="00564746">
        <w:rPr>
          <w:rFonts w:eastAsia="Verdana" w:cs="Verdana"/>
          <w:color w:val="000000"/>
          <w:szCs w:val="20"/>
        </w:rPr>
        <w:lastRenderedPageBreak/>
        <w:t>Prend note des informations fourni</w:t>
      </w:r>
      <w:r w:rsidR="00312671" w:rsidRPr="00564746">
        <w:rPr>
          <w:rFonts w:eastAsia="Verdana" w:cs="Verdana"/>
          <w:color w:val="000000"/>
          <w:szCs w:val="20"/>
        </w:rPr>
        <w:t>es</w:t>
      </w:r>
      <w:r w:rsidRPr="00564746">
        <w:rPr>
          <w:rFonts w:eastAsia="Verdana" w:cs="Verdana"/>
          <w:color w:val="000000"/>
          <w:szCs w:val="20"/>
        </w:rPr>
        <w:t xml:space="preserve"> sur les </w:t>
      </w:r>
      <w:r w:rsidR="00312671" w:rsidRPr="00564746">
        <w:rPr>
          <w:rFonts w:eastAsia="Verdana" w:cs="Verdana"/>
          <w:color w:val="000000"/>
          <w:szCs w:val="20"/>
        </w:rPr>
        <w:t xml:space="preserve">avancés </w:t>
      </w:r>
      <w:r w:rsidRPr="00564746">
        <w:rPr>
          <w:rFonts w:eastAsia="Verdana" w:cs="Verdana"/>
          <w:color w:val="000000"/>
          <w:szCs w:val="20"/>
        </w:rPr>
        <w:t>des projets et</w:t>
      </w:r>
      <w:r w:rsidR="00564746">
        <w:rPr>
          <w:rFonts w:eastAsia="Verdana" w:cs="Verdana"/>
          <w:color w:val="000000"/>
          <w:szCs w:val="20"/>
        </w:rPr>
        <w:t xml:space="preserve"> r</w:t>
      </w:r>
      <w:r w:rsidR="00CA238A" w:rsidRPr="00564746">
        <w:rPr>
          <w:rFonts w:eastAsia="Verdana" w:cs="Verdana"/>
          <w:color w:val="000000"/>
          <w:szCs w:val="20"/>
        </w:rPr>
        <w:t>éitère</w:t>
      </w:r>
      <w:r w:rsidR="00FE090F" w:rsidRPr="00564746">
        <w:rPr>
          <w:rFonts w:eastAsia="Verdana" w:cs="Verdana"/>
          <w:color w:val="000000"/>
          <w:szCs w:val="20"/>
        </w:rPr>
        <w:t xml:space="preserve"> sa </w:t>
      </w:r>
      <w:r w:rsidRPr="00564746">
        <w:rPr>
          <w:rFonts w:eastAsia="Verdana" w:cs="Verdana"/>
          <w:color w:val="000000"/>
          <w:szCs w:val="20"/>
        </w:rPr>
        <w:t>d</w:t>
      </w:r>
      <w:r w:rsidR="007B7EEB" w:rsidRPr="00564746">
        <w:rPr>
          <w:rFonts w:eastAsia="Verdana" w:cs="Verdana"/>
          <w:color w:val="000000"/>
          <w:szCs w:val="20"/>
        </w:rPr>
        <w:t xml:space="preserve">emande au Secrétariat général de veiller à </w:t>
      </w:r>
      <w:r w:rsidR="008F7B23" w:rsidRPr="00564746">
        <w:rPr>
          <w:rFonts w:eastAsia="Verdana" w:cs="Verdana"/>
          <w:color w:val="000000"/>
          <w:szCs w:val="20"/>
        </w:rPr>
        <w:t>la bonne mise en œuvre du</w:t>
      </w:r>
      <w:r w:rsidR="007B7EEB" w:rsidRPr="00564746">
        <w:rPr>
          <w:rFonts w:eastAsia="Verdana" w:cs="Verdana"/>
          <w:color w:val="000000"/>
          <w:szCs w:val="20"/>
        </w:rPr>
        <w:t xml:space="preserve"> projet HYDROMET </w:t>
      </w:r>
      <w:r w:rsidR="006639A8" w:rsidRPr="00564746">
        <w:rPr>
          <w:rFonts w:eastAsia="Verdana" w:cs="Verdana"/>
          <w:color w:val="000000"/>
          <w:szCs w:val="20"/>
        </w:rPr>
        <w:t xml:space="preserve">en assurant une implication des </w:t>
      </w:r>
      <w:r w:rsidR="00312671" w:rsidRPr="00564746">
        <w:rPr>
          <w:rFonts w:eastAsia="Verdana" w:cs="Verdana"/>
          <w:color w:val="000000"/>
          <w:szCs w:val="20"/>
        </w:rPr>
        <w:t xml:space="preserve">Etats </w:t>
      </w:r>
      <w:r w:rsidR="008F7B23" w:rsidRPr="00564746">
        <w:rPr>
          <w:rFonts w:eastAsia="Verdana" w:cs="Verdana"/>
          <w:color w:val="000000"/>
          <w:szCs w:val="20"/>
        </w:rPr>
        <w:t xml:space="preserve">membres, </w:t>
      </w:r>
      <w:r w:rsidR="006639A8" w:rsidRPr="00564746">
        <w:rPr>
          <w:rFonts w:eastAsia="Verdana" w:cs="Verdana"/>
          <w:color w:val="000000"/>
          <w:szCs w:val="20"/>
        </w:rPr>
        <w:t xml:space="preserve">et </w:t>
      </w:r>
      <w:r w:rsidR="008F7B23" w:rsidRPr="00564746">
        <w:rPr>
          <w:rFonts w:eastAsia="Verdana" w:cs="Verdana"/>
          <w:color w:val="000000"/>
          <w:szCs w:val="20"/>
        </w:rPr>
        <w:t>de veiller à la coordination</w:t>
      </w:r>
      <w:r w:rsidR="006639A8" w:rsidRPr="00564746">
        <w:rPr>
          <w:rFonts w:eastAsia="Verdana" w:cs="Verdana"/>
          <w:color w:val="000000"/>
          <w:szCs w:val="20"/>
        </w:rPr>
        <w:t xml:space="preserve"> avec </w:t>
      </w:r>
      <w:r w:rsidR="008F7B23" w:rsidRPr="00564746">
        <w:rPr>
          <w:rFonts w:eastAsia="Verdana" w:cs="Verdana"/>
          <w:color w:val="000000"/>
          <w:szCs w:val="20"/>
        </w:rPr>
        <w:t>les organisations régionales et les projets</w:t>
      </w:r>
      <w:r w:rsidR="00FE090F" w:rsidRPr="00564746">
        <w:rPr>
          <w:rFonts w:eastAsia="Verdana" w:cs="Verdana"/>
          <w:color w:val="000000"/>
          <w:szCs w:val="20"/>
        </w:rPr>
        <w:t> ;</w:t>
      </w:r>
    </w:p>
    <w:p w14:paraId="06565431" w14:textId="77777777" w:rsidR="00CA238A" w:rsidRDefault="00CA238A" w:rsidP="00CA238A">
      <w:pPr>
        <w:pStyle w:val="Paragraphedeliste"/>
        <w:numPr>
          <w:ilvl w:val="0"/>
          <w:numId w:val="0"/>
        </w:numPr>
        <w:pBdr>
          <w:top w:val="nil"/>
          <w:left w:val="nil"/>
          <w:bottom w:val="nil"/>
          <w:right w:val="nil"/>
          <w:between w:val="nil"/>
        </w:pBdr>
        <w:spacing w:after="0" w:line="249" w:lineRule="auto"/>
        <w:ind w:left="1701"/>
        <w:rPr>
          <w:rFonts w:eastAsia="Verdana" w:cs="Verdana"/>
          <w:color w:val="000000"/>
          <w:szCs w:val="20"/>
        </w:rPr>
      </w:pPr>
    </w:p>
    <w:p w14:paraId="5C4C9DE1" w14:textId="75B8CC77" w:rsidR="00494568" w:rsidRDefault="00CA238A" w:rsidP="00494568">
      <w:pPr>
        <w:pStyle w:val="Paragraphedeliste"/>
      </w:pPr>
      <w:r w:rsidRPr="00494568">
        <w:t>Demande</w:t>
      </w:r>
      <w:r w:rsidR="00FE090F" w:rsidRPr="00494568">
        <w:t xml:space="preserve"> </w:t>
      </w:r>
      <w:r w:rsidR="003C01D0" w:rsidRPr="00494568">
        <w:t xml:space="preserve">au </w:t>
      </w:r>
      <w:r w:rsidR="00312671">
        <w:t>S</w:t>
      </w:r>
      <w:r w:rsidR="00312671" w:rsidRPr="00494568">
        <w:t xml:space="preserve">ecrétariat </w:t>
      </w:r>
      <w:r w:rsidR="003C01D0" w:rsidRPr="00494568">
        <w:t>généra</w:t>
      </w:r>
      <w:r w:rsidR="00793F77" w:rsidRPr="00494568">
        <w:t>l</w:t>
      </w:r>
      <w:r w:rsidR="00FE090F" w:rsidRPr="00494568">
        <w:t xml:space="preserve"> de</w:t>
      </w:r>
      <w:r w:rsidR="00494568">
        <w:t> :</w:t>
      </w:r>
    </w:p>
    <w:p w14:paraId="03846FC9" w14:textId="56A59211" w:rsidR="00494568" w:rsidRDefault="00564746" w:rsidP="00494568">
      <w:pPr>
        <w:pStyle w:val="Paragraphedeliste"/>
        <w:numPr>
          <w:ilvl w:val="0"/>
          <w:numId w:val="16"/>
        </w:numPr>
        <w:rPr>
          <w:rFonts w:eastAsia="Verdana" w:cs="Verdana"/>
          <w:color w:val="000000"/>
          <w:szCs w:val="20"/>
        </w:rPr>
      </w:pPr>
      <w:r w:rsidRPr="00494568">
        <w:t>Coordonner</w:t>
      </w:r>
      <w:r w:rsidR="00FE090F" w:rsidRPr="00494568">
        <w:t xml:space="preserve"> avec les Etats </w:t>
      </w:r>
      <w:r w:rsidR="00494568">
        <w:rPr>
          <w:rFonts w:eastAsia="Verdana" w:cs="Verdana"/>
          <w:color w:val="000000"/>
          <w:szCs w:val="20"/>
        </w:rPr>
        <w:t>l</w:t>
      </w:r>
      <w:r w:rsidR="00793F77" w:rsidRPr="00494568">
        <w:rPr>
          <w:rFonts w:eastAsia="Verdana" w:cs="Verdana"/>
          <w:color w:val="000000"/>
          <w:szCs w:val="20"/>
        </w:rPr>
        <w:t xml:space="preserve">’acquisition </w:t>
      </w:r>
      <w:r w:rsidR="00C06745" w:rsidRPr="00494568">
        <w:rPr>
          <w:rFonts w:eastAsia="Verdana" w:cs="Verdana"/>
          <w:color w:val="000000"/>
          <w:szCs w:val="20"/>
        </w:rPr>
        <w:t>et la</w:t>
      </w:r>
      <w:r w:rsidR="00793F77" w:rsidRPr="00494568">
        <w:rPr>
          <w:rFonts w:eastAsia="Verdana" w:cs="Verdana"/>
          <w:color w:val="000000"/>
          <w:szCs w:val="20"/>
        </w:rPr>
        <w:t xml:space="preserve"> livraison</w:t>
      </w:r>
      <w:r w:rsidR="00FE090F" w:rsidRPr="00494568">
        <w:rPr>
          <w:rFonts w:eastAsia="Verdana" w:cs="Verdana"/>
          <w:color w:val="000000"/>
          <w:szCs w:val="20"/>
        </w:rPr>
        <w:t xml:space="preserve"> des équipements</w:t>
      </w:r>
      <w:r w:rsidR="00793F77" w:rsidRPr="00494568">
        <w:rPr>
          <w:rFonts w:eastAsia="Verdana" w:cs="Verdana"/>
          <w:color w:val="000000"/>
          <w:szCs w:val="20"/>
        </w:rPr>
        <w:t xml:space="preserve"> prévus dans le cadre du projet RDRM</w:t>
      </w:r>
      <w:r w:rsidR="00FE090F" w:rsidRPr="00494568">
        <w:rPr>
          <w:rFonts w:eastAsia="Verdana" w:cs="Verdana"/>
          <w:color w:val="000000"/>
          <w:szCs w:val="20"/>
        </w:rPr>
        <w:t xml:space="preserve"> pour éviter les retards dans le dédouanement de </w:t>
      </w:r>
      <w:r w:rsidR="00793F77" w:rsidRPr="00494568">
        <w:rPr>
          <w:rFonts w:eastAsia="Verdana" w:cs="Verdana"/>
          <w:color w:val="000000"/>
          <w:szCs w:val="20"/>
        </w:rPr>
        <w:t>c</w:t>
      </w:r>
      <w:r w:rsidR="00FE090F" w:rsidRPr="00494568">
        <w:rPr>
          <w:rFonts w:eastAsia="Verdana" w:cs="Verdana"/>
          <w:color w:val="000000"/>
          <w:szCs w:val="20"/>
        </w:rPr>
        <w:t>es équipements</w:t>
      </w:r>
      <w:r w:rsidR="00494568">
        <w:rPr>
          <w:rFonts w:eastAsia="Verdana" w:cs="Verdana"/>
          <w:color w:val="000000"/>
          <w:szCs w:val="20"/>
        </w:rPr>
        <w:t> ;</w:t>
      </w:r>
    </w:p>
    <w:p w14:paraId="6F9A01D0" w14:textId="6ABE64B1" w:rsidR="00494568" w:rsidRDefault="00564746" w:rsidP="00494568">
      <w:pPr>
        <w:pStyle w:val="Paragraphedeliste"/>
        <w:numPr>
          <w:ilvl w:val="0"/>
          <w:numId w:val="16"/>
        </w:numPr>
        <w:rPr>
          <w:rFonts w:eastAsia="Verdana" w:cs="Verdana"/>
          <w:color w:val="000000"/>
          <w:szCs w:val="20"/>
        </w:rPr>
      </w:pPr>
      <w:r w:rsidRPr="00494568">
        <w:rPr>
          <w:rFonts w:eastAsia="Verdana" w:cs="Verdana"/>
          <w:color w:val="000000"/>
          <w:szCs w:val="20"/>
        </w:rPr>
        <w:t>Accélérer</w:t>
      </w:r>
      <w:r w:rsidR="00FE090F" w:rsidRPr="00494568">
        <w:rPr>
          <w:rFonts w:eastAsia="Verdana" w:cs="Verdana"/>
          <w:color w:val="000000"/>
          <w:szCs w:val="20"/>
        </w:rPr>
        <w:t xml:space="preserve"> la mise en place et</w:t>
      </w:r>
      <w:r w:rsidR="00793F77" w:rsidRPr="00494568">
        <w:rPr>
          <w:rFonts w:eastAsia="Verdana" w:cs="Verdana"/>
          <w:color w:val="000000"/>
          <w:szCs w:val="20"/>
        </w:rPr>
        <w:t xml:space="preserve"> le</w:t>
      </w:r>
      <w:r w:rsidR="00FE090F" w:rsidRPr="00494568">
        <w:rPr>
          <w:rFonts w:eastAsia="Verdana" w:cs="Verdana"/>
          <w:color w:val="000000"/>
          <w:szCs w:val="20"/>
        </w:rPr>
        <w:t xml:space="preserve"> déploiement du « </w:t>
      </w:r>
      <w:proofErr w:type="spellStart"/>
      <w:r w:rsidR="00FE090F" w:rsidRPr="00494568">
        <w:rPr>
          <w:rFonts w:eastAsia="Verdana" w:cs="Verdana"/>
          <w:color w:val="000000"/>
          <w:szCs w:val="20"/>
        </w:rPr>
        <w:t>crisis</w:t>
      </w:r>
      <w:proofErr w:type="spellEnd"/>
      <w:r w:rsidR="00FE090F" w:rsidRPr="00494568">
        <w:rPr>
          <w:rFonts w:eastAsia="Verdana" w:cs="Verdana"/>
          <w:color w:val="000000"/>
          <w:szCs w:val="20"/>
        </w:rPr>
        <w:t xml:space="preserve"> modifier » pour appuyer les efforts des Etats</w:t>
      </w:r>
      <w:r w:rsidR="00793F77" w:rsidRPr="00494568">
        <w:rPr>
          <w:rFonts w:eastAsia="Verdana" w:cs="Verdana"/>
          <w:color w:val="000000"/>
          <w:szCs w:val="20"/>
        </w:rPr>
        <w:t xml:space="preserve"> </w:t>
      </w:r>
      <w:r w:rsidR="00C06745" w:rsidRPr="00494568">
        <w:rPr>
          <w:rFonts w:eastAsia="Verdana" w:cs="Verdana"/>
          <w:color w:val="000000"/>
          <w:szCs w:val="20"/>
        </w:rPr>
        <w:t>membres dans</w:t>
      </w:r>
      <w:r w:rsidR="00793F77" w:rsidRPr="00494568">
        <w:rPr>
          <w:rFonts w:eastAsia="Verdana" w:cs="Verdana"/>
          <w:color w:val="000000"/>
          <w:szCs w:val="20"/>
        </w:rPr>
        <w:t xml:space="preserve"> la gestion de la réponse aux catastrophes</w:t>
      </w:r>
      <w:r w:rsidR="00FE090F" w:rsidRPr="00494568">
        <w:rPr>
          <w:rFonts w:eastAsia="Verdana" w:cs="Verdana"/>
          <w:color w:val="000000"/>
          <w:szCs w:val="20"/>
        </w:rPr>
        <w:t>.</w:t>
      </w:r>
    </w:p>
    <w:p w14:paraId="62D48159" w14:textId="51545CAC" w:rsidR="00494568" w:rsidRPr="00C44FDA" w:rsidRDefault="00564746" w:rsidP="00C44FDA">
      <w:pPr>
        <w:pStyle w:val="Paragraphedeliste"/>
        <w:numPr>
          <w:ilvl w:val="0"/>
          <w:numId w:val="16"/>
        </w:numPr>
        <w:rPr>
          <w:rFonts w:eastAsia="Verdana" w:cs="Verdana"/>
          <w:color w:val="000000"/>
          <w:szCs w:val="20"/>
        </w:rPr>
      </w:pPr>
      <w:r>
        <w:rPr>
          <w:rFonts w:eastAsia="Verdana" w:cs="Verdana"/>
          <w:color w:val="000000"/>
          <w:szCs w:val="20"/>
        </w:rPr>
        <w:t>Entreprendre</w:t>
      </w:r>
      <w:r w:rsidR="00494568">
        <w:rPr>
          <w:rFonts w:eastAsia="Verdana" w:cs="Verdana"/>
          <w:color w:val="000000"/>
          <w:szCs w:val="20"/>
        </w:rPr>
        <w:t xml:space="preserve"> la </w:t>
      </w:r>
      <w:r w:rsidR="00312671">
        <w:rPr>
          <w:rFonts w:eastAsia="Verdana" w:cs="Verdana"/>
          <w:color w:val="000000"/>
          <w:szCs w:val="20"/>
        </w:rPr>
        <w:t>négociation</w:t>
      </w:r>
      <w:r w:rsidR="00494568">
        <w:rPr>
          <w:rFonts w:eastAsia="Verdana" w:cs="Verdana"/>
          <w:color w:val="000000"/>
          <w:szCs w:val="20"/>
        </w:rPr>
        <w:t xml:space="preserve"> avec </w:t>
      </w:r>
      <w:proofErr w:type="spellStart"/>
      <w:r w:rsidR="00494568">
        <w:rPr>
          <w:rFonts w:eastAsia="Verdana" w:cs="Verdana"/>
          <w:color w:val="000000"/>
          <w:szCs w:val="20"/>
        </w:rPr>
        <w:t>RedR</w:t>
      </w:r>
      <w:proofErr w:type="spellEnd"/>
      <w:r w:rsidR="00494568">
        <w:rPr>
          <w:rFonts w:eastAsia="Verdana" w:cs="Verdana"/>
          <w:color w:val="000000"/>
          <w:szCs w:val="20"/>
        </w:rPr>
        <w:t xml:space="preserve"> </w:t>
      </w:r>
      <w:proofErr w:type="spellStart"/>
      <w:r w:rsidR="00494568">
        <w:rPr>
          <w:rFonts w:eastAsia="Verdana" w:cs="Verdana"/>
          <w:color w:val="000000"/>
          <w:szCs w:val="20"/>
        </w:rPr>
        <w:t>Australia</w:t>
      </w:r>
      <w:proofErr w:type="spellEnd"/>
      <w:r w:rsidR="00494568">
        <w:rPr>
          <w:rFonts w:eastAsia="Verdana" w:cs="Verdana"/>
          <w:color w:val="000000"/>
          <w:szCs w:val="20"/>
        </w:rPr>
        <w:t xml:space="preserve"> pour reconduire le déploiement d’un expert en appui au </w:t>
      </w:r>
      <w:r w:rsidR="00312671">
        <w:rPr>
          <w:rFonts w:eastAsia="Verdana" w:cs="Verdana"/>
          <w:color w:val="000000"/>
          <w:szCs w:val="20"/>
        </w:rPr>
        <w:t xml:space="preserve">Secrétariat </w:t>
      </w:r>
      <w:r w:rsidR="00494568">
        <w:rPr>
          <w:rFonts w:eastAsia="Verdana" w:cs="Verdana"/>
          <w:color w:val="000000"/>
          <w:szCs w:val="20"/>
        </w:rPr>
        <w:t>dans le domaine de la réduction des risques des catastrophes</w:t>
      </w:r>
      <w:r w:rsidR="004A7878">
        <w:rPr>
          <w:rFonts w:eastAsia="Verdana" w:cs="Verdana"/>
          <w:color w:val="000000"/>
          <w:szCs w:val="20"/>
        </w:rPr>
        <w:t>.</w:t>
      </w:r>
      <w:r w:rsidR="00494568">
        <w:rPr>
          <w:rFonts w:eastAsia="Verdana" w:cs="Verdana"/>
          <w:color w:val="000000"/>
          <w:szCs w:val="20"/>
        </w:rPr>
        <w:t xml:space="preserve">  </w:t>
      </w:r>
    </w:p>
    <w:p w14:paraId="4C6DFB48" w14:textId="77777777" w:rsidR="00C06745" w:rsidRPr="00FE090F" w:rsidRDefault="00C06745" w:rsidP="00FE090F">
      <w:pPr>
        <w:pStyle w:val="Paragraphedeliste"/>
        <w:numPr>
          <w:ilvl w:val="0"/>
          <w:numId w:val="0"/>
        </w:numPr>
        <w:pBdr>
          <w:top w:val="nil"/>
          <w:left w:val="nil"/>
          <w:bottom w:val="nil"/>
          <w:right w:val="nil"/>
          <w:between w:val="nil"/>
        </w:pBdr>
        <w:spacing w:after="0" w:line="249" w:lineRule="auto"/>
        <w:ind w:left="1211"/>
        <w:rPr>
          <w:rFonts w:eastAsia="Verdana" w:cs="Verdana"/>
          <w:color w:val="000000"/>
          <w:szCs w:val="20"/>
        </w:rPr>
      </w:pPr>
    </w:p>
    <w:p w14:paraId="59AA5220" w14:textId="3CE209C6" w:rsidR="00494568" w:rsidRDefault="00564746" w:rsidP="00FE090F">
      <w:pPr>
        <w:numPr>
          <w:ilvl w:val="0"/>
          <w:numId w:val="3"/>
        </w:numPr>
        <w:pBdr>
          <w:top w:val="nil"/>
          <w:left w:val="nil"/>
          <w:bottom w:val="nil"/>
          <w:right w:val="nil"/>
          <w:between w:val="nil"/>
        </w:pBdr>
        <w:spacing w:after="0" w:line="249" w:lineRule="auto"/>
        <w:rPr>
          <w:rFonts w:eastAsia="Verdana" w:cs="Verdana"/>
          <w:color w:val="000000"/>
          <w:szCs w:val="20"/>
        </w:rPr>
      </w:pPr>
      <w:r>
        <w:rPr>
          <w:rFonts w:eastAsia="Verdana" w:cs="Verdana"/>
          <w:color w:val="000000"/>
          <w:szCs w:val="20"/>
        </w:rPr>
        <w:t>R</w:t>
      </w:r>
      <w:r w:rsidR="00C44FDA">
        <w:rPr>
          <w:rFonts w:eastAsia="Verdana" w:cs="Verdana"/>
          <w:color w:val="000000"/>
          <w:szCs w:val="20"/>
        </w:rPr>
        <w:t>ecommande</w:t>
      </w:r>
      <w:r w:rsidR="00494568">
        <w:rPr>
          <w:rFonts w:eastAsia="Verdana" w:cs="Verdana"/>
          <w:color w:val="000000"/>
          <w:szCs w:val="20"/>
        </w:rPr>
        <w:t xml:space="preserve"> au Conseil </w:t>
      </w:r>
      <w:r w:rsidR="004A7878">
        <w:rPr>
          <w:rFonts w:eastAsia="Verdana" w:cs="Verdana"/>
          <w:color w:val="000000"/>
          <w:szCs w:val="20"/>
        </w:rPr>
        <w:t xml:space="preserve">des ministres </w:t>
      </w:r>
      <w:r w:rsidR="00494568">
        <w:rPr>
          <w:rFonts w:eastAsia="Verdana" w:cs="Verdana"/>
          <w:color w:val="000000"/>
          <w:szCs w:val="20"/>
        </w:rPr>
        <w:t>de donner un mandat au Secr</w:t>
      </w:r>
      <w:r w:rsidR="004A7878">
        <w:rPr>
          <w:rFonts w:eastAsia="Verdana" w:cs="Verdana"/>
          <w:color w:val="000000"/>
          <w:szCs w:val="20"/>
        </w:rPr>
        <w:t>é</w:t>
      </w:r>
      <w:r w:rsidR="00494568">
        <w:rPr>
          <w:rFonts w:eastAsia="Verdana" w:cs="Verdana"/>
          <w:color w:val="000000"/>
          <w:szCs w:val="20"/>
        </w:rPr>
        <w:t xml:space="preserve">tariat général pour assurer pleinement le rôle </w:t>
      </w:r>
      <w:r w:rsidR="004A7878">
        <w:rPr>
          <w:rFonts w:eastAsia="Verdana" w:cs="Verdana"/>
          <w:color w:val="000000"/>
          <w:szCs w:val="20"/>
        </w:rPr>
        <w:t>de secrétariat</w:t>
      </w:r>
      <w:r w:rsidR="00494568">
        <w:rPr>
          <w:rFonts w:eastAsia="Verdana" w:cs="Verdana"/>
          <w:color w:val="000000"/>
          <w:szCs w:val="20"/>
        </w:rPr>
        <w:t xml:space="preserve"> </w:t>
      </w:r>
      <w:r w:rsidR="004A7878">
        <w:rPr>
          <w:rFonts w:eastAsia="Verdana" w:cs="Verdana"/>
          <w:color w:val="000000"/>
          <w:szCs w:val="20"/>
        </w:rPr>
        <w:t>de l’</w:t>
      </w:r>
      <w:r w:rsidR="00494568">
        <w:rPr>
          <w:rFonts w:eastAsia="Verdana" w:cs="Verdana"/>
          <w:color w:val="000000"/>
          <w:szCs w:val="20"/>
        </w:rPr>
        <w:t>AISCC</w:t>
      </w:r>
      <w:r w:rsidR="00497F62">
        <w:rPr>
          <w:rFonts w:eastAsia="Verdana" w:cs="Verdana"/>
          <w:color w:val="000000"/>
          <w:szCs w:val="20"/>
        </w:rPr>
        <w:t xml:space="preserve"> et de se positionner pour assurer la coordination du groupe Atlantique, </w:t>
      </w:r>
      <w:r w:rsidR="004A7878">
        <w:rPr>
          <w:rFonts w:eastAsia="Verdana" w:cs="Verdana"/>
          <w:color w:val="000000"/>
          <w:szCs w:val="20"/>
        </w:rPr>
        <w:t xml:space="preserve">océan </w:t>
      </w:r>
      <w:r w:rsidR="00497F62">
        <w:rPr>
          <w:rFonts w:eastAsia="Verdana" w:cs="Verdana"/>
          <w:color w:val="000000"/>
          <w:szCs w:val="20"/>
        </w:rPr>
        <w:t>Indien et mer de Chine (AIS)</w:t>
      </w:r>
      <w:r>
        <w:rPr>
          <w:rFonts w:eastAsia="Verdana" w:cs="Verdana"/>
          <w:color w:val="000000"/>
          <w:szCs w:val="20"/>
        </w:rPr>
        <w:t>.</w:t>
      </w:r>
    </w:p>
    <w:p w14:paraId="49FC52EE" w14:textId="77777777" w:rsidR="00494568" w:rsidRDefault="00494568" w:rsidP="00C44FDA">
      <w:pPr>
        <w:pBdr>
          <w:top w:val="nil"/>
          <w:left w:val="nil"/>
          <w:bottom w:val="nil"/>
          <w:right w:val="nil"/>
          <w:between w:val="nil"/>
        </w:pBdr>
        <w:spacing w:after="0" w:line="249" w:lineRule="auto"/>
        <w:ind w:left="1211"/>
        <w:rPr>
          <w:rFonts w:eastAsia="Verdana" w:cs="Verdana"/>
          <w:color w:val="000000"/>
          <w:szCs w:val="20"/>
        </w:rPr>
      </w:pPr>
    </w:p>
    <w:p w14:paraId="30DA8F04" w14:textId="2401934E" w:rsidR="008F7B23" w:rsidRDefault="008F7B23" w:rsidP="008F7B23">
      <w:pPr>
        <w:pBdr>
          <w:top w:val="nil"/>
          <w:left w:val="nil"/>
          <w:bottom w:val="nil"/>
          <w:right w:val="nil"/>
          <w:between w:val="nil"/>
        </w:pBdr>
        <w:spacing w:after="0" w:line="249" w:lineRule="auto"/>
        <w:ind w:left="1211"/>
        <w:rPr>
          <w:rFonts w:eastAsia="Verdana" w:cs="Verdana"/>
          <w:color w:val="000000"/>
          <w:szCs w:val="20"/>
        </w:rPr>
      </w:pPr>
    </w:p>
    <w:p w14:paraId="00000043" w14:textId="77777777" w:rsidR="00FB0ED7" w:rsidRDefault="00FB0ED7">
      <w:bookmarkStart w:id="4" w:name="_heading=h.1fob9te" w:colFirst="0" w:colLast="0"/>
      <w:bookmarkEnd w:id="4"/>
    </w:p>
    <w:p w14:paraId="00000048" w14:textId="6F48C6E5" w:rsidR="00FB0ED7" w:rsidRPr="0031733C" w:rsidRDefault="0031733C" w:rsidP="0031733C">
      <w:pPr>
        <w:pStyle w:val="Paragraphedeliste"/>
        <w:numPr>
          <w:ilvl w:val="0"/>
          <w:numId w:val="12"/>
        </w:numPr>
        <w:rPr>
          <w:b/>
          <w:bCs/>
          <w:color w:val="4472C4" w:themeColor="accent1"/>
        </w:rPr>
      </w:pPr>
      <w:r w:rsidRPr="0031733C">
        <w:rPr>
          <w:b/>
          <w:bCs/>
          <w:color w:val="4472C4" w:themeColor="accent1"/>
        </w:rPr>
        <w:t xml:space="preserve">Annexes </w:t>
      </w:r>
    </w:p>
    <w:p w14:paraId="768DBC5E" w14:textId="77777777" w:rsidR="0031733C" w:rsidRDefault="0031733C" w:rsidP="0031733C">
      <w:pPr>
        <w:pStyle w:val="Paragraphedeliste"/>
        <w:numPr>
          <w:ilvl w:val="0"/>
          <w:numId w:val="0"/>
        </w:numPr>
        <w:ind w:left="360"/>
        <w:rPr>
          <w:b/>
          <w:bCs/>
          <w:color w:val="4472C4" w:themeColor="accent1"/>
        </w:rPr>
      </w:pPr>
    </w:p>
    <w:p w14:paraId="7155AA8C" w14:textId="489FF408" w:rsidR="0031733C" w:rsidRPr="0031733C" w:rsidRDefault="0031733C" w:rsidP="0031733C">
      <w:pPr>
        <w:pStyle w:val="Paragraphedeliste"/>
        <w:numPr>
          <w:ilvl w:val="0"/>
          <w:numId w:val="0"/>
        </w:numPr>
        <w:ind w:left="360"/>
      </w:pPr>
      <w:r w:rsidRPr="0031733C">
        <w:rPr>
          <w:b/>
          <w:bCs/>
        </w:rPr>
        <w:t>Annexe 1</w:t>
      </w:r>
      <w:r w:rsidRPr="0031733C">
        <w:t> : Projet MoU entre la COI et la Fédération International</w:t>
      </w:r>
      <w:r>
        <w:t>e</w:t>
      </w:r>
      <w:r w:rsidRPr="0031733C">
        <w:t xml:space="preserve"> </w:t>
      </w:r>
      <w:r w:rsidR="004A7878">
        <w:t xml:space="preserve">des sociétés </w:t>
      </w:r>
      <w:r w:rsidRPr="0031733C">
        <w:t xml:space="preserve">de la </w:t>
      </w:r>
      <w:r w:rsidR="004A7878" w:rsidRPr="0031733C">
        <w:t>Croi</w:t>
      </w:r>
      <w:r w:rsidR="004A7878">
        <w:t>x Rouge</w:t>
      </w:r>
      <w:r w:rsidR="004A7878" w:rsidRPr="0031733C">
        <w:t xml:space="preserve"> </w:t>
      </w:r>
      <w:r w:rsidRPr="0031733C">
        <w:t xml:space="preserve">et </w:t>
      </w:r>
      <w:r w:rsidR="004A7878">
        <w:t xml:space="preserve">du </w:t>
      </w:r>
      <w:r w:rsidRPr="0031733C">
        <w:t xml:space="preserve">Croissant Rouge </w:t>
      </w:r>
    </w:p>
    <w:sectPr w:rsidR="0031733C" w:rsidRPr="0031733C" w:rsidSect="00564746">
      <w:headerReference w:type="default" r:id="rId9"/>
      <w:footerReference w:type="default" r:id="rId10"/>
      <w:pgSz w:w="11906" w:h="16838"/>
      <w:pgMar w:top="1702" w:right="1274" w:bottom="1418" w:left="1417" w:header="708" w:footer="4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1E2F7" w14:textId="77777777" w:rsidR="0031588D" w:rsidRDefault="0031588D">
      <w:pPr>
        <w:spacing w:after="0" w:line="240" w:lineRule="auto"/>
      </w:pPr>
      <w:r>
        <w:separator/>
      </w:r>
    </w:p>
  </w:endnote>
  <w:endnote w:type="continuationSeparator" w:id="0">
    <w:p w14:paraId="58FD7B37" w14:textId="77777777" w:rsidR="0031588D" w:rsidRDefault="00315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C" w14:textId="2902930C" w:rsidR="00FB0ED7" w:rsidRDefault="002206DE">
    <w:pPr>
      <w:pBdr>
        <w:top w:val="single" w:sz="4" w:space="1" w:color="ED7D31"/>
        <w:left w:val="nil"/>
        <w:bottom w:val="nil"/>
        <w:right w:val="nil"/>
        <w:between w:val="nil"/>
      </w:pBdr>
      <w:tabs>
        <w:tab w:val="center" w:pos="4536"/>
        <w:tab w:val="right" w:pos="9072"/>
      </w:tabs>
      <w:spacing w:after="0" w:line="240" w:lineRule="auto"/>
      <w:jc w:val="right"/>
      <w:rPr>
        <w:rFonts w:eastAsia="Verdana" w:cs="Verdana"/>
        <w:color w:val="000000"/>
        <w:szCs w:val="20"/>
      </w:rPr>
    </w:pPr>
    <w:r>
      <w:rPr>
        <w:rFonts w:eastAsia="Verdana" w:cs="Verdana"/>
        <w:noProof/>
        <w:color w:val="000000"/>
        <w:szCs w:val="20"/>
      </w:rPr>
      <mc:AlternateContent>
        <mc:Choice Requires="wps">
          <w:drawing>
            <wp:anchor distT="0" distB="0" distL="114300" distR="114300" simplePos="0" relativeHeight="251659264" behindDoc="0" locked="0" layoutInCell="0" allowOverlap="1" wp14:anchorId="62D00016" wp14:editId="33D7F765">
              <wp:simplePos x="0" y="0"/>
              <wp:positionH relativeFrom="page">
                <wp:posOffset>0</wp:posOffset>
              </wp:positionH>
              <wp:positionV relativeFrom="page">
                <wp:posOffset>10227945</wp:posOffset>
              </wp:positionV>
              <wp:extent cx="7560310" cy="273050"/>
              <wp:effectExtent l="0" t="0" r="0" b="12700"/>
              <wp:wrapNone/>
              <wp:docPr id="1" name="MSIPCM64ed494094a5e8933328777e" descr="{&quot;HashCode&quot;:-454365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6B60D7" w14:textId="00335E55" w:rsidR="002206DE" w:rsidRPr="002206DE" w:rsidRDefault="002206DE" w:rsidP="002206DE">
                          <w:pPr>
                            <w:spacing w:after="0"/>
                            <w:jc w:val="left"/>
                            <w:rPr>
                              <w:rFonts w:ascii="Calibri" w:hAnsi="Calibri" w:cs="Calibri"/>
                              <w:color w:val="000000"/>
                            </w:rPr>
                          </w:pPr>
                          <w:r w:rsidRPr="002206DE">
                            <w:rPr>
                              <w:rFonts w:ascii="Calibri" w:hAnsi="Calibri" w:cs="Calibri"/>
                              <w:color w:val="000000"/>
                            </w:rPr>
                            <w:t>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2D00016" id="_x0000_t202" coordsize="21600,21600" o:spt="202" path="m,l,21600r21600,l21600,xe">
              <v:stroke joinstyle="miter"/>
              <v:path gradientshapeok="t" o:connecttype="rect"/>
            </v:shapetype>
            <v:shape id="MSIPCM64ed494094a5e8933328777e" o:spid="_x0000_s1026" type="#_x0000_t202" alt="{&quot;HashCode&quot;:-45436510,&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16B60D7" w14:textId="00335E55" w:rsidR="002206DE" w:rsidRPr="002206DE" w:rsidRDefault="002206DE" w:rsidP="002206DE">
                    <w:pPr>
                      <w:spacing w:after="0"/>
                      <w:jc w:val="left"/>
                      <w:rPr>
                        <w:rFonts w:ascii="Calibri" w:hAnsi="Calibri" w:cs="Calibri"/>
                        <w:color w:val="000000"/>
                      </w:rPr>
                    </w:pPr>
                    <w:r w:rsidRPr="002206DE">
                      <w:rPr>
                        <w:rFonts w:ascii="Calibri" w:hAnsi="Calibri" w:cs="Calibri"/>
                        <w:color w:val="000000"/>
                      </w:rPr>
                      <w:t>Public</w:t>
                    </w:r>
                  </w:p>
                </w:txbxContent>
              </v:textbox>
              <w10:wrap anchorx="page" anchory="page"/>
            </v:shape>
          </w:pict>
        </mc:Fallback>
      </mc:AlternateContent>
    </w:r>
    <w:r w:rsidR="004877C0">
      <w:rPr>
        <w:rFonts w:eastAsia="Verdana" w:cs="Verdana"/>
        <w:color w:val="000000"/>
        <w:szCs w:val="20"/>
      </w:rPr>
      <w:fldChar w:fldCharType="begin"/>
    </w:r>
    <w:r w:rsidR="004877C0">
      <w:rPr>
        <w:rFonts w:eastAsia="Verdana" w:cs="Verdana"/>
        <w:color w:val="000000"/>
        <w:szCs w:val="20"/>
      </w:rPr>
      <w:instrText>PAGE</w:instrText>
    </w:r>
    <w:r w:rsidR="004877C0">
      <w:rPr>
        <w:rFonts w:eastAsia="Verdana" w:cs="Verdana"/>
        <w:color w:val="000000"/>
        <w:szCs w:val="20"/>
      </w:rPr>
      <w:fldChar w:fldCharType="separate"/>
    </w:r>
    <w:r w:rsidR="00990DA7">
      <w:rPr>
        <w:rFonts w:eastAsia="Verdana" w:cs="Verdana"/>
        <w:noProof/>
        <w:color w:val="000000"/>
        <w:szCs w:val="20"/>
      </w:rPr>
      <w:t>4</w:t>
    </w:r>
    <w:r w:rsidR="004877C0">
      <w:rPr>
        <w:rFonts w:eastAsia="Verdana" w:cs="Verdana"/>
        <w:color w:val="000000"/>
        <w:szCs w:val="20"/>
      </w:rPr>
      <w:fldChar w:fldCharType="end"/>
    </w:r>
  </w:p>
  <w:p w14:paraId="0000004D" w14:textId="77777777" w:rsidR="00FB0ED7" w:rsidRDefault="00FB0ED7">
    <w:pPr>
      <w:pBdr>
        <w:top w:val="nil"/>
        <w:left w:val="nil"/>
        <w:bottom w:val="nil"/>
        <w:right w:val="nil"/>
        <w:between w:val="nil"/>
      </w:pBdr>
      <w:tabs>
        <w:tab w:val="center" w:pos="4536"/>
        <w:tab w:val="right" w:pos="9072"/>
      </w:tabs>
      <w:spacing w:after="0" w:line="240" w:lineRule="auto"/>
      <w:rPr>
        <w:rFonts w:eastAsia="Verdana" w:cs="Verdana"/>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50507" w14:textId="77777777" w:rsidR="0031588D" w:rsidRDefault="0031588D">
      <w:pPr>
        <w:spacing w:after="0" w:line="240" w:lineRule="auto"/>
      </w:pPr>
      <w:r>
        <w:separator/>
      </w:r>
    </w:p>
  </w:footnote>
  <w:footnote w:type="continuationSeparator" w:id="0">
    <w:p w14:paraId="5F039081" w14:textId="77777777" w:rsidR="0031588D" w:rsidRDefault="00315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A" w14:textId="77777777" w:rsidR="00FB0ED7" w:rsidRDefault="004877C0">
    <w:pPr>
      <w:tabs>
        <w:tab w:val="right" w:pos="8931"/>
      </w:tabs>
    </w:pPr>
    <w:r>
      <w:rPr>
        <w:noProof/>
        <w:lang w:eastAsia="fr-FR"/>
      </w:rPr>
      <w:drawing>
        <wp:anchor distT="0" distB="0" distL="114300" distR="114300" simplePos="0" relativeHeight="251658240" behindDoc="0" locked="0" layoutInCell="1" hidden="0" allowOverlap="1" wp14:anchorId="0DBA4081" wp14:editId="3D493F6C">
          <wp:simplePos x="0" y="0"/>
          <wp:positionH relativeFrom="column">
            <wp:posOffset>8891</wp:posOffset>
          </wp:positionH>
          <wp:positionV relativeFrom="paragraph">
            <wp:posOffset>-101599</wp:posOffset>
          </wp:positionV>
          <wp:extent cx="832485" cy="377190"/>
          <wp:effectExtent l="0" t="0" r="0" b="0"/>
          <wp:wrapSquare wrapText="bothSides" distT="0" distB="0" distL="114300" distR="114300"/>
          <wp:docPr id="2569108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32485" cy="377190"/>
                  </a:xfrm>
                  <a:prstGeom prst="rect">
                    <a:avLst/>
                  </a:prstGeom>
                  <a:ln/>
                </pic:spPr>
              </pic:pic>
            </a:graphicData>
          </a:graphic>
        </wp:anchor>
      </w:drawing>
    </w:r>
  </w:p>
  <w:p w14:paraId="0000004B" w14:textId="4B8F9E65" w:rsidR="00FB0ED7" w:rsidRDefault="004877C0">
    <w:pPr>
      <w:pBdr>
        <w:bottom w:val="single" w:sz="4" w:space="1" w:color="0070C0"/>
      </w:pBdr>
      <w:tabs>
        <w:tab w:val="right" w:pos="8931"/>
      </w:tabs>
    </w:pPr>
    <w:r>
      <w:tab/>
      <w:t xml:space="preserve">Point. </w:t>
    </w:r>
    <w:r w:rsidR="005C790C">
      <w:t>2.10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D3C"/>
    <w:multiLevelType w:val="hybridMultilevel"/>
    <w:tmpl w:val="6F0ECC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8BF3590"/>
    <w:multiLevelType w:val="multilevel"/>
    <w:tmpl w:val="1A4AD9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9F2345F"/>
    <w:multiLevelType w:val="multilevel"/>
    <w:tmpl w:val="AF26E802"/>
    <w:lvl w:ilvl="0">
      <w:start w:val="1"/>
      <w:numFmt w:val="decimal"/>
      <w:pStyle w:val="Titrepartie"/>
      <w:lvlText w:val="%1."/>
      <w:lvlJc w:val="left"/>
      <w:pPr>
        <w:ind w:left="567" w:hanging="567"/>
      </w:pPr>
      <w:rPr>
        <w:rFonts w:ascii="Verdana" w:eastAsia="Verdana" w:hAnsi="Verdana" w:cs="Verdana"/>
        <w:b/>
        <w:sz w:val="20"/>
        <w:szCs w:val="20"/>
      </w:rPr>
    </w:lvl>
    <w:lvl w:ilvl="1">
      <w:start w:val="1"/>
      <w:numFmt w:val="lowerLetter"/>
      <w:lvlText w:val="%2."/>
      <w:lvlJc w:val="left"/>
      <w:pPr>
        <w:ind w:left="785" w:hanging="284"/>
      </w:pPr>
      <w:rPr>
        <w:rFonts w:ascii="Verdana" w:eastAsia="Verdana" w:hAnsi="Verdana" w:cs="Verdana"/>
        <w:b/>
        <w:sz w:val="20"/>
        <w:szCs w:val="20"/>
      </w:rPr>
    </w:lvl>
    <w:lvl w:ilvl="2">
      <w:numFmt w:val="bullet"/>
      <w:lvlText w:val="●"/>
      <w:lvlJc w:val="left"/>
      <w:pPr>
        <w:ind w:left="1922" w:hanging="284"/>
      </w:pPr>
      <w:rPr>
        <w:rFonts w:ascii="Noto Sans Symbols" w:eastAsia="Noto Sans Symbols" w:hAnsi="Noto Sans Symbols" w:cs="Noto Sans Symbols"/>
      </w:rPr>
    </w:lvl>
    <w:lvl w:ilvl="3">
      <w:numFmt w:val="bullet"/>
      <w:lvlText w:val="●"/>
      <w:lvlJc w:val="left"/>
      <w:pPr>
        <w:ind w:left="2905" w:hanging="284"/>
      </w:pPr>
      <w:rPr>
        <w:rFonts w:ascii="Noto Sans Symbols" w:eastAsia="Noto Sans Symbols" w:hAnsi="Noto Sans Symbols" w:cs="Noto Sans Symbols"/>
      </w:rPr>
    </w:lvl>
    <w:lvl w:ilvl="4">
      <w:numFmt w:val="bullet"/>
      <w:lvlText w:val="●"/>
      <w:lvlJc w:val="left"/>
      <w:pPr>
        <w:ind w:left="3888" w:hanging="283"/>
      </w:pPr>
      <w:rPr>
        <w:rFonts w:ascii="Noto Sans Symbols" w:eastAsia="Noto Sans Symbols" w:hAnsi="Noto Sans Symbols" w:cs="Noto Sans Symbols"/>
      </w:rPr>
    </w:lvl>
    <w:lvl w:ilvl="5">
      <w:numFmt w:val="bullet"/>
      <w:lvlText w:val="●"/>
      <w:lvlJc w:val="left"/>
      <w:pPr>
        <w:ind w:left="4871" w:hanging="284"/>
      </w:pPr>
      <w:rPr>
        <w:rFonts w:ascii="Noto Sans Symbols" w:eastAsia="Noto Sans Symbols" w:hAnsi="Noto Sans Symbols" w:cs="Noto Sans Symbols"/>
      </w:rPr>
    </w:lvl>
    <w:lvl w:ilvl="6">
      <w:numFmt w:val="bullet"/>
      <w:lvlText w:val="●"/>
      <w:lvlJc w:val="left"/>
      <w:pPr>
        <w:ind w:left="5854" w:hanging="284"/>
      </w:pPr>
      <w:rPr>
        <w:rFonts w:ascii="Noto Sans Symbols" w:eastAsia="Noto Sans Symbols" w:hAnsi="Noto Sans Symbols" w:cs="Noto Sans Symbols"/>
      </w:rPr>
    </w:lvl>
    <w:lvl w:ilvl="7">
      <w:numFmt w:val="bullet"/>
      <w:lvlText w:val="●"/>
      <w:lvlJc w:val="left"/>
      <w:pPr>
        <w:ind w:left="6837" w:hanging="283"/>
      </w:pPr>
      <w:rPr>
        <w:rFonts w:ascii="Noto Sans Symbols" w:eastAsia="Noto Sans Symbols" w:hAnsi="Noto Sans Symbols" w:cs="Noto Sans Symbols"/>
      </w:rPr>
    </w:lvl>
    <w:lvl w:ilvl="8">
      <w:numFmt w:val="bullet"/>
      <w:lvlText w:val="●"/>
      <w:lvlJc w:val="left"/>
      <w:pPr>
        <w:ind w:left="7820" w:hanging="284"/>
      </w:pPr>
      <w:rPr>
        <w:rFonts w:ascii="Noto Sans Symbols" w:eastAsia="Noto Sans Symbols" w:hAnsi="Noto Sans Symbols" w:cs="Noto Sans Symbols"/>
      </w:rPr>
    </w:lvl>
  </w:abstractNum>
  <w:abstractNum w:abstractNumId="3" w15:restartNumberingAfterBreak="0">
    <w:nsid w:val="0F277EC8"/>
    <w:multiLevelType w:val="hybridMultilevel"/>
    <w:tmpl w:val="5A1C7F50"/>
    <w:lvl w:ilvl="0" w:tplc="24289C00">
      <w:numFmt w:val="bullet"/>
      <w:lvlText w:val="-"/>
      <w:lvlJc w:val="left"/>
      <w:pPr>
        <w:ind w:left="720" w:hanging="360"/>
      </w:pPr>
      <w:rPr>
        <w:rFonts w:ascii="Verdana" w:eastAsia="Verdan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9B47EB"/>
    <w:multiLevelType w:val="multilevel"/>
    <w:tmpl w:val="A00EDED6"/>
    <w:lvl w:ilvl="0">
      <w:start w:val="1"/>
      <w:numFmt w:val="lowerLetter"/>
      <w:pStyle w:val="Paragraphedeliste"/>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2AD42F8E"/>
    <w:multiLevelType w:val="hybridMultilevel"/>
    <w:tmpl w:val="0994D488"/>
    <w:lvl w:ilvl="0" w:tplc="20000001">
      <w:start w:val="1"/>
      <w:numFmt w:val="bullet"/>
      <w:lvlText w:val=""/>
      <w:lvlJc w:val="left"/>
      <w:pPr>
        <w:ind w:left="795" w:hanging="360"/>
      </w:pPr>
      <w:rPr>
        <w:rFonts w:ascii="Symbol" w:hAnsi="Symbol" w:hint="default"/>
      </w:rPr>
    </w:lvl>
    <w:lvl w:ilvl="1" w:tplc="20000003" w:tentative="1">
      <w:start w:val="1"/>
      <w:numFmt w:val="bullet"/>
      <w:lvlText w:val="o"/>
      <w:lvlJc w:val="left"/>
      <w:pPr>
        <w:ind w:left="1515" w:hanging="360"/>
      </w:pPr>
      <w:rPr>
        <w:rFonts w:ascii="Courier New" w:hAnsi="Courier New" w:cs="Courier New" w:hint="default"/>
      </w:rPr>
    </w:lvl>
    <w:lvl w:ilvl="2" w:tplc="20000005" w:tentative="1">
      <w:start w:val="1"/>
      <w:numFmt w:val="bullet"/>
      <w:lvlText w:val=""/>
      <w:lvlJc w:val="left"/>
      <w:pPr>
        <w:ind w:left="2235" w:hanging="360"/>
      </w:pPr>
      <w:rPr>
        <w:rFonts w:ascii="Wingdings" w:hAnsi="Wingdings" w:hint="default"/>
      </w:rPr>
    </w:lvl>
    <w:lvl w:ilvl="3" w:tplc="20000001" w:tentative="1">
      <w:start w:val="1"/>
      <w:numFmt w:val="bullet"/>
      <w:lvlText w:val=""/>
      <w:lvlJc w:val="left"/>
      <w:pPr>
        <w:ind w:left="2955" w:hanging="360"/>
      </w:pPr>
      <w:rPr>
        <w:rFonts w:ascii="Symbol" w:hAnsi="Symbol" w:hint="default"/>
      </w:rPr>
    </w:lvl>
    <w:lvl w:ilvl="4" w:tplc="20000003" w:tentative="1">
      <w:start w:val="1"/>
      <w:numFmt w:val="bullet"/>
      <w:lvlText w:val="o"/>
      <w:lvlJc w:val="left"/>
      <w:pPr>
        <w:ind w:left="3675" w:hanging="360"/>
      </w:pPr>
      <w:rPr>
        <w:rFonts w:ascii="Courier New" w:hAnsi="Courier New" w:cs="Courier New" w:hint="default"/>
      </w:rPr>
    </w:lvl>
    <w:lvl w:ilvl="5" w:tplc="20000005" w:tentative="1">
      <w:start w:val="1"/>
      <w:numFmt w:val="bullet"/>
      <w:lvlText w:val=""/>
      <w:lvlJc w:val="left"/>
      <w:pPr>
        <w:ind w:left="4395" w:hanging="360"/>
      </w:pPr>
      <w:rPr>
        <w:rFonts w:ascii="Wingdings" w:hAnsi="Wingdings" w:hint="default"/>
      </w:rPr>
    </w:lvl>
    <w:lvl w:ilvl="6" w:tplc="20000001" w:tentative="1">
      <w:start w:val="1"/>
      <w:numFmt w:val="bullet"/>
      <w:lvlText w:val=""/>
      <w:lvlJc w:val="left"/>
      <w:pPr>
        <w:ind w:left="5115" w:hanging="360"/>
      </w:pPr>
      <w:rPr>
        <w:rFonts w:ascii="Symbol" w:hAnsi="Symbol" w:hint="default"/>
      </w:rPr>
    </w:lvl>
    <w:lvl w:ilvl="7" w:tplc="20000003" w:tentative="1">
      <w:start w:val="1"/>
      <w:numFmt w:val="bullet"/>
      <w:lvlText w:val="o"/>
      <w:lvlJc w:val="left"/>
      <w:pPr>
        <w:ind w:left="5835" w:hanging="360"/>
      </w:pPr>
      <w:rPr>
        <w:rFonts w:ascii="Courier New" w:hAnsi="Courier New" w:cs="Courier New" w:hint="default"/>
      </w:rPr>
    </w:lvl>
    <w:lvl w:ilvl="8" w:tplc="20000005" w:tentative="1">
      <w:start w:val="1"/>
      <w:numFmt w:val="bullet"/>
      <w:lvlText w:val=""/>
      <w:lvlJc w:val="left"/>
      <w:pPr>
        <w:ind w:left="6555" w:hanging="360"/>
      </w:pPr>
      <w:rPr>
        <w:rFonts w:ascii="Wingdings" w:hAnsi="Wingdings" w:hint="default"/>
      </w:rPr>
    </w:lvl>
  </w:abstractNum>
  <w:abstractNum w:abstractNumId="6" w15:restartNumberingAfterBreak="0">
    <w:nsid w:val="2E482CF3"/>
    <w:multiLevelType w:val="hybridMultilevel"/>
    <w:tmpl w:val="409CF33A"/>
    <w:lvl w:ilvl="0" w:tplc="322AD9CE">
      <w:start w:val="1"/>
      <w:numFmt w:val="lowerRoman"/>
      <w:lvlText w:val="(%1)"/>
      <w:lvlJc w:val="left"/>
      <w:pPr>
        <w:ind w:left="1931" w:hanging="720"/>
      </w:pPr>
      <w:rPr>
        <w:rFonts w:hint="default"/>
      </w:r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7" w15:restartNumberingAfterBreak="0">
    <w:nsid w:val="2ECE48CD"/>
    <w:multiLevelType w:val="multilevel"/>
    <w:tmpl w:val="32BA5C3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8" w15:restartNumberingAfterBreak="0">
    <w:nsid w:val="31EB44D2"/>
    <w:multiLevelType w:val="multilevel"/>
    <w:tmpl w:val="EF1E0F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1165AD"/>
    <w:multiLevelType w:val="multilevel"/>
    <w:tmpl w:val="32BA5C3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10" w15:restartNumberingAfterBreak="0">
    <w:nsid w:val="3E6B5D03"/>
    <w:multiLevelType w:val="hybridMultilevel"/>
    <w:tmpl w:val="9A8A0A68"/>
    <w:lvl w:ilvl="0" w:tplc="A5761B88">
      <w:start w:val="1"/>
      <w:numFmt w:val="decimal"/>
      <w:lvlText w:val="%1."/>
      <w:lvlJc w:val="left"/>
      <w:pPr>
        <w:ind w:left="720" w:hanging="360"/>
      </w:pPr>
      <w:rPr>
        <w:rFonts w:eastAsiaTheme="minorHAnsi" w:cstheme="minorBidi" w:hint="default"/>
        <w:b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6A56F1E"/>
    <w:multiLevelType w:val="hybridMultilevel"/>
    <w:tmpl w:val="0AC8D72A"/>
    <w:lvl w:ilvl="0" w:tplc="AD24C3C6">
      <w:start w:val="1"/>
      <w:numFmt w:val="lowerRoman"/>
      <w:lvlText w:val="(%1)"/>
      <w:lvlJc w:val="left"/>
      <w:pPr>
        <w:ind w:left="1931" w:hanging="720"/>
      </w:pPr>
      <w:rPr>
        <w:rFonts w:hint="default"/>
      </w:r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2" w15:restartNumberingAfterBreak="0">
    <w:nsid w:val="51737F66"/>
    <w:multiLevelType w:val="hybridMultilevel"/>
    <w:tmpl w:val="CC2A1EFC"/>
    <w:lvl w:ilvl="0" w:tplc="199E137C">
      <w:start w:val="1"/>
      <w:numFmt w:val="lowerRoman"/>
      <w:lvlText w:val="(%1)"/>
      <w:lvlJc w:val="left"/>
      <w:pPr>
        <w:ind w:left="1931" w:hanging="720"/>
      </w:pPr>
      <w:rPr>
        <w:rFonts w:hint="default"/>
      </w:r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3" w15:restartNumberingAfterBreak="0">
    <w:nsid w:val="6EAC17CB"/>
    <w:multiLevelType w:val="hybridMultilevel"/>
    <w:tmpl w:val="F2845F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296290A"/>
    <w:multiLevelType w:val="multilevel"/>
    <w:tmpl w:val="32BA5C3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15" w15:restartNumberingAfterBreak="0">
    <w:nsid w:val="753254C1"/>
    <w:multiLevelType w:val="hybridMultilevel"/>
    <w:tmpl w:val="CCDCC63C"/>
    <w:lvl w:ilvl="0" w:tplc="2000000F">
      <w:start w:val="1"/>
      <w:numFmt w:val="decimal"/>
      <w:lvlText w:val="%1."/>
      <w:lvlJc w:val="left"/>
      <w:pPr>
        <w:ind w:left="36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57660201">
    <w:abstractNumId w:val="2"/>
  </w:num>
  <w:num w:numId="2" w16cid:durableId="825126123">
    <w:abstractNumId w:val="1"/>
  </w:num>
  <w:num w:numId="3" w16cid:durableId="619844544">
    <w:abstractNumId w:val="4"/>
  </w:num>
  <w:num w:numId="4" w16cid:durableId="472913297">
    <w:abstractNumId w:val="7"/>
  </w:num>
  <w:num w:numId="5" w16cid:durableId="559559828">
    <w:abstractNumId w:val="8"/>
  </w:num>
  <w:num w:numId="6" w16cid:durableId="1699240426">
    <w:abstractNumId w:val="9"/>
  </w:num>
  <w:num w:numId="7" w16cid:durableId="652373864">
    <w:abstractNumId w:val="5"/>
  </w:num>
  <w:num w:numId="8" w16cid:durableId="909585717">
    <w:abstractNumId w:val="0"/>
  </w:num>
  <w:num w:numId="9" w16cid:durableId="1823890487">
    <w:abstractNumId w:val="13"/>
  </w:num>
  <w:num w:numId="10" w16cid:durableId="778723668">
    <w:abstractNumId w:val="14"/>
  </w:num>
  <w:num w:numId="11" w16cid:durableId="1451782433">
    <w:abstractNumId w:val="10"/>
  </w:num>
  <w:num w:numId="12" w16cid:durableId="1273830040">
    <w:abstractNumId w:val="15"/>
  </w:num>
  <w:num w:numId="13" w16cid:durableId="103111155">
    <w:abstractNumId w:val="4"/>
    <w:lvlOverride w:ilvl="0">
      <w:startOverride w:val="9"/>
    </w:lvlOverride>
  </w:num>
  <w:num w:numId="14" w16cid:durableId="513880911">
    <w:abstractNumId w:val="6"/>
  </w:num>
  <w:num w:numId="15" w16cid:durableId="966860420">
    <w:abstractNumId w:val="11"/>
  </w:num>
  <w:num w:numId="16" w16cid:durableId="1231889743">
    <w:abstractNumId w:val="12"/>
  </w:num>
  <w:num w:numId="17" w16cid:durableId="1023750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ED7"/>
    <w:rsid w:val="000134AE"/>
    <w:rsid w:val="00026A87"/>
    <w:rsid w:val="00027AE3"/>
    <w:rsid w:val="00033533"/>
    <w:rsid w:val="00035C9B"/>
    <w:rsid w:val="00036C8C"/>
    <w:rsid w:val="00036FED"/>
    <w:rsid w:val="0005765C"/>
    <w:rsid w:val="000672A5"/>
    <w:rsid w:val="00077191"/>
    <w:rsid w:val="000D4E0E"/>
    <w:rsid w:val="00100F83"/>
    <w:rsid w:val="00114D83"/>
    <w:rsid w:val="001310F9"/>
    <w:rsid w:val="00132191"/>
    <w:rsid w:val="00161BE3"/>
    <w:rsid w:val="001874FA"/>
    <w:rsid w:val="001C6AF4"/>
    <w:rsid w:val="001D3FF5"/>
    <w:rsid w:val="001D599A"/>
    <w:rsid w:val="001D6F7B"/>
    <w:rsid w:val="001E748F"/>
    <w:rsid w:val="0021243E"/>
    <w:rsid w:val="0021331F"/>
    <w:rsid w:val="002206DE"/>
    <w:rsid w:val="00240A76"/>
    <w:rsid w:val="00243EEE"/>
    <w:rsid w:val="002750A9"/>
    <w:rsid w:val="00280E4A"/>
    <w:rsid w:val="002A137E"/>
    <w:rsid w:val="002A5B22"/>
    <w:rsid w:val="002B284A"/>
    <w:rsid w:val="002B2E7B"/>
    <w:rsid w:val="002B2E94"/>
    <w:rsid w:val="002D3717"/>
    <w:rsid w:val="002D3CE4"/>
    <w:rsid w:val="002D5B10"/>
    <w:rsid w:val="002E43BC"/>
    <w:rsid w:val="002F37F1"/>
    <w:rsid w:val="0030153E"/>
    <w:rsid w:val="0030671D"/>
    <w:rsid w:val="00312671"/>
    <w:rsid w:val="0031588D"/>
    <w:rsid w:val="0031733C"/>
    <w:rsid w:val="00336464"/>
    <w:rsid w:val="00340078"/>
    <w:rsid w:val="00360900"/>
    <w:rsid w:val="00362DAE"/>
    <w:rsid w:val="003867E5"/>
    <w:rsid w:val="003A6577"/>
    <w:rsid w:val="003B1A58"/>
    <w:rsid w:val="003C01D0"/>
    <w:rsid w:val="003C5E41"/>
    <w:rsid w:val="003D30B7"/>
    <w:rsid w:val="003E3B2C"/>
    <w:rsid w:val="003F7B3F"/>
    <w:rsid w:val="004002E9"/>
    <w:rsid w:val="0040612F"/>
    <w:rsid w:val="004448CC"/>
    <w:rsid w:val="00452D87"/>
    <w:rsid w:val="00462F13"/>
    <w:rsid w:val="004877C0"/>
    <w:rsid w:val="00494568"/>
    <w:rsid w:val="00494727"/>
    <w:rsid w:val="00497F62"/>
    <w:rsid w:val="004A33D8"/>
    <w:rsid w:val="004A7878"/>
    <w:rsid w:val="004C003A"/>
    <w:rsid w:val="004D0E70"/>
    <w:rsid w:val="004D75A9"/>
    <w:rsid w:val="004F0053"/>
    <w:rsid w:val="00514B97"/>
    <w:rsid w:val="005430D4"/>
    <w:rsid w:val="00544C36"/>
    <w:rsid w:val="00550C5A"/>
    <w:rsid w:val="00564746"/>
    <w:rsid w:val="00567046"/>
    <w:rsid w:val="00591BB9"/>
    <w:rsid w:val="005944A0"/>
    <w:rsid w:val="005975AA"/>
    <w:rsid w:val="005A7785"/>
    <w:rsid w:val="005A7F6E"/>
    <w:rsid w:val="005B748A"/>
    <w:rsid w:val="005C790C"/>
    <w:rsid w:val="005D2187"/>
    <w:rsid w:val="005E410A"/>
    <w:rsid w:val="005E693A"/>
    <w:rsid w:val="00607DD2"/>
    <w:rsid w:val="006100F6"/>
    <w:rsid w:val="006124EE"/>
    <w:rsid w:val="00643BEC"/>
    <w:rsid w:val="00662812"/>
    <w:rsid w:val="006639A8"/>
    <w:rsid w:val="006710BD"/>
    <w:rsid w:val="00682D99"/>
    <w:rsid w:val="00690951"/>
    <w:rsid w:val="006A3778"/>
    <w:rsid w:val="006B0B96"/>
    <w:rsid w:val="006E1948"/>
    <w:rsid w:val="006F6BB2"/>
    <w:rsid w:val="00701132"/>
    <w:rsid w:val="007172FE"/>
    <w:rsid w:val="007229FB"/>
    <w:rsid w:val="007451C8"/>
    <w:rsid w:val="0076679A"/>
    <w:rsid w:val="007871E1"/>
    <w:rsid w:val="00793F77"/>
    <w:rsid w:val="007944C2"/>
    <w:rsid w:val="007B05DD"/>
    <w:rsid w:val="007B22D1"/>
    <w:rsid w:val="007B7EEB"/>
    <w:rsid w:val="007C480B"/>
    <w:rsid w:val="007C4CC3"/>
    <w:rsid w:val="007C7B22"/>
    <w:rsid w:val="007D03B7"/>
    <w:rsid w:val="007E3275"/>
    <w:rsid w:val="008041AB"/>
    <w:rsid w:val="008054E3"/>
    <w:rsid w:val="008062A7"/>
    <w:rsid w:val="00816CCB"/>
    <w:rsid w:val="00830611"/>
    <w:rsid w:val="00843AE0"/>
    <w:rsid w:val="008511EB"/>
    <w:rsid w:val="008556B7"/>
    <w:rsid w:val="0086308C"/>
    <w:rsid w:val="00871F2C"/>
    <w:rsid w:val="00894146"/>
    <w:rsid w:val="008A0AAA"/>
    <w:rsid w:val="008B2E0A"/>
    <w:rsid w:val="008C4256"/>
    <w:rsid w:val="008F7B23"/>
    <w:rsid w:val="00902C66"/>
    <w:rsid w:val="00917351"/>
    <w:rsid w:val="00917856"/>
    <w:rsid w:val="009200EE"/>
    <w:rsid w:val="009220A1"/>
    <w:rsid w:val="00927E1A"/>
    <w:rsid w:val="009340FB"/>
    <w:rsid w:val="00934EF1"/>
    <w:rsid w:val="009356D4"/>
    <w:rsid w:val="009677C9"/>
    <w:rsid w:val="00975BF6"/>
    <w:rsid w:val="00981982"/>
    <w:rsid w:val="00983E23"/>
    <w:rsid w:val="00990DA7"/>
    <w:rsid w:val="009A6DCC"/>
    <w:rsid w:val="009B5EEE"/>
    <w:rsid w:val="00A24347"/>
    <w:rsid w:val="00A3497D"/>
    <w:rsid w:val="00A42433"/>
    <w:rsid w:val="00A52724"/>
    <w:rsid w:val="00A73C2B"/>
    <w:rsid w:val="00A7498A"/>
    <w:rsid w:val="00A9629E"/>
    <w:rsid w:val="00AB2CA4"/>
    <w:rsid w:val="00AB7129"/>
    <w:rsid w:val="00AC3D53"/>
    <w:rsid w:val="00AD52DE"/>
    <w:rsid w:val="00B307F0"/>
    <w:rsid w:val="00B44CE7"/>
    <w:rsid w:val="00BA3C0D"/>
    <w:rsid w:val="00BA5EB7"/>
    <w:rsid w:val="00BB11B4"/>
    <w:rsid w:val="00BB2411"/>
    <w:rsid w:val="00BE152B"/>
    <w:rsid w:val="00BF738B"/>
    <w:rsid w:val="00C01A55"/>
    <w:rsid w:val="00C02548"/>
    <w:rsid w:val="00C06745"/>
    <w:rsid w:val="00C06888"/>
    <w:rsid w:val="00C2792B"/>
    <w:rsid w:val="00C44FDA"/>
    <w:rsid w:val="00C80BA0"/>
    <w:rsid w:val="00C85A23"/>
    <w:rsid w:val="00C921CD"/>
    <w:rsid w:val="00C979CB"/>
    <w:rsid w:val="00CA238A"/>
    <w:rsid w:val="00CA772F"/>
    <w:rsid w:val="00D17D1D"/>
    <w:rsid w:val="00D550E3"/>
    <w:rsid w:val="00D626C6"/>
    <w:rsid w:val="00D829C3"/>
    <w:rsid w:val="00D86B5B"/>
    <w:rsid w:val="00DB39A0"/>
    <w:rsid w:val="00DB4164"/>
    <w:rsid w:val="00DC08D9"/>
    <w:rsid w:val="00DC6FD2"/>
    <w:rsid w:val="00DC74FE"/>
    <w:rsid w:val="00DD39D0"/>
    <w:rsid w:val="00DE5C2D"/>
    <w:rsid w:val="00DF12A5"/>
    <w:rsid w:val="00E033DE"/>
    <w:rsid w:val="00E079CE"/>
    <w:rsid w:val="00E52152"/>
    <w:rsid w:val="00E61A47"/>
    <w:rsid w:val="00E6713E"/>
    <w:rsid w:val="00E72302"/>
    <w:rsid w:val="00E924B7"/>
    <w:rsid w:val="00E929BE"/>
    <w:rsid w:val="00EB2341"/>
    <w:rsid w:val="00EC512E"/>
    <w:rsid w:val="00EE0D3A"/>
    <w:rsid w:val="00EF5AEB"/>
    <w:rsid w:val="00F154BB"/>
    <w:rsid w:val="00F301B2"/>
    <w:rsid w:val="00F40261"/>
    <w:rsid w:val="00F47C5B"/>
    <w:rsid w:val="00F6454D"/>
    <w:rsid w:val="00F767C4"/>
    <w:rsid w:val="00FA077C"/>
    <w:rsid w:val="00FB0ED7"/>
    <w:rsid w:val="00FD532B"/>
    <w:rsid w:val="00FE090F"/>
    <w:rsid w:val="00FE34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58944"/>
  <w15:docId w15:val="{5911B94C-CF06-449A-BB74-0B539D8A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fr-FR" w:eastAsia="fr-F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012"/>
    <w:rPr>
      <w:rFonts w:eastAsiaTheme="minorHAnsi" w:cstheme="minorBidi"/>
      <w:szCs w:val="22"/>
      <w:lang w:eastAsia="en-US"/>
    </w:rPr>
  </w:style>
  <w:style w:type="paragraph" w:styleId="Titre1">
    <w:name w:val="heading 1"/>
    <w:basedOn w:val="Normal"/>
    <w:next w:val="Normal"/>
    <w:link w:val="Titre1Car"/>
    <w:uiPriority w:val="9"/>
    <w:qFormat/>
    <w:rsid w:val="00083C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083C79"/>
    <w:pPr>
      <w:pBdr>
        <w:top w:val="single" w:sz="24" w:space="0" w:color="D9E2F3"/>
        <w:left w:val="single" w:sz="24" w:space="0" w:color="D9E2F3"/>
        <w:bottom w:val="single" w:sz="24" w:space="0" w:color="D9E2F3"/>
        <w:right w:val="single" w:sz="24" w:space="0" w:color="D9E2F3"/>
      </w:pBdr>
      <w:shd w:val="clear" w:color="auto" w:fill="D9E2F3" w:themeFill="accent1" w:themeFillTint="33"/>
      <w:spacing w:before="100" w:after="0" w:line="276" w:lineRule="auto"/>
      <w:jc w:val="left"/>
      <w:outlineLvl w:val="1"/>
    </w:pPr>
    <w:rPr>
      <w:rFonts w:eastAsiaTheme="minorEastAsia"/>
      <w:caps/>
      <w:spacing w:val="15"/>
      <w:szCs w:val="20"/>
    </w:rPr>
  </w:style>
  <w:style w:type="paragraph" w:styleId="Titre3">
    <w:name w:val="heading 3"/>
    <w:basedOn w:val="Normal"/>
    <w:next w:val="Normal"/>
    <w:link w:val="Titre3Car"/>
    <w:uiPriority w:val="9"/>
    <w:unhideWhenUsed/>
    <w:qFormat/>
    <w:rsid w:val="00746012"/>
    <w:pPr>
      <w:keepNext/>
      <w:keepLines/>
      <w:spacing w:before="240" w:after="120"/>
      <w:outlineLvl w:val="2"/>
    </w:pPr>
    <w:rPr>
      <w:rFonts w:eastAsiaTheme="majorEastAsia" w:cstheme="majorBidi"/>
      <w:color w:val="1F3763" w:themeColor="accent1" w:themeShade="7F"/>
      <w:szCs w:val="24"/>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sz w:val="22"/>
    </w:rPr>
  </w:style>
  <w:style w:type="paragraph" w:styleId="Titre6">
    <w:name w:val="heading 6"/>
    <w:basedOn w:val="Normal"/>
    <w:next w:val="Normal"/>
    <w:pPr>
      <w:keepNext/>
      <w:keepLines/>
      <w:spacing w:before="200" w:after="40"/>
      <w:outlineLvl w:val="5"/>
    </w:pPr>
    <w:rPr>
      <w:b/>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Corpsdetexte"/>
    <w:link w:val="TitreCar"/>
    <w:uiPriority w:val="10"/>
    <w:qFormat/>
    <w:rsid w:val="00D30A0A"/>
    <w:pPr>
      <w:widowControl w:val="0"/>
      <w:spacing w:before="240" w:after="240" w:line="240" w:lineRule="auto"/>
      <w:ind w:left="23"/>
      <w:jc w:val="center"/>
    </w:pPr>
    <w:rPr>
      <w:rFonts w:ascii="Calibri" w:eastAsia="Verdana" w:hAnsi="Calibri" w:cs="Verdana"/>
      <w:b/>
      <w:bCs/>
      <w:sz w:val="28"/>
      <w:szCs w:val="24"/>
    </w:rPr>
  </w:style>
  <w:style w:type="character" w:customStyle="1" w:styleId="En-tteCar">
    <w:name w:val="En-tête Car"/>
    <w:basedOn w:val="Policepardfaut"/>
    <w:uiPriority w:val="99"/>
    <w:qFormat/>
    <w:rsid w:val="00417683"/>
  </w:style>
  <w:style w:type="character" w:customStyle="1" w:styleId="PieddepageCar">
    <w:name w:val="Pied de page Car"/>
    <w:basedOn w:val="Policepardfaut"/>
    <w:link w:val="Pieddepage"/>
    <w:uiPriority w:val="99"/>
    <w:qFormat/>
    <w:rsid w:val="00417683"/>
  </w:style>
  <w:style w:type="character" w:styleId="Marquedecommentaire">
    <w:name w:val="annotation reference"/>
    <w:basedOn w:val="Policepardfaut"/>
    <w:uiPriority w:val="99"/>
    <w:semiHidden/>
    <w:unhideWhenUsed/>
    <w:qFormat/>
    <w:rsid w:val="001B4738"/>
    <w:rPr>
      <w:sz w:val="16"/>
      <w:szCs w:val="16"/>
    </w:rPr>
  </w:style>
  <w:style w:type="character" w:customStyle="1" w:styleId="CommentaireCar">
    <w:name w:val="Commentaire Car"/>
    <w:basedOn w:val="Policepardfaut"/>
    <w:link w:val="Commentaire"/>
    <w:uiPriority w:val="99"/>
    <w:qFormat/>
    <w:rsid w:val="001B4738"/>
    <w:rPr>
      <w:sz w:val="20"/>
      <w:szCs w:val="20"/>
    </w:rPr>
  </w:style>
  <w:style w:type="character" w:customStyle="1" w:styleId="ObjetducommentaireCar">
    <w:name w:val="Objet du commentaire Car"/>
    <w:basedOn w:val="CommentaireCar"/>
    <w:link w:val="Objetducommentaire"/>
    <w:uiPriority w:val="99"/>
    <w:semiHidden/>
    <w:qFormat/>
    <w:rsid w:val="001B4738"/>
    <w:rPr>
      <w:b/>
      <w:bCs/>
      <w:sz w:val="20"/>
      <w:szCs w:val="20"/>
    </w:rPr>
  </w:style>
  <w:style w:type="character" w:customStyle="1" w:styleId="ParagrapheCar">
    <w:name w:val="Paragraphe Car"/>
    <w:basedOn w:val="Policepardfaut"/>
    <w:link w:val="Paragraphe"/>
    <w:qFormat/>
    <w:rsid w:val="00CE2386"/>
    <w:rPr>
      <w:rFonts w:ascii="Verdana" w:hAnsi="Verdana" w:cs="Calibri"/>
      <w:sz w:val="20"/>
      <w:szCs w:val="20"/>
    </w:rPr>
  </w:style>
  <w:style w:type="character" w:customStyle="1" w:styleId="ParagraphedelisteCar">
    <w:name w:val="Paragraphe de liste Car"/>
    <w:basedOn w:val="Policepardfaut"/>
    <w:link w:val="Paragraphedeliste"/>
    <w:uiPriority w:val="34"/>
    <w:qFormat/>
    <w:rsid w:val="00746012"/>
    <w:rPr>
      <w:rFonts w:ascii="Verdana" w:hAnsi="Verdana"/>
      <w:sz w:val="20"/>
    </w:rPr>
  </w:style>
  <w:style w:type="character" w:customStyle="1" w:styleId="TitrepartieCar">
    <w:name w:val="Titre partie Car"/>
    <w:basedOn w:val="ParagraphedelisteCar"/>
    <w:link w:val="Titrepartie"/>
    <w:qFormat/>
    <w:rsid w:val="00851C16"/>
    <w:rPr>
      <w:rFonts w:ascii="Verdana" w:hAnsi="Verdana" w:cs="Calibri"/>
      <w:b/>
      <w:bCs/>
      <w:color w:val="0070C0"/>
      <w:sz w:val="20"/>
      <w:szCs w:val="20"/>
    </w:rPr>
  </w:style>
  <w:style w:type="character" w:customStyle="1" w:styleId="ExergueCar">
    <w:name w:val="Exergue Car"/>
    <w:basedOn w:val="Policepardfaut"/>
    <w:link w:val="Exergue"/>
    <w:qFormat/>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qFormat/>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customStyle="1" w:styleId="Titre2Car">
    <w:name w:val="Titre 2 Car"/>
    <w:basedOn w:val="Policepardfaut"/>
    <w:link w:val="Titre2"/>
    <w:uiPriority w:val="9"/>
    <w:qFormat/>
    <w:rsid w:val="00083C79"/>
    <w:rPr>
      <w:rFonts w:eastAsiaTheme="minorEastAsia"/>
      <w:caps/>
      <w:spacing w:val="15"/>
      <w:sz w:val="20"/>
      <w:szCs w:val="20"/>
      <w:shd w:val="clear" w:color="auto" w:fill="D9E2F3"/>
    </w:rPr>
  </w:style>
  <w:style w:type="character" w:customStyle="1" w:styleId="Titre1Car">
    <w:name w:val="Titre 1 Car"/>
    <w:basedOn w:val="Policepardfaut"/>
    <w:link w:val="Titre1"/>
    <w:uiPriority w:val="9"/>
    <w:qFormat/>
    <w:rsid w:val="00083C7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qFormat/>
    <w:rsid w:val="00746012"/>
    <w:rPr>
      <w:rFonts w:ascii="Verdana" w:eastAsiaTheme="majorEastAsia" w:hAnsi="Verdana" w:cstheme="majorBidi"/>
      <w:color w:val="1F3763" w:themeColor="accent1" w:themeShade="7F"/>
      <w:sz w:val="20"/>
      <w:szCs w:val="24"/>
    </w:rPr>
  </w:style>
  <w:style w:type="character" w:customStyle="1" w:styleId="NotedebasdepageCar">
    <w:name w:val="Note de bas de page Car"/>
    <w:basedOn w:val="Policepardfaut"/>
    <w:link w:val="Notedebasdepage"/>
    <w:uiPriority w:val="99"/>
    <w:semiHidden/>
    <w:qFormat/>
    <w:rsid w:val="00827F71"/>
    <w:rPr>
      <w:rFonts w:ascii="Verdana" w:hAnsi="Verdana"/>
      <w:sz w:val="20"/>
      <w:szCs w:val="20"/>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827F71"/>
    <w:rPr>
      <w:vertAlign w:val="superscript"/>
    </w:rPr>
  </w:style>
  <w:style w:type="character" w:customStyle="1" w:styleId="cf01">
    <w:name w:val="cf01"/>
    <w:basedOn w:val="Policepardfaut"/>
    <w:qFormat/>
    <w:rsid w:val="00827F71"/>
    <w:rPr>
      <w:rFonts w:ascii="Segoe UI" w:hAnsi="Segoe UI" w:cs="Segoe UI"/>
      <w:sz w:val="18"/>
      <w:szCs w:val="18"/>
    </w:rPr>
  </w:style>
  <w:style w:type="character" w:customStyle="1" w:styleId="CorpsdetexteCar">
    <w:name w:val="Corps de texte Car"/>
    <w:basedOn w:val="Policepardfaut"/>
    <w:link w:val="Corpsdetexte"/>
    <w:uiPriority w:val="1"/>
    <w:qFormat/>
    <w:rsid w:val="00D30A0A"/>
    <w:rPr>
      <w:rFonts w:ascii="Calibri" w:eastAsia="Verdana" w:hAnsi="Calibri" w:cs="Verdana"/>
      <w:sz w:val="20"/>
      <w:szCs w:val="20"/>
    </w:rPr>
  </w:style>
  <w:style w:type="character" w:customStyle="1" w:styleId="TitreCar">
    <w:name w:val="Titre Car"/>
    <w:basedOn w:val="Policepardfaut"/>
    <w:link w:val="Titre"/>
    <w:uiPriority w:val="10"/>
    <w:qFormat/>
    <w:rsid w:val="00D30A0A"/>
    <w:rPr>
      <w:rFonts w:ascii="Calibri" w:eastAsia="Verdana" w:hAnsi="Calibri" w:cs="Verdana"/>
      <w:b/>
      <w:bCs/>
      <w:sz w:val="28"/>
      <w:szCs w:val="24"/>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Corpsdetexte">
    <w:name w:val="Body Text"/>
    <w:basedOn w:val="Normal"/>
    <w:link w:val="CorpsdetexteCar"/>
    <w:uiPriority w:val="1"/>
    <w:qFormat/>
    <w:rsid w:val="00D30A0A"/>
    <w:pPr>
      <w:widowControl w:val="0"/>
      <w:spacing w:before="120" w:after="120" w:line="249" w:lineRule="auto"/>
      <w:ind w:left="284" w:right="227"/>
    </w:pPr>
    <w:rPr>
      <w:rFonts w:ascii="Calibri" w:eastAsia="Verdana" w:hAnsi="Calibri" w:cs="Verdana"/>
      <w:szCs w:val="20"/>
    </w:r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En-tteetpieddepage">
    <w:name w:val="En-tête et pied de page"/>
    <w:basedOn w:val="Normal"/>
    <w:qFormat/>
  </w:style>
  <w:style w:type="paragraph" w:styleId="En-tte">
    <w:name w:val="header"/>
    <w:basedOn w:val="Normal"/>
    <w:uiPriority w:val="99"/>
    <w:unhideWhenUsed/>
    <w:rsid w:val="00417683"/>
    <w:pPr>
      <w:tabs>
        <w:tab w:val="center" w:pos="4536"/>
        <w:tab w:val="right" w:pos="9072"/>
      </w:tabs>
      <w:spacing w:after="0" w:line="240" w:lineRule="auto"/>
    </w:pPr>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paragraph" w:styleId="Paragraphedeliste">
    <w:name w:val="List Paragraph"/>
    <w:basedOn w:val="Normal"/>
    <w:link w:val="ParagraphedelisteCar"/>
    <w:uiPriority w:val="34"/>
    <w:qFormat/>
    <w:rsid w:val="00746012"/>
    <w:pPr>
      <w:numPr>
        <w:numId w:val="3"/>
      </w:numPr>
      <w:contextualSpacing/>
    </w:pPr>
  </w:style>
  <w:style w:type="paragraph" w:styleId="Commentaire">
    <w:name w:val="annotation text"/>
    <w:basedOn w:val="Normal"/>
    <w:link w:val="CommentaireCar"/>
    <w:uiPriority w:val="99"/>
    <w:unhideWhenUsed/>
    <w:qFormat/>
    <w:rsid w:val="001B4738"/>
    <w:pPr>
      <w:spacing w:line="240" w:lineRule="auto"/>
    </w:pPr>
    <w:rPr>
      <w:szCs w:val="20"/>
    </w:rPr>
  </w:style>
  <w:style w:type="paragraph" w:styleId="Objetducommentaire">
    <w:name w:val="annotation subject"/>
    <w:basedOn w:val="Commentaire"/>
    <w:next w:val="Commentaire"/>
    <w:link w:val="ObjetducommentaireCar"/>
    <w:uiPriority w:val="99"/>
    <w:semiHidden/>
    <w:unhideWhenUsed/>
    <w:qFormat/>
    <w:rsid w:val="001B4738"/>
    <w:rPr>
      <w:b/>
      <w:bCs/>
    </w:rPr>
  </w:style>
  <w:style w:type="paragraph" w:customStyle="1" w:styleId="Paragraphe">
    <w:name w:val="Paragraphe"/>
    <w:basedOn w:val="Normal"/>
    <w:link w:val="ParagrapheCar"/>
    <w:qFormat/>
    <w:rsid w:val="00CE2386"/>
    <w:rPr>
      <w:rFonts w:cs="Calibri"/>
      <w:szCs w:val="20"/>
    </w:rPr>
  </w:style>
  <w:style w:type="paragraph" w:customStyle="1" w:styleId="Titrepartie">
    <w:name w:val="Titre partie"/>
    <w:basedOn w:val="Paragraphedeliste"/>
    <w:link w:val="TitrepartieCar"/>
    <w:qFormat/>
    <w:rsid w:val="00851C16"/>
    <w:pPr>
      <w:numPr>
        <w:numId w:val="1"/>
      </w:numPr>
      <w:spacing w:before="240"/>
      <w:ind w:left="714" w:hanging="357"/>
    </w:pPr>
    <w:rPr>
      <w:rFonts w:cs="Calibri"/>
      <w:b/>
      <w:bCs/>
      <w:color w:val="0070C0"/>
      <w:szCs w:val="20"/>
    </w:rPr>
  </w:style>
  <w:style w:type="paragraph" w:customStyle="1" w:styleId="Exergue">
    <w:name w:val="Exergue"/>
    <w:basedOn w:val="Normal"/>
    <w:link w:val="ExergueCar"/>
    <w:qFormat/>
    <w:rsid w:val="00060CA0"/>
    <w:pPr>
      <w:spacing w:after="0" w:line="240" w:lineRule="auto"/>
    </w:pPr>
    <w:rPr>
      <w:rFonts w:eastAsia="Times New Roman" w:cs="Times New Roman"/>
      <w:b/>
      <w:bCs/>
      <w:i/>
      <w:szCs w:val="20"/>
    </w:rPr>
  </w:style>
  <w:style w:type="paragraph" w:customStyle="1" w:styleId="Sous-partie2">
    <w:name w:val="Sous-partie 2"/>
    <w:basedOn w:val="Paragraphedeliste"/>
    <w:qFormat/>
    <w:rsid w:val="002C56ED"/>
    <w:pPr>
      <w:numPr>
        <w:numId w:val="0"/>
      </w:numPr>
      <w:ind w:left="567" w:hanging="567"/>
    </w:pPr>
    <w:rPr>
      <w:rFonts w:cs="Calibri"/>
      <w:color w:val="0070C0"/>
      <w:szCs w:val="20"/>
    </w:rPr>
  </w:style>
  <w:style w:type="paragraph" w:styleId="Rvision">
    <w:name w:val="Revision"/>
    <w:uiPriority w:val="99"/>
    <w:semiHidden/>
    <w:qFormat/>
    <w:rsid w:val="003C6DEA"/>
    <w:pPr>
      <w:spacing w:after="0" w:line="240" w:lineRule="auto"/>
      <w:jc w:val="left"/>
    </w:pPr>
    <w:rPr>
      <w:rFonts w:eastAsiaTheme="minorHAnsi" w:cstheme="minorBidi"/>
      <w:szCs w:val="22"/>
      <w:lang w:eastAsia="en-US"/>
    </w:rPr>
  </w:style>
  <w:style w:type="paragraph" w:styleId="Notedebasdepage">
    <w:name w:val="footnote text"/>
    <w:basedOn w:val="Normal"/>
    <w:link w:val="NotedebasdepageCar"/>
    <w:uiPriority w:val="99"/>
    <w:semiHidden/>
    <w:unhideWhenUsed/>
    <w:rsid w:val="00827F71"/>
    <w:pPr>
      <w:spacing w:after="0" w:line="240" w:lineRule="auto"/>
    </w:pPr>
    <w:rPr>
      <w:szCs w:val="20"/>
    </w:r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701132"/>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Accentuation">
    <w:name w:val="Emphasis"/>
    <w:basedOn w:val="Policepardfaut"/>
    <w:uiPriority w:val="20"/>
    <w:qFormat/>
    <w:rsid w:val="007011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73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PaUViV88VM+XJaa5H5FYTsKBCg==">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</go:docsCustomData>
</go:gDocsCustomXmlDataStorage>
</file>

<file path=customXml/itemProps1.xml><?xml version="1.0" encoding="utf-8"?>
<ds:datastoreItem xmlns:ds="http://schemas.openxmlformats.org/officeDocument/2006/customXml" ds:itemID="{CDDE7E8D-1575-465D-8127-4C2DB7FE9C1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3032</Words>
  <Characters>15906</Characters>
  <Application>Microsoft Office Word</Application>
  <DocSecurity>4</DocSecurity>
  <Lines>132</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Croix-Rouge française</Company>
  <LinksUpToDate>false</LinksUpToDate>
  <CharactersWithSpaces>18901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COI</dc:creator>
  <cp:lastModifiedBy>Gilles RIBOUET</cp:lastModifiedBy>
  <cp:revision>2</cp:revision>
  <dcterms:created xsi:type="dcterms:W3CDTF">2024-04-11T07:52:00Z</dcterms:created>
  <dcterms:modified xsi:type="dcterms:W3CDTF">2024-04-11T07:52:00Z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0a55308bdd58d168d37dd67871e261518d556557716d2434e435ce58040fc1e2</vt:lpwstr>
  </property>
  <property fmtid="{D5CDD505-2E9C-101B-9397-08002B2CF9AE}" pid="3" name="MSIP_Label_caf3f7fd-5cd4-4287-9002-aceb9af13c42_Enabled">
    <vt:lpwstr>true</vt:lpwstr>
  </property>
  <property fmtid="{D5CDD505-2E9C-101B-9397-08002B2CF9AE}" pid="4" name="MSIP_Label_caf3f7fd-5cd4-4287-9002-aceb9af13c42_SetDate">
    <vt:lpwstr>2023-04-20T06:32:35Z</vt:lpwstr>
  </property>
  <property fmtid="{D5CDD505-2E9C-101B-9397-08002B2CF9AE}" pid="5" name="MSIP_Label_caf3f7fd-5cd4-4287-9002-aceb9af13c42_Method">
    <vt:lpwstr>Privileged</vt:lpwstr>
  </property>
  <property fmtid="{D5CDD505-2E9C-101B-9397-08002B2CF9AE}" pid="6" name="MSIP_Label_caf3f7fd-5cd4-4287-9002-aceb9af13c42_Name">
    <vt:lpwstr>Public</vt:lpwstr>
  </property>
  <property fmtid="{D5CDD505-2E9C-101B-9397-08002B2CF9AE}" pid="7" name="MSIP_Label_caf3f7fd-5cd4-4287-9002-aceb9af13c42_SiteId">
    <vt:lpwstr>a2b53be5-734e-4e6c-ab0d-d184f60fd917</vt:lpwstr>
  </property>
  <property fmtid="{D5CDD505-2E9C-101B-9397-08002B2CF9AE}" pid="8" name="MSIP_Label_caf3f7fd-5cd4-4287-9002-aceb9af13c42_ActionId">
    <vt:lpwstr>37503684-9605-418a-b1b0-c0796f4ce4a7</vt:lpwstr>
  </property>
  <property fmtid="{D5CDD505-2E9C-101B-9397-08002B2CF9AE}" pid="9" name="MSIP_Label_caf3f7fd-5cd4-4287-9002-aceb9af13c42_ContentBits">
    <vt:lpwstr>2</vt:lpwstr>
  </property>
</Properties>
</file>