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1890" w14:textId="69F4258B" w:rsidR="002D28E5" w:rsidRPr="00B76BE0" w:rsidRDefault="00293A06" w:rsidP="00B76BE0">
      <w:pPr>
        <w:jc w:val="center"/>
        <w:rPr>
          <w:rFonts w:ascii="Verdana" w:hAnsi="Verdana"/>
          <w:b/>
          <w:bCs/>
          <w:sz w:val="24"/>
          <w:szCs w:val="24"/>
        </w:rPr>
      </w:pPr>
      <w:r w:rsidRPr="00B76BE0">
        <w:rPr>
          <w:rFonts w:ascii="Verdana" w:hAnsi="Verdana"/>
          <w:b/>
          <w:bCs/>
          <w:sz w:val="24"/>
          <w:szCs w:val="24"/>
        </w:rPr>
        <w:t>Suivi des décisions du COPL 0</w:t>
      </w:r>
      <w:r w:rsidR="009D10D7">
        <w:rPr>
          <w:rFonts w:ascii="Verdana" w:hAnsi="Verdana"/>
          <w:b/>
          <w:bCs/>
          <w:sz w:val="24"/>
          <w:szCs w:val="24"/>
        </w:rPr>
        <w:t>2</w:t>
      </w:r>
      <w:r w:rsidRPr="00B76BE0">
        <w:rPr>
          <w:rFonts w:ascii="Verdana" w:hAnsi="Verdana"/>
          <w:b/>
          <w:bCs/>
          <w:sz w:val="24"/>
          <w:szCs w:val="24"/>
        </w:rPr>
        <w:t xml:space="preserve">/23 des </w:t>
      </w:r>
      <w:r w:rsidR="009D10D7">
        <w:rPr>
          <w:rFonts w:ascii="Verdana" w:hAnsi="Verdana"/>
          <w:b/>
          <w:bCs/>
          <w:sz w:val="24"/>
          <w:szCs w:val="24"/>
        </w:rPr>
        <w:t>21 et 22 novembre</w:t>
      </w:r>
      <w:r w:rsidRPr="00B76BE0">
        <w:rPr>
          <w:rFonts w:ascii="Verdana" w:hAnsi="Verdana"/>
          <w:b/>
          <w:bCs/>
          <w:sz w:val="24"/>
          <w:szCs w:val="24"/>
        </w:rPr>
        <w:t xml:space="preserve"> 2023</w:t>
      </w:r>
    </w:p>
    <w:p w14:paraId="0481F6CF" w14:textId="3F22B450" w:rsidR="00B76BE0" w:rsidRDefault="008944B8" w:rsidP="008944B8">
      <w:pPr>
        <w:pBdr>
          <w:bottom w:val="single" w:sz="4" w:space="1" w:color="0070C0"/>
        </w:pBdr>
        <w:jc w:val="right"/>
      </w:pPr>
      <w:r w:rsidRPr="008944B8">
        <w:rPr>
          <w:highlight w:val="yellow"/>
        </w:rPr>
        <w:t>Fiche 1.1. b)</w:t>
      </w:r>
    </w:p>
    <w:p w14:paraId="25CE2642" w14:textId="77777777" w:rsidR="00293A06" w:rsidRDefault="00293A06"/>
    <w:p w14:paraId="0A5E8585" w14:textId="77777777" w:rsidR="00293A06" w:rsidRDefault="00293A06"/>
    <w:p w14:paraId="71D75869" w14:textId="77777777" w:rsidR="00293A06" w:rsidRDefault="00293A06"/>
    <w:p w14:paraId="3A11FF09" w14:textId="77777777" w:rsidR="00293A06" w:rsidRDefault="00293A06"/>
    <w:p w14:paraId="2A4A2336" w14:textId="77777777" w:rsidR="00293A06" w:rsidRDefault="00293A06"/>
    <w:sdt>
      <w:sdtPr>
        <w:rPr>
          <w:rFonts w:asciiTheme="minorHAnsi" w:eastAsiaTheme="minorEastAsia" w:hAnsiTheme="minorHAnsi" w:cstheme="minorBidi"/>
          <w:color w:val="auto"/>
          <w:kern w:val="2"/>
          <w:sz w:val="22"/>
          <w:szCs w:val="22"/>
          <w:lang w:eastAsia="en-US"/>
          <w14:ligatures w14:val="standardContextual"/>
        </w:rPr>
        <w:id w:val="-484475495"/>
        <w:docPartObj>
          <w:docPartGallery w:val="Table of Contents"/>
          <w:docPartUnique/>
        </w:docPartObj>
      </w:sdtPr>
      <w:sdtEndPr>
        <w:rPr>
          <w:b/>
          <w:bCs/>
        </w:rPr>
      </w:sdtEndPr>
      <w:sdtContent>
        <w:p w14:paraId="4BF230AE" w14:textId="721ADEC2" w:rsidR="00B76BE0" w:rsidRDefault="00B76BE0">
          <w:pPr>
            <w:pStyle w:val="En-ttedetabledesmatires"/>
          </w:pPr>
          <w:r>
            <w:t>Table des matières</w:t>
          </w:r>
        </w:p>
        <w:p w14:paraId="34BA7F6B" w14:textId="2D64CFF6" w:rsidR="00B76BE0" w:rsidRDefault="00B76BE0">
          <w:pPr>
            <w:pStyle w:val="TM2"/>
            <w:tabs>
              <w:tab w:val="right" w:leader="dot" w:pos="13948"/>
            </w:tabs>
            <w:rPr>
              <w:noProof/>
            </w:rPr>
          </w:pPr>
          <w:r>
            <w:fldChar w:fldCharType="begin"/>
          </w:r>
          <w:r>
            <w:instrText xml:space="preserve"> TOC \o "1-3" \h \z \u </w:instrText>
          </w:r>
          <w:r>
            <w:fldChar w:fldCharType="separate"/>
          </w:r>
          <w:hyperlink w:anchor="_Toc148088050" w:history="1">
            <w:r w:rsidRPr="00380A26">
              <w:rPr>
                <w:rStyle w:val="Lienhypertexte"/>
                <w:rFonts w:ascii="Verdana" w:hAnsi="Verdana"/>
                <w:b/>
                <w:bCs/>
                <w:noProof/>
              </w:rPr>
              <w:t>Affaires institutionnelles</w:t>
            </w:r>
            <w:r>
              <w:rPr>
                <w:noProof/>
                <w:webHidden/>
              </w:rPr>
              <w:tab/>
            </w:r>
            <w:r>
              <w:rPr>
                <w:noProof/>
                <w:webHidden/>
              </w:rPr>
              <w:fldChar w:fldCharType="begin"/>
            </w:r>
            <w:r>
              <w:rPr>
                <w:noProof/>
                <w:webHidden/>
              </w:rPr>
              <w:instrText xml:space="preserve"> PAGEREF _Toc148088050 \h </w:instrText>
            </w:r>
            <w:r>
              <w:rPr>
                <w:noProof/>
                <w:webHidden/>
              </w:rPr>
            </w:r>
            <w:r>
              <w:rPr>
                <w:noProof/>
                <w:webHidden/>
              </w:rPr>
              <w:fldChar w:fldCharType="separate"/>
            </w:r>
            <w:r w:rsidR="00054051">
              <w:rPr>
                <w:noProof/>
                <w:webHidden/>
              </w:rPr>
              <w:t>2</w:t>
            </w:r>
            <w:r>
              <w:rPr>
                <w:noProof/>
                <w:webHidden/>
              </w:rPr>
              <w:fldChar w:fldCharType="end"/>
            </w:r>
          </w:hyperlink>
        </w:p>
        <w:p w14:paraId="71B6E93C" w14:textId="3724D70B" w:rsidR="00B76BE0" w:rsidRDefault="00E5412E">
          <w:pPr>
            <w:pStyle w:val="TM2"/>
            <w:tabs>
              <w:tab w:val="right" w:leader="dot" w:pos="13948"/>
            </w:tabs>
            <w:rPr>
              <w:noProof/>
            </w:rPr>
          </w:pPr>
          <w:hyperlink w:anchor="_Toc148088051" w:history="1">
            <w:r w:rsidR="00B76BE0" w:rsidRPr="00380A26">
              <w:rPr>
                <w:rStyle w:val="Lienhypertexte"/>
                <w:rFonts w:ascii="Verdana" w:hAnsi="Verdana"/>
                <w:b/>
                <w:bCs/>
                <w:noProof/>
              </w:rPr>
              <w:t>Domaines d’intervention</w:t>
            </w:r>
            <w:r w:rsidR="00B76BE0">
              <w:rPr>
                <w:noProof/>
                <w:webHidden/>
              </w:rPr>
              <w:tab/>
            </w:r>
            <w:r w:rsidR="00B76BE0">
              <w:rPr>
                <w:noProof/>
                <w:webHidden/>
              </w:rPr>
              <w:fldChar w:fldCharType="begin"/>
            </w:r>
            <w:r w:rsidR="00B76BE0">
              <w:rPr>
                <w:noProof/>
                <w:webHidden/>
              </w:rPr>
              <w:instrText xml:space="preserve"> PAGEREF _Toc148088051 \h </w:instrText>
            </w:r>
            <w:r w:rsidR="00B76BE0">
              <w:rPr>
                <w:noProof/>
                <w:webHidden/>
              </w:rPr>
            </w:r>
            <w:r w:rsidR="00B76BE0">
              <w:rPr>
                <w:noProof/>
                <w:webHidden/>
              </w:rPr>
              <w:fldChar w:fldCharType="separate"/>
            </w:r>
            <w:r w:rsidR="00054051">
              <w:rPr>
                <w:noProof/>
                <w:webHidden/>
              </w:rPr>
              <w:t>3</w:t>
            </w:r>
            <w:r w:rsidR="00B76BE0">
              <w:rPr>
                <w:noProof/>
                <w:webHidden/>
              </w:rPr>
              <w:fldChar w:fldCharType="end"/>
            </w:r>
          </w:hyperlink>
        </w:p>
        <w:p w14:paraId="111E99F0" w14:textId="7AC839E1" w:rsidR="00B76BE0" w:rsidRDefault="00E5412E">
          <w:pPr>
            <w:pStyle w:val="TM2"/>
            <w:tabs>
              <w:tab w:val="right" w:leader="dot" w:pos="13948"/>
            </w:tabs>
            <w:rPr>
              <w:noProof/>
            </w:rPr>
          </w:pPr>
          <w:hyperlink w:anchor="_Toc148088052" w:history="1">
            <w:r w:rsidR="00B76BE0" w:rsidRPr="00380A26">
              <w:rPr>
                <w:rStyle w:val="Lienhypertexte"/>
                <w:rFonts w:ascii="Verdana" w:hAnsi="Verdana"/>
                <w:b/>
                <w:bCs/>
                <w:noProof/>
              </w:rPr>
              <w:t>Administration et finance</w:t>
            </w:r>
            <w:r w:rsidR="00B76BE0">
              <w:rPr>
                <w:noProof/>
                <w:webHidden/>
              </w:rPr>
              <w:tab/>
            </w:r>
            <w:r w:rsidR="00B76BE0">
              <w:rPr>
                <w:noProof/>
                <w:webHidden/>
              </w:rPr>
              <w:fldChar w:fldCharType="begin"/>
            </w:r>
            <w:r w:rsidR="00B76BE0">
              <w:rPr>
                <w:noProof/>
                <w:webHidden/>
              </w:rPr>
              <w:instrText xml:space="preserve"> PAGEREF _Toc148088052 \h </w:instrText>
            </w:r>
            <w:r w:rsidR="00B76BE0">
              <w:rPr>
                <w:noProof/>
                <w:webHidden/>
              </w:rPr>
            </w:r>
            <w:r w:rsidR="00B76BE0">
              <w:rPr>
                <w:noProof/>
                <w:webHidden/>
              </w:rPr>
              <w:fldChar w:fldCharType="separate"/>
            </w:r>
            <w:r w:rsidR="00054051">
              <w:rPr>
                <w:noProof/>
                <w:webHidden/>
              </w:rPr>
              <w:t>8</w:t>
            </w:r>
            <w:r w:rsidR="00B76BE0">
              <w:rPr>
                <w:noProof/>
                <w:webHidden/>
              </w:rPr>
              <w:fldChar w:fldCharType="end"/>
            </w:r>
          </w:hyperlink>
        </w:p>
        <w:p w14:paraId="5E043878" w14:textId="2C3B18AD" w:rsidR="00B76BE0" w:rsidRDefault="00E5412E">
          <w:pPr>
            <w:pStyle w:val="TM2"/>
            <w:tabs>
              <w:tab w:val="right" w:leader="dot" w:pos="13948"/>
            </w:tabs>
            <w:rPr>
              <w:noProof/>
            </w:rPr>
          </w:pPr>
          <w:hyperlink w:anchor="_Toc148088053" w:history="1">
            <w:r w:rsidR="00B76BE0" w:rsidRPr="00380A26">
              <w:rPr>
                <w:rStyle w:val="Lienhypertexte"/>
                <w:rFonts w:ascii="Verdana" w:hAnsi="Verdana"/>
                <w:b/>
                <w:bCs/>
                <w:noProof/>
              </w:rPr>
              <w:t>Préparation du Conseil des ministres et passation à la présidence du COPL</w:t>
            </w:r>
            <w:r w:rsidR="00B76BE0">
              <w:rPr>
                <w:noProof/>
                <w:webHidden/>
              </w:rPr>
              <w:tab/>
            </w:r>
            <w:r w:rsidR="00B76BE0">
              <w:rPr>
                <w:noProof/>
                <w:webHidden/>
              </w:rPr>
              <w:fldChar w:fldCharType="begin"/>
            </w:r>
            <w:r w:rsidR="00B76BE0">
              <w:rPr>
                <w:noProof/>
                <w:webHidden/>
              </w:rPr>
              <w:instrText xml:space="preserve"> PAGEREF _Toc148088053 \h </w:instrText>
            </w:r>
            <w:r w:rsidR="00B76BE0">
              <w:rPr>
                <w:noProof/>
                <w:webHidden/>
              </w:rPr>
            </w:r>
            <w:r w:rsidR="00B76BE0">
              <w:rPr>
                <w:noProof/>
                <w:webHidden/>
              </w:rPr>
              <w:fldChar w:fldCharType="separate"/>
            </w:r>
            <w:r w:rsidR="00054051">
              <w:rPr>
                <w:noProof/>
                <w:webHidden/>
              </w:rPr>
              <w:t>10</w:t>
            </w:r>
            <w:r w:rsidR="00B76BE0">
              <w:rPr>
                <w:noProof/>
                <w:webHidden/>
              </w:rPr>
              <w:fldChar w:fldCharType="end"/>
            </w:r>
          </w:hyperlink>
        </w:p>
        <w:p w14:paraId="254257E2" w14:textId="01749F96" w:rsidR="00B76BE0" w:rsidRDefault="00B76BE0">
          <w:r>
            <w:rPr>
              <w:b/>
              <w:bCs/>
            </w:rPr>
            <w:fldChar w:fldCharType="end"/>
          </w:r>
        </w:p>
      </w:sdtContent>
    </w:sdt>
    <w:p w14:paraId="1CD05282" w14:textId="77777777" w:rsidR="00293A06" w:rsidRDefault="00293A06">
      <w:pPr>
        <w:sectPr w:rsidR="00293A06" w:rsidSect="00743751">
          <w:headerReference w:type="default" r:id="rId8"/>
          <w:footerReference w:type="default" r:id="rId9"/>
          <w:pgSz w:w="16838" w:h="11906" w:orient="landscape"/>
          <w:pgMar w:top="2127" w:right="1440" w:bottom="1440" w:left="1440" w:header="708" w:footer="708" w:gutter="0"/>
          <w:cols w:space="708"/>
          <w:docGrid w:linePitch="360"/>
        </w:sectPr>
      </w:pPr>
    </w:p>
    <w:tbl>
      <w:tblPr>
        <w:tblStyle w:val="Grilledutableau"/>
        <w:tblW w:w="0" w:type="auto"/>
        <w:tblInd w:w="-572" w:type="dxa"/>
        <w:tblLook w:val="04A0" w:firstRow="1" w:lastRow="0" w:firstColumn="1" w:lastColumn="0" w:noHBand="0" w:noVBand="1"/>
      </w:tblPr>
      <w:tblGrid>
        <w:gridCol w:w="5474"/>
        <w:gridCol w:w="5031"/>
        <w:gridCol w:w="1978"/>
        <w:gridCol w:w="2037"/>
      </w:tblGrid>
      <w:tr w:rsidR="00293A06" w:rsidRPr="00B76BE0" w14:paraId="7A6DF8CD" w14:textId="77777777" w:rsidTr="23285676">
        <w:trPr>
          <w:tblHeader/>
        </w:trPr>
        <w:tc>
          <w:tcPr>
            <w:tcW w:w="5474" w:type="dxa"/>
            <w:shd w:val="clear" w:color="auto" w:fill="BDD6EE" w:themeFill="accent5" w:themeFillTint="66"/>
          </w:tcPr>
          <w:p w14:paraId="0CAC22F7" w14:textId="04D0EA56" w:rsidR="00293A06" w:rsidRPr="00B76BE0" w:rsidRDefault="00293A06" w:rsidP="00293A06">
            <w:pPr>
              <w:jc w:val="center"/>
              <w:rPr>
                <w:rFonts w:ascii="Verdana" w:hAnsi="Verdana"/>
                <w:b/>
                <w:bCs/>
                <w:sz w:val="20"/>
                <w:szCs w:val="20"/>
              </w:rPr>
            </w:pPr>
            <w:r w:rsidRPr="00B76BE0">
              <w:rPr>
                <w:rFonts w:ascii="Verdana" w:hAnsi="Verdana"/>
                <w:b/>
                <w:bCs/>
                <w:sz w:val="20"/>
                <w:szCs w:val="20"/>
              </w:rPr>
              <w:lastRenderedPageBreak/>
              <w:t>Décision du COPL</w:t>
            </w:r>
          </w:p>
        </w:tc>
        <w:tc>
          <w:tcPr>
            <w:tcW w:w="5031" w:type="dxa"/>
            <w:shd w:val="clear" w:color="auto" w:fill="BDD6EE" w:themeFill="accent5" w:themeFillTint="66"/>
          </w:tcPr>
          <w:p w14:paraId="42C60AFD" w14:textId="0E8FB3AF" w:rsidR="00293A06" w:rsidRPr="00B76BE0" w:rsidRDefault="00293A06" w:rsidP="00293A06">
            <w:pPr>
              <w:jc w:val="center"/>
              <w:rPr>
                <w:rFonts w:ascii="Verdana" w:hAnsi="Verdana"/>
                <w:b/>
                <w:bCs/>
                <w:sz w:val="20"/>
                <w:szCs w:val="20"/>
              </w:rPr>
            </w:pPr>
            <w:r w:rsidRPr="00B76BE0">
              <w:rPr>
                <w:rFonts w:ascii="Verdana" w:hAnsi="Verdana"/>
                <w:b/>
                <w:bCs/>
                <w:sz w:val="20"/>
                <w:szCs w:val="20"/>
              </w:rPr>
              <w:t>Suivi – actions entreprises et/ou à entreprendre</w:t>
            </w:r>
          </w:p>
        </w:tc>
        <w:tc>
          <w:tcPr>
            <w:tcW w:w="1978" w:type="dxa"/>
            <w:shd w:val="clear" w:color="auto" w:fill="BDD6EE" w:themeFill="accent5" w:themeFillTint="66"/>
          </w:tcPr>
          <w:p w14:paraId="42A05AA9" w14:textId="53947B88" w:rsidR="00293A06" w:rsidRPr="00B76BE0" w:rsidRDefault="00293A06" w:rsidP="00293A06">
            <w:pPr>
              <w:jc w:val="center"/>
              <w:rPr>
                <w:rFonts w:ascii="Verdana" w:hAnsi="Verdana"/>
                <w:b/>
                <w:bCs/>
                <w:sz w:val="20"/>
                <w:szCs w:val="20"/>
              </w:rPr>
            </w:pPr>
            <w:r w:rsidRPr="00B76BE0">
              <w:rPr>
                <w:rFonts w:ascii="Verdana" w:hAnsi="Verdana"/>
                <w:b/>
                <w:bCs/>
                <w:sz w:val="20"/>
                <w:szCs w:val="20"/>
              </w:rPr>
              <w:t>Qui ?</w:t>
            </w:r>
          </w:p>
        </w:tc>
        <w:tc>
          <w:tcPr>
            <w:tcW w:w="2037" w:type="dxa"/>
            <w:shd w:val="clear" w:color="auto" w:fill="BDD6EE" w:themeFill="accent5" w:themeFillTint="66"/>
          </w:tcPr>
          <w:p w14:paraId="1CC2DB91" w14:textId="0A0B09B4" w:rsidR="00293A06" w:rsidRPr="00B76BE0" w:rsidRDefault="00B76BE0" w:rsidP="00293A06">
            <w:pPr>
              <w:jc w:val="center"/>
              <w:rPr>
                <w:rFonts w:ascii="Verdana" w:hAnsi="Verdana"/>
                <w:b/>
                <w:bCs/>
                <w:sz w:val="20"/>
                <w:szCs w:val="20"/>
              </w:rPr>
            </w:pPr>
            <w:r w:rsidRPr="00B76BE0">
              <w:rPr>
                <w:rFonts w:ascii="Verdana" w:hAnsi="Verdana"/>
                <w:b/>
                <w:bCs/>
                <w:sz w:val="20"/>
                <w:szCs w:val="20"/>
              </w:rPr>
              <w:t>Échéance</w:t>
            </w:r>
          </w:p>
        </w:tc>
      </w:tr>
      <w:tr w:rsidR="00293A06" w:rsidRPr="00B76BE0" w14:paraId="0B6ECD8A" w14:textId="77777777" w:rsidTr="23285676">
        <w:tc>
          <w:tcPr>
            <w:tcW w:w="14520" w:type="dxa"/>
            <w:gridSpan w:val="4"/>
            <w:shd w:val="clear" w:color="auto" w:fill="ED7D31" w:themeFill="accent2"/>
          </w:tcPr>
          <w:p w14:paraId="34E9E123" w14:textId="32E9CD5C" w:rsidR="00293A06" w:rsidRPr="00B76BE0" w:rsidRDefault="002B1180" w:rsidP="00B76BE0">
            <w:pPr>
              <w:pStyle w:val="Titre2"/>
              <w:rPr>
                <w:rFonts w:ascii="Verdana" w:hAnsi="Verdana"/>
                <w:b/>
                <w:bCs/>
                <w:sz w:val="20"/>
                <w:szCs w:val="20"/>
              </w:rPr>
            </w:pPr>
            <w:r>
              <w:rPr>
                <w:rFonts w:ascii="Verdana" w:hAnsi="Verdana"/>
                <w:b/>
                <w:bCs/>
                <w:color w:val="FFFFFF" w:themeColor="background1"/>
                <w:sz w:val="20"/>
                <w:szCs w:val="20"/>
              </w:rPr>
              <w:t>Ordre du jour et suivi des décisions des instances</w:t>
            </w:r>
          </w:p>
        </w:tc>
      </w:tr>
      <w:tr w:rsidR="00293A06" w:rsidRPr="00B76BE0" w14:paraId="4991FA7A" w14:textId="77777777" w:rsidTr="23285676">
        <w:tc>
          <w:tcPr>
            <w:tcW w:w="5474" w:type="dxa"/>
          </w:tcPr>
          <w:p w14:paraId="6F34BB47" w14:textId="77777777" w:rsidR="002B1180" w:rsidRPr="00244145" w:rsidRDefault="002B1180" w:rsidP="002B1180">
            <w:pPr>
              <w:spacing w:after="120" w:line="276" w:lineRule="auto"/>
              <w:rPr>
                <w:rFonts w:ascii="Verdana" w:hAnsi="Verdana"/>
                <w:b/>
                <w:bCs/>
                <w:sz w:val="20"/>
                <w:szCs w:val="20"/>
              </w:rPr>
            </w:pPr>
            <w:r w:rsidRPr="00244145">
              <w:rPr>
                <w:rFonts w:ascii="Verdana" w:hAnsi="Verdana"/>
                <w:b/>
                <w:bCs/>
                <w:sz w:val="20"/>
                <w:szCs w:val="20"/>
              </w:rPr>
              <w:t xml:space="preserve">Décision 1. </w:t>
            </w:r>
            <w:r>
              <w:rPr>
                <w:rFonts w:ascii="Verdana" w:hAnsi="Verdana"/>
                <w:b/>
                <w:bCs/>
                <w:sz w:val="20"/>
                <w:szCs w:val="20"/>
              </w:rPr>
              <w:t>Ordre du jour et suivi des décisions des instances</w:t>
            </w:r>
          </w:p>
          <w:p w14:paraId="550192C5" w14:textId="77777777" w:rsidR="002B1180" w:rsidRPr="0097773E" w:rsidRDefault="002B1180" w:rsidP="002B1180">
            <w:pPr>
              <w:pStyle w:val="Paragraphedeliste"/>
              <w:numPr>
                <w:ilvl w:val="0"/>
                <w:numId w:val="22"/>
              </w:numPr>
              <w:spacing w:line="276" w:lineRule="auto"/>
              <w:contextualSpacing w:val="0"/>
              <w:jc w:val="both"/>
              <w:rPr>
                <w:rFonts w:ascii="Verdana" w:hAnsi="Verdana"/>
                <w:sz w:val="20"/>
                <w:szCs w:val="20"/>
              </w:rPr>
            </w:pPr>
            <w:r w:rsidRPr="0097773E">
              <w:rPr>
                <w:rFonts w:ascii="Verdana" w:hAnsi="Verdana"/>
                <w:sz w:val="20"/>
                <w:szCs w:val="20"/>
              </w:rPr>
              <w:t>Le projet d’ordre du jour du Comité des OPL n°02/2023 des 21 et 22 novembre 2023 a été adopté après modifications :</w:t>
            </w:r>
          </w:p>
          <w:p w14:paraId="386872B3" w14:textId="77777777" w:rsidR="002B1180" w:rsidRDefault="002B1180" w:rsidP="002B1180">
            <w:pPr>
              <w:pStyle w:val="Paragraphedeliste"/>
              <w:numPr>
                <w:ilvl w:val="0"/>
                <w:numId w:val="21"/>
              </w:numPr>
              <w:spacing w:line="276" w:lineRule="auto"/>
              <w:contextualSpacing w:val="0"/>
              <w:jc w:val="both"/>
              <w:rPr>
                <w:rFonts w:ascii="Verdana" w:hAnsi="Verdana"/>
                <w:sz w:val="20"/>
                <w:szCs w:val="20"/>
              </w:rPr>
            </w:pPr>
            <w:r>
              <w:rPr>
                <w:rFonts w:ascii="Verdana" w:hAnsi="Verdana"/>
                <w:sz w:val="20"/>
                <w:szCs w:val="20"/>
              </w:rPr>
              <w:t>La fiche 2.7. – 4</w:t>
            </w:r>
            <w:r w:rsidRPr="00822520">
              <w:rPr>
                <w:rFonts w:ascii="Verdana" w:hAnsi="Verdana"/>
                <w:sz w:val="20"/>
                <w:szCs w:val="20"/>
                <w:vertAlign w:val="superscript"/>
              </w:rPr>
              <w:t>e</w:t>
            </w:r>
            <w:r>
              <w:rPr>
                <w:rFonts w:ascii="Verdana" w:hAnsi="Verdana"/>
                <w:sz w:val="20"/>
                <w:szCs w:val="20"/>
              </w:rPr>
              <w:t xml:space="preserve"> Sommet des Nations unies sur les Petits Etats insulaires en développement de 2024 sera examinée pour information ;  </w:t>
            </w:r>
          </w:p>
          <w:p w14:paraId="1A04FC6B" w14:textId="77777777" w:rsidR="002B1180" w:rsidRDefault="002B1180" w:rsidP="002B1180">
            <w:pPr>
              <w:pStyle w:val="Paragraphedeliste"/>
              <w:numPr>
                <w:ilvl w:val="0"/>
                <w:numId w:val="21"/>
              </w:numPr>
              <w:spacing w:line="276" w:lineRule="auto"/>
              <w:contextualSpacing w:val="0"/>
              <w:jc w:val="both"/>
              <w:rPr>
                <w:rFonts w:ascii="Verdana" w:hAnsi="Verdana"/>
                <w:sz w:val="20"/>
                <w:szCs w:val="20"/>
              </w:rPr>
            </w:pPr>
            <w:r>
              <w:rPr>
                <w:rFonts w:ascii="Verdana" w:hAnsi="Verdana"/>
                <w:sz w:val="20"/>
                <w:szCs w:val="20"/>
              </w:rPr>
              <w:t xml:space="preserve">Les fiches 4.1. « Service des contrats et marchés » ; 4.2. « Communication » et 4.3. « Audit » sont replacés dans le Point 3 – « Administration et finances ». </w:t>
            </w:r>
          </w:p>
          <w:p w14:paraId="4C5461F9" w14:textId="77777777" w:rsidR="002B1180" w:rsidRDefault="002B1180" w:rsidP="002B1180">
            <w:pPr>
              <w:pStyle w:val="Paragraphedeliste"/>
              <w:numPr>
                <w:ilvl w:val="0"/>
                <w:numId w:val="22"/>
              </w:numPr>
              <w:spacing w:line="276" w:lineRule="auto"/>
              <w:contextualSpacing w:val="0"/>
              <w:jc w:val="both"/>
              <w:rPr>
                <w:rFonts w:ascii="Verdana" w:hAnsi="Verdana"/>
                <w:sz w:val="20"/>
                <w:szCs w:val="20"/>
              </w:rPr>
            </w:pPr>
            <w:r>
              <w:rPr>
                <w:rFonts w:ascii="Verdana" w:hAnsi="Verdana"/>
                <w:sz w:val="20"/>
                <w:szCs w:val="20"/>
              </w:rPr>
              <w:t>Suivi des décisions du 37</w:t>
            </w:r>
            <w:r w:rsidRPr="00D91C36">
              <w:rPr>
                <w:rFonts w:ascii="Verdana" w:hAnsi="Verdana"/>
                <w:sz w:val="20"/>
                <w:szCs w:val="20"/>
                <w:vertAlign w:val="superscript"/>
              </w:rPr>
              <w:t>e</w:t>
            </w:r>
            <w:r>
              <w:rPr>
                <w:rFonts w:ascii="Verdana" w:hAnsi="Verdana"/>
                <w:sz w:val="20"/>
                <w:szCs w:val="20"/>
              </w:rPr>
              <w:t xml:space="preserve"> Conseil des ministres et du Comité des OPL n°01/2023 : </w:t>
            </w:r>
          </w:p>
          <w:p w14:paraId="5C3F63C6" w14:textId="77777777" w:rsidR="002B1180" w:rsidRPr="00274C88" w:rsidRDefault="002B1180" w:rsidP="002B1180">
            <w:pPr>
              <w:spacing w:line="276" w:lineRule="auto"/>
              <w:ind w:left="360"/>
              <w:jc w:val="both"/>
              <w:rPr>
                <w:rFonts w:ascii="Verdana" w:hAnsi="Verdana"/>
                <w:sz w:val="20"/>
                <w:szCs w:val="20"/>
                <w:u w:val="single"/>
              </w:rPr>
            </w:pPr>
            <w:r w:rsidRPr="00274C88">
              <w:rPr>
                <w:rFonts w:ascii="Verdana" w:hAnsi="Verdana"/>
                <w:sz w:val="20"/>
                <w:szCs w:val="20"/>
                <w:u w:val="single"/>
              </w:rPr>
              <w:t>37</w:t>
            </w:r>
            <w:r w:rsidRPr="00274C88">
              <w:rPr>
                <w:rFonts w:ascii="Verdana" w:hAnsi="Verdana"/>
                <w:sz w:val="20"/>
                <w:szCs w:val="20"/>
                <w:u w:val="single"/>
                <w:vertAlign w:val="superscript"/>
              </w:rPr>
              <w:t>e</w:t>
            </w:r>
            <w:r w:rsidRPr="00274C88">
              <w:rPr>
                <w:rFonts w:ascii="Verdana" w:hAnsi="Verdana"/>
                <w:sz w:val="20"/>
                <w:szCs w:val="20"/>
                <w:u w:val="single"/>
              </w:rPr>
              <w:t xml:space="preserve"> Conseil des ministres</w:t>
            </w:r>
          </w:p>
          <w:p w14:paraId="06E3865D" w14:textId="77777777" w:rsidR="002B1180" w:rsidRDefault="002B1180" w:rsidP="002B1180">
            <w:pPr>
              <w:pStyle w:val="Paragraphedeliste"/>
              <w:numPr>
                <w:ilvl w:val="0"/>
                <w:numId w:val="23"/>
              </w:numPr>
              <w:spacing w:line="276" w:lineRule="auto"/>
              <w:contextualSpacing w:val="0"/>
              <w:jc w:val="both"/>
              <w:rPr>
                <w:rFonts w:ascii="Verdana" w:hAnsi="Verdana"/>
                <w:sz w:val="20"/>
                <w:szCs w:val="20"/>
              </w:rPr>
            </w:pPr>
            <w:r>
              <w:rPr>
                <w:rFonts w:ascii="Verdana" w:hAnsi="Verdana"/>
                <w:sz w:val="20"/>
                <w:szCs w:val="20"/>
              </w:rPr>
              <w:t xml:space="preserve">Décision 3 « Accréditation au Fonds vert pour le climat », alinéa d. : Le secrétariat informe que les consultations avec les pays pour l’identification et la formulation de projets à proposer au FVC n’ont pas débuté. Le bureau de l’OPL de Maurice demande que les OPL soient impliqués dans ces consultations. Le secrétariat précise que des discussions sur les opportunités de financement auprès du </w:t>
            </w:r>
            <w:r>
              <w:rPr>
                <w:rFonts w:ascii="Verdana" w:hAnsi="Verdana"/>
                <w:sz w:val="20"/>
                <w:szCs w:val="20"/>
              </w:rPr>
              <w:lastRenderedPageBreak/>
              <w:t xml:space="preserve">FVC ont également lieu sous l’égide de la Commission des îles d’Afrique sur le climat (AISCC). </w:t>
            </w:r>
          </w:p>
          <w:p w14:paraId="61A652AF" w14:textId="77777777" w:rsidR="002B1180" w:rsidRDefault="002B1180" w:rsidP="002B1180">
            <w:pPr>
              <w:pStyle w:val="Paragraphedeliste"/>
              <w:numPr>
                <w:ilvl w:val="0"/>
                <w:numId w:val="23"/>
              </w:numPr>
              <w:spacing w:line="276" w:lineRule="auto"/>
              <w:contextualSpacing w:val="0"/>
              <w:jc w:val="both"/>
              <w:rPr>
                <w:rFonts w:ascii="Verdana" w:hAnsi="Verdana"/>
                <w:sz w:val="20"/>
                <w:szCs w:val="20"/>
              </w:rPr>
            </w:pPr>
            <w:r>
              <w:rPr>
                <w:rFonts w:ascii="Verdana" w:hAnsi="Verdana"/>
                <w:sz w:val="20"/>
                <w:szCs w:val="20"/>
              </w:rPr>
              <w:t xml:space="preserve">Décision 4 « Statut d’observateur de la COI auprès de l’UA » :  </w:t>
            </w:r>
          </w:p>
          <w:p w14:paraId="44BEE68E" w14:textId="77777777" w:rsidR="002B1180" w:rsidRDefault="002B1180" w:rsidP="002B1180">
            <w:pPr>
              <w:pStyle w:val="Paragraphedeliste"/>
              <w:numPr>
                <w:ilvl w:val="1"/>
                <w:numId w:val="23"/>
              </w:numPr>
              <w:spacing w:line="276" w:lineRule="auto"/>
              <w:contextualSpacing w:val="0"/>
              <w:jc w:val="both"/>
              <w:rPr>
                <w:rFonts w:ascii="Verdana" w:hAnsi="Verdana"/>
                <w:sz w:val="20"/>
                <w:szCs w:val="20"/>
              </w:rPr>
            </w:pPr>
            <w:r>
              <w:rPr>
                <w:rFonts w:ascii="Verdana" w:hAnsi="Verdana"/>
                <w:sz w:val="20"/>
                <w:szCs w:val="20"/>
              </w:rPr>
              <w:t>Alinéa a. : le secrétariat indique avoir reçu, via la présidence en exercice, une date de rencontre avec la Commission de l’UA mais les contraintes calendaires et le court délai de notification ont empêché cette rencontre. Le secrétariat reste en attente d’une autre date. La partie comorienne, dans le cadre de sa présidence de l’UA jusqu’en février 2024, et la partie française ont indiqué leur disponibilité à soutenir les initiatives qui seront prises par la présidence en exercice et le secrétariat. Les Etats membres encouragent le secrétariat à finaliser la procédure d’ici la prochaine session des instances décisionnelles.</w:t>
            </w:r>
          </w:p>
          <w:p w14:paraId="6A9FAD66" w14:textId="77777777" w:rsidR="002B1180" w:rsidRPr="009559F8" w:rsidRDefault="002B1180" w:rsidP="002B1180">
            <w:pPr>
              <w:pStyle w:val="Paragraphedeliste"/>
              <w:numPr>
                <w:ilvl w:val="1"/>
                <w:numId w:val="23"/>
              </w:numPr>
              <w:spacing w:line="276" w:lineRule="auto"/>
              <w:contextualSpacing w:val="0"/>
              <w:jc w:val="both"/>
              <w:rPr>
                <w:rFonts w:ascii="Verdana" w:hAnsi="Verdana"/>
                <w:sz w:val="20"/>
                <w:szCs w:val="20"/>
              </w:rPr>
            </w:pPr>
            <w:r>
              <w:rPr>
                <w:rFonts w:ascii="Verdana" w:hAnsi="Verdana"/>
                <w:sz w:val="20"/>
                <w:szCs w:val="20"/>
              </w:rPr>
              <w:t>Alinéa b. : le comité des OPL dem</w:t>
            </w:r>
            <w:r w:rsidRPr="009559F8">
              <w:rPr>
                <w:rFonts w:ascii="Verdana" w:hAnsi="Verdana"/>
                <w:sz w:val="20"/>
                <w:szCs w:val="20"/>
              </w:rPr>
              <w:t xml:space="preserve">ande au secrétariat de lancer </w:t>
            </w:r>
            <w:r w:rsidRPr="009559F8">
              <w:rPr>
                <w:rFonts w:ascii="Verdana" w:hAnsi="Verdana"/>
                <w:sz w:val="20"/>
                <w:szCs w:val="20"/>
              </w:rPr>
              <w:lastRenderedPageBreak/>
              <w:t xml:space="preserve">dans les meilleurs délais l’étude sur les </w:t>
            </w:r>
            <w:r w:rsidRPr="009559F8">
              <w:rPr>
                <w:rFonts w:ascii="Verdana" w:hAnsi="Verdana"/>
                <w:sz w:val="20"/>
              </w:rPr>
              <w:t xml:space="preserve">implications administratives, financières et en termes de ressources humaines d’une représentation permanente auprès de l’UA.0 </w:t>
            </w:r>
          </w:p>
          <w:p w14:paraId="0ACC1DC4" w14:textId="77777777" w:rsidR="002B1180" w:rsidRPr="009559F8" w:rsidRDefault="002B1180" w:rsidP="002B1180">
            <w:pPr>
              <w:pStyle w:val="Paragraphedeliste"/>
              <w:numPr>
                <w:ilvl w:val="0"/>
                <w:numId w:val="23"/>
              </w:numPr>
              <w:spacing w:line="276" w:lineRule="auto"/>
              <w:contextualSpacing w:val="0"/>
              <w:jc w:val="both"/>
              <w:rPr>
                <w:rFonts w:ascii="Verdana" w:hAnsi="Verdana"/>
                <w:sz w:val="20"/>
                <w:szCs w:val="20"/>
              </w:rPr>
            </w:pPr>
            <w:r w:rsidRPr="009559F8">
              <w:rPr>
                <w:rFonts w:ascii="Verdana" w:hAnsi="Verdana"/>
                <w:sz w:val="20"/>
              </w:rPr>
              <w:t>Décision 8 « Coopération économique », alinéa d. : le Comité des OPL a pris note de la proposition des Seychelles de proposer une note conceptuelle sur un mécanisme régional d’achat groupé qui sera partagé aux Etats membres et au secrétariat général pour accélérer la mise en œuvre de la décision 8.d. du 37</w:t>
            </w:r>
            <w:r w:rsidRPr="009559F8">
              <w:rPr>
                <w:rFonts w:ascii="Verdana" w:hAnsi="Verdana"/>
                <w:sz w:val="20"/>
                <w:vertAlign w:val="superscript"/>
              </w:rPr>
              <w:t>e</w:t>
            </w:r>
            <w:r w:rsidRPr="009559F8">
              <w:rPr>
                <w:rFonts w:ascii="Verdana" w:hAnsi="Verdana"/>
                <w:sz w:val="20"/>
              </w:rPr>
              <w:t xml:space="preserve"> Conseil des ministres. </w:t>
            </w:r>
          </w:p>
          <w:p w14:paraId="539E9768" w14:textId="77777777" w:rsidR="002B1180" w:rsidRPr="009559F8" w:rsidRDefault="002B1180" w:rsidP="002B1180">
            <w:pPr>
              <w:spacing w:line="276" w:lineRule="auto"/>
              <w:ind w:left="708"/>
              <w:jc w:val="both"/>
              <w:rPr>
                <w:rFonts w:ascii="Verdana" w:hAnsi="Verdana"/>
                <w:sz w:val="20"/>
                <w:szCs w:val="20"/>
                <w:u w:val="single"/>
              </w:rPr>
            </w:pPr>
            <w:r w:rsidRPr="009559F8">
              <w:rPr>
                <w:rFonts w:ascii="Verdana" w:hAnsi="Verdana"/>
                <w:sz w:val="20"/>
                <w:szCs w:val="20"/>
                <w:u w:val="single"/>
              </w:rPr>
              <w:t>Comité des OPL n°01/2023</w:t>
            </w:r>
          </w:p>
          <w:p w14:paraId="06235B42" w14:textId="77777777" w:rsidR="002B1180" w:rsidRPr="001D510C" w:rsidRDefault="002B1180" w:rsidP="002B1180">
            <w:pPr>
              <w:pStyle w:val="Paragraphedeliste"/>
              <w:numPr>
                <w:ilvl w:val="0"/>
                <w:numId w:val="24"/>
              </w:numPr>
              <w:spacing w:line="276" w:lineRule="auto"/>
              <w:contextualSpacing w:val="0"/>
              <w:jc w:val="both"/>
              <w:rPr>
                <w:rFonts w:ascii="Verdana" w:hAnsi="Verdana"/>
                <w:sz w:val="20"/>
                <w:szCs w:val="20"/>
              </w:rPr>
            </w:pPr>
            <w:r w:rsidRPr="001D510C">
              <w:rPr>
                <w:rFonts w:ascii="Verdana" w:hAnsi="Verdana"/>
                <w:sz w:val="20"/>
                <w:szCs w:val="20"/>
              </w:rPr>
              <w:t xml:space="preserve">Pas de commentaires sur le tableau de suivi des décisions soumis par le secrétariat. </w:t>
            </w:r>
          </w:p>
          <w:p w14:paraId="34CFE819" w14:textId="4E781119" w:rsidR="00293A06" w:rsidRPr="00B76BE0" w:rsidRDefault="00293A06">
            <w:pPr>
              <w:rPr>
                <w:rFonts w:ascii="Verdana" w:hAnsi="Verdana"/>
                <w:sz w:val="20"/>
                <w:szCs w:val="20"/>
              </w:rPr>
            </w:pPr>
          </w:p>
        </w:tc>
        <w:tc>
          <w:tcPr>
            <w:tcW w:w="5031" w:type="dxa"/>
          </w:tcPr>
          <w:p w14:paraId="3F055B96" w14:textId="724C7C92" w:rsidR="00293A06" w:rsidRPr="00B76BE0" w:rsidRDefault="5EE57FD6" w:rsidP="41229AC4">
            <w:pPr>
              <w:jc w:val="both"/>
              <w:rPr>
                <w:rFonts w:ascii="Calibri" w:eastAsia="Calibri" w:hAnsi="Calibri" w:cs="Calibri"/>
              </w:rPr>
            </w:pPr>
            <w:r w:rsidRPr="23285676">
              <w:rPr>
                <w:rFonts w:ascii="Calibri" w:eastAsia="Calibri" w:hAnsi="Calibri" w:cs="Calibri"/>
              </w:rPr>
              <w:lastRenderedPageBreak/>
              <w:t>Décision 8</w:t>
            </w:r>
            <w:r w:rsidR="4CBA20EE" w:rsidRPr="23285676">
              <w:rPr>
                <w:rFonts w:ascii="Calibri" w:eastAsia="Calibri" w:hAnsi="Calibri" w:cs="Calibri"/>
              </w:rPr>
              <w:t>d)</w:t>
            </w:r>
            <w:r w:rsidRPr="23285676">
              <w:rPr>
                <w:rFonts w:ascii="Calibri" w:eastAsia="Calibri" w:hAnsi="Calibri" w:cs="Calibri"/>
              </w:rPr>
              <w:t xml:space="preserve">: </w:t>
            </w:r>
            <w:r w:rsidR="6A8C86E9" w:rsidRPr="23285676">
              <w:rPr>
                <w:rFonts w:ascii="Calibri" w:eastAsia="Calibri" w:hAnsi="Calibri" w:cs="Calibri"/>
              </w:rPr>
              <w:t>Conformément à l’accélération de la décision 8d) du 37ème Conseil des Ministres et de la décision 1b) du Comité des OPL des 22 et 23 novembre 2023, il est nécessaire de procéder à l’exploration des pistes de coopération pour l’acquisition groupée de produits de première nécessité et de médicaments en concertation avec les administrations pertinentes des Etats membres dans la perspective d’un éventuel projet, en tenant compte des conclusions et des recommandations de première réunion des responsables nationaux des Etats membres de la COI sur le sujet le 18 novembre 2022. Le</w:t>
            </w:r>
            <w:r w:rsidR="145E10B0" w:rsidRPr="23285676">
              <w:rPr>
                <w:rFonts w:ascii="Calibri" w:eastAsia="Calibri" w:hAnsi="Calibri" w:cs="Calibri"/>
              </w:rPr>
              <w:t xml:space="preserve"> Secrétaire général </w:t>
            </w:r>
            <w:r w:rsidR="00387B3D" w:rsidRPr="23285676">
              <w:rPr>
                <w:rFonts w:ascii="Calibri" w:eastAsia="Calibri" w:hAnsi="Calibri" w:cs="Calibri"/>
              </w:rPr>
              <w:t xml:space="preserve">continue à mobiliser les partenaires pour </w:t>
            </w:r>
            <w:r w:rsidR="145E10B0" w:rsidRPr="23285676">
              <w:rPr>
                <w:rFonts w:ascii="Calibri" w:eastAsia="Calibri" w:hAnsi="Calibri" w:cs="Calibri"/>
              </w:rPr>
              <w:t>dispose</w:t>
            </w:r>
            <w:r w:rsidR="00387B3D" w:rsidRPr="23285676">
              <w:rPr>
                <w:rFonts w:ascii="Calibri" w:eastAsia="Calibri" w:hAnsi="Calibri" w:cs="Calibri"/>
              </w:rPr>
              <w:t>r</w:t>
            </w:r>
            <w:r w:rsidR="145E10B0" w:rsidRPr="23285676">
              <w:rPr>
                <w:rFonts w:ascii="Calibri" w:eastAsia="Calibri" w:hAnsi="Calibri" w:cs="Calibri"/>
              </w:rPr>
              <w:t xml:space="preserve"> des ressources financières permettant de soutenir </w:t>
            </w:r>
            <w:r w:rsidR="6E3313EC" w:rsidRPr="23285676">
              <w:rPr>
                <w:rFonts w:ascii="Calibri" w:eastAsia="Calibri" w:hAnsi="Calibri" w:cs="Calibri"/>
              </w:rPr>
              <w:t>l</w:t>
            </w:r>
            <w:r w:rsidR="14160157" w:rsidRPr="23285676">
              <w:rPr>
                <w:rFonts w:ascii="Calibri" w:eastAsia="Calibri" w:hAnsi="Calibri" w:cs="Calibri"/>
              </w:rPr>
              <w:t>e processus.</w:t>
            </w:r>
            <w:r w:rsidR="00096862" w:rsidRPr="23285676">
              <w:rPr>
                <w:rFonts w:ascii="Calibri" w:eastAsia="Calibri" w:hAnsi="Calibri" w:cs="Calibri"/>
              </w:rPr>
              <w:t xml:space="preserve"> </w:t>
            </w:r>
          </w:p>
          <w:p w14:paraId="24AD9EB8" w14:textId="7AAF5670" w:rsidR="00293A06" w:rsidRPr="00B76BE0" w:rsidRDefault="00293A06" w:rsidP="41229AC4">
            <w:pPr>
              <w:rPr>
                <w:rFonts w:ascii="Verdana" w:hAnsi="Verdana"/>
                <w:sz w:val="20"/>
                <w:szCs w:val="20"/>
              </w:rPr>
            </w:pPr>
          </w:p>
          <w:p w14:paraId="5EE70C02" w14:textId="642E58AB" w:rsidR="00293A06" w:rsidRPr="00B76BE0" w:rsidRDefault="00293A06" w:rsidP="41229AC4">
            <w:pPr>
              <w:rPr>
                <w:rFonts w:ascii="Verdana" w:hAnsi="Verdana"/>
                <w:sz w:val="20"/>
                <w:szCs w:val="20"/>
              </w:rPr>
            </w:pPr>
          </w:p>
          <w:p w14:paraId="4DF8555A" w14:textId="0889692F" w:rsidR="00293A06" w:rsidRPr="00B76BE0" w:rsidRDefault="00293A06" w:rsidP="41229AC4">
            <w:pPr>
              <w:rPr>
                <w:rFonts w:ascii="Verdana" w:hAnsi="Verdana"/>
                <w:sz w:val="20"/>
                <w:szCs w:val="20"/>
              </w:rPr>
            </w:pPr>
          </w:p>
          <w:p w14:paraId="58AEEA5E" w14:textId="0F576ED4" w:rsidR="00293A06" w:rsidRPr="00B76BE0" w:rsidRDefault="79CA7174" w:rsidP="41229AC4">
            <w:pPr>
              <w:rPr>
                <w:rFonts w:ascii="Verdana" w:hAnsi="Verdana"/>
                <w:sz w:val="20"/>
                <w:szCs w:val="20"/>
              </w:rPr>
            </w:pPr>
            <w:r w:rsidRPr="23285676">
              <w:rPr>
                <w:rFonts w:ascii="Verdana" w:hAnsi="Verdana"/>
                <w:sz w:val="20"/>
                <w:szCs w:val="20"/>
              </w:rPr>
              <w:t xml:space="preserve">Décision 3 : </w:t>
            </w:r>
            <w:r w:rsidR="417DE98D" w:rsidRPr="23285676">
              <w:rPr>
                <w:rFonts w:ascii="Verdana" w:hAnsi="Verdana"/>
                <w:sz w:val="20"/>
                <w:szCs w:val="20"/>
              </w:rPr>
              <w:t xml:space="preserve">Voir fiche 2.1, un atelier régional est prévu pour valider les priorités </w:t>
            </w:r>
            <w:r w:rsidR="37149519" w:rsidRPr="23285676">
              <w:rPr>
                <w:rFonts w:ascii="Verdana" w:hAnsi="Verdana"/>
                <w:sz w:val="20"/>
                <w:szCs w:val="20"/>
              </w:rPr>
              <w:t xml:space="preserve">et mettre en place une feuille de route pour l ‘élaboration des projets. </w:t>
            </w:r>
          </w:p>
          <w:p w14:paraId="2539F37E" w14:textId="68F93C72" w:rsidR="00293A06" w:rsidRPr="00B76BE0" w:rsidRDefault="00293A06" w:rsidP="23285676">
            <w:pPr>
              <w:rPr>
                <w:rFonts w:ascii="Verdana" w:hAnsi="Verdana"/>
                <w:sz w:val="20"/>
                <w:szCs w:val="20"/>
              </w:rPr>
            </w:pPr>
          </w:p>
          <w:p w14:paraId="08B0028F" w14:textId="1D773519" w:rsidR="00293A06" w:rsidRPr="00B76BE0" w:rsidRDefault="337FED30" w:rsidP="23285676">
            <w:pPr>
              <w:rPr>
                <w:rFonts w:ascii="Verdana" w:hAnsi="Verdana"/>
                <w:sz w:val="20"/>
                <w:szCs w:val="20"/>
              </w:rPr>
            </w:pPr>
            <w:r w:rsidRPr="23285676">
              <w:rPr>
                <w:rFonts w:ascii="Verdana" w:hAnsi="Verdana"/>
                <w:sz w:val="20"/>
                <w:szCs w:val="20"/>
              </w:rPr>
              <w:t xml:space="preserve">Le fond vert pour le climate a approuvé </w:t>
            </w:r>
            <w:r w:rsidR="777CB51B" w:rsidRPr="23285676">
              <w:rPr>
                <w:rFonts w:ascii="Verdana" w:hAnsi="Verdana"/>
                <w:sz w:val="20"/>
                <w:szCs w:val="20"/>
              </w:rPr>
              <w:t xml:space="preserve">le 30 mars 2024 un projet soumis par les Seychelles en faveur de AISCC pour un montant de 4 943 086 USD. Le projet </w:t>
            </w:r>
            <w:r w:rsidR="56CF27B4" w:rsidRPr="23285676">
              <w:rPr>
                <w:rFonts w:ascii="Verdana" w:hAnsi="Verdana"/>
                <w:sz w:val="20"/>
                <w:szCs w:val="20"/>
              </w:rPr>
              <w:t xml:space="preserve">intitulé </w:t>
            </w:r>
            <w:r w:rsidR="777CB51B" w:rsidRPr="23285676">
              <w:rPr>
                <w:rFonts w:ascii="Verdana" w:hAnsi="Verdana"/>
                <w:sz w:val="20"/>
                <w:szCs w:val="20"/>
              </w:rPr>
              <w:t xml:space="preserve">" Renforcement des capacités institutionnelles des États membres de la Commission des États insulaires africains </w:t>
            </w:r>
            <w:r w:rsidR="777CB51B" w:rsidRPr="23285676">
              <w:rPr>
                <w:rFonts w:ascii="Verdana" w:hAnsi="Verdana"/>
                <w:sz w:val="20"/>
                <w:szCs w:val="20"/>
              </w:rPr>
              <w:lastRenderedPageBreak/>
              <w:t>sur le climat (AISCC) pour gérer les risques climatiques et renforcer la résilience - Projet RESIslands "</w:t>
            </w:r>
            <w:r w:rsidR="12CC1063" w:rsidRPr="23285676">
              <w:rPr>
                <w:rFonts w:ascii="Verdana" w:hAnsi="Verdana"/>
                <w:sz w:val="20"/>
                <w:szCs w:val="20"/>
              </w:rPr>
              <w:t xml:space="preserve"> sera mis en </w:t>
            </w:r>
            <w:r w:rsidR="7AA8E3C0" w:rsidRPr="23285676">
              <w:rPr>
                <w:rFonts w:ascii="Verdana" w:hAnsi="Verdana"/>
                <w:sz w:val="20"/>
                <w:szCs w:val="20"/>
              </w:rPr>
              <w:t>œuvre par</w:t>
            </w:r>
            <w:r w:rsidR="12CC1063" w:rsidRPr="23285676">
              <w:rPr>
                <w:rFonts w:ascii="Verdana" w:hAnsi="Verdana"/>
                <w:sz w:val="20"/>
                <w:szCs w:val="20"/>
              </w:rPr>
              <w:t xml:space="preserve"> </w:t>
            </w:r>
            <w:r w:rsidR="3D7B2B7D" w:rsidRPr="23285676">
              <w:rPr>
                <w:rFonts w:ascii="Verdana" w:hAnsi="Verdana"/>
                <w:sz w:val="20"/>
                <w:szCs w:val="20"/>
              </w:rPr>
              <w:t>UNECA en tant q</w:t>
            </w:r>
            <w:r w:rsidR="53CE78F3" w:rsidRPr="23285676">
              <w:rPr>
                <w:rFonts w:ascii="Verdana" w:hAnsi="Verdana"/>
                <w:sz w:val="20"/>
                <w:szCs w:val="20"/>
              </w:rPr>
              <w:t>’</w:t>
            </w:r>
            <w:r w:rsidR="7224D261" w:rsidRPr="23285676">
              <w:rPr>
                <w:rFonts w:ascii="Verdana" w:hAnsi="Verdana"/>
                <w:sz w:val="20"/>
                <w:szCs w:val="20"/>
              </w:rPr>
              <w:t>entité d’exécution</w:t>
            </w:r>
            <w:r w:rsidR="38D7CFEA" w:rsidRPr="23285676">
              <w:rPr>
                <w:rFonts w:ascii="Verdana" w:hAnsi="Verdana"/>
                <w:sz w:val="20"/>
                <w:szCs w:val="20"/>
              </w:rPr>
              <w:t xml:space="preserve"> et la COI sera associé vu son rôle de  secretariat auprès de AISCC. </w:t>
            </w:r>
            <w:r w:rsidR="12BDD749" w:rsidRPr="23285676">
              <w:rPr>
                <w:rFonts w:ascii="Verdana" w:hAnsi="Verdana"/>
                <w:sz w:val="20"/>
                <w:szCs w:val="20"/>
              </w:rPr>
              <w:t xml:space="preserve">Les consultations ont été mené entre octobre et décèmbre 2023 avec les NDAs et les PFN de AISCC des pays concernés. </w:t>
            </w:r>
          </w:p>
          <w:p w14:paraId="0FA21EFD" w14:textId="584E8B3F" w:rsidR="00293A06" w:rsidRPr="00B76BE0" w:rsidRDefault="00293A06" w:rsidP="41229AC4">
            <w:pPr>
              <w:rPr>
                <w:rFonts w:ascii="Verdana" w:hAnsi="Verdana"/>
                <w:sz w:val="20"/>
                <w:szCs w:val="20"/>
              </w:rPr>
            </w:pPr>
          </w:p>
          <w:p w14:paraId="1095F820" w14:textId="4761E7E1" w:rsidR="00293A06" w:rsidRPr="00B76BE0" w:rsidRDefault="00293A06" w:rsidP="41229AC4">
            <w:pPr>
              <w:rPr>
                <w:rFonts w:ascii="Verdana" w:hAnsi="Verdana"/>
                <w:sz w:val="20"/>
                <w:szCs w:val="20"/>
              </w:rPr>
            </w:pPr>
          </w:p>
          <w:p w14:paraId="04B5CCCB" w14:textId="1E2AD252" w:rsidR="00293A06" w:rsidRPr="00B76BE0" w:rsidRDefault="00293A06" w:rsidP="41229AC4">
            <w:pPr>
              <w:rPr>
                <w:rFonts w:ascii="Verdana" w:hAnsi="Verdana"/>
                <w:sz w:val="20"/>
                <w:szCs w:val="20"/>
              </w:rPr>
            </w:pPr>
          </w:p>
          <w:p w14:paraId="7B1646DF" w14:textId="4A413BAC" w:rsidR="00293A06" w:rsidRPr="00B76BE0" w:rsidRDefault="00293A06" w:rsidP="41229AC4">
            <w:pPr>
              <w:rPr>
                <w:rFonts w:ascii="Verdana" w:hAnsi="Verdana"/>
                <w:sz w:val="20"/>
                <w:szCs w:val="20"/>
              </w:rPr>
            </w:pPr>
          </w:p>
          <w:p w14:paraId="5A9D2F88" w14:textId="295AF2F6" w:rsidR="00293A06" w:rsidRPr="00B76BE0" w:rsidRDefault="00293A06" w:rsidP="41229AC4">
            <w:pPr>
              <w:rPr>
                <w:rFonts w:ascii="Verdana" w:hAnsi="Verdana"/>
                <w:sz w:val="20"/>
                <w:szCs w:val="20"/>
              </w:rPr>
            </w:pPr>
          </w:p>
          <w:p w14:paraId="05859BEE" w14:textId="6ABB0570" w:rsidR="00293A06" w:rsidRPr="00B76BE0" w:rsidRDefault="00293A06" w:rsidP="41229AC4">
            <w:pPr>
              <w:rPr>
                <w:rFonts w:ascii="Verdana" w:hAnsi="Verdana"/>
                <w:sz w:val="20"/>
                <w:szCs w:val="20"/>
              </w:rPr>
            </w:pPr>
          </w:p>
          <w:p w14:paraId="11BFB067" w14:textId="1820E668" w:rsidR="00293A06" w:rsidRPr="00B76BE0" w:rsidRDefault="00293A06" w:rsidP="41229AC4">
            <w:pPr>
              <w:rPr>
                <w:rFonts w:ascii="Verdana" w:hAnsi="Verdana"/>
                <w:sz w:val="20"/>
                <w:szCs w:val="20"/>
              </w:rPr>
            </w:pPr>
          </w:p>
          <w:p w14:paraId="745FECBA" w14:textId="07E27282" w:rsidR="00293A06" w:rsidRPr="00B76BE0" w:rsidRDefault="00293A06" w:rsidP="41229AC4">
            <w:pPr>
              <w:rPr>
                <w:rFonts w:ascii="Verdana" w:hAnsi="Verdana"/>
                <w:sz w:val="20"/>
                <w:szCs w:val="20"/>
              </w:rPr>
            </w:pPr>
          </w:p>
          <w:p w14:paraId="5118D6D6" w14:textId="72CA2844" w:rsidR="00293A06" w:rsidRPr="00B76BE0" w:rsidRDefault="00293A06" w:rsidP="41229AC4">
            <w:pPr>
              <w:rPr>
                <w:rFonts w:ascii="Verdana" w:hAnsi="Verdana"/>
                <w:sz w:val="20"/>
                <w:szCs w:val="20"/>
              </w:rPr>
            </w:pPr>
          </w:p>
          <w:p w14:paraId="41E08F6A" w14:textId="7666A234" w:rsidR="00293A06" w:rsidRPr="00B76BE0" w:rsidRDefault="00293A06" w:rsidP="41229AC4">
            <w:pPr>
              <w:rPr>
                <w:rFonts w:ascii="Verdana" w:hAnsi="Verdana"/>
                <w:sz w:val="20"/>
                <w:szCs w:val="20"/>
              </w:rPr>
            </w:pPr>
          </w:p>
          <w:p w14:paraId="355901D3" w14:textId="0AC2A46E" w:rsidR="00293A06" w:rsidRPr="00B76BE0" w:rsidRDefault="00293A06" w:rsidP="41229AC4">
            <w:pPr>
              <w:rPr>
                <w:rFonts w:ascii="Verdana" w:hAnsi="Verdana"/>
                <w:sz w:val="20"/>
                <w:szCs w:val="20"/>
              </w:rPr>
            </w:pPr>
          </w:p>
          <w:p w14:paraId="161785A7" w14:textId="1B186408" w:rsidR="00293A06" w:rsidRPr="00B76BE0" w:rsidRDefault="00293A06" w:rsidP="41229AC4">
            <w:pPr>
              <w:rPr>
                <w:rFonts w:ascii="Verdana" w:hAnsi="Verdana"/>
                <w:sz w:val="20"/>
                <w:szCs w:val="20"/>
              </w:rPr>
            </w:pPr>
          </w:p>
          <w:p w14:paraId="25536344" w14:textId="0F9A8E33" w:rsidR="00293A06" w:rsidRPr="00B76BE0" w:rsidRDefault="00293A06" w:rsidP="41229AC4">
            <w:pPr>
              <w:rPr>
                <w:rFonts w:ascii="Verdana" w:hAnsi="Verdana"/>
                <w:sz w:val="20"/>
                <w:szCs w:val="20"/>
              </w:rPr>
            </w:pPr>
          </w:p>
          <w:p w14:paraId="7B93CE31" w14:textId="221B1E38" w:rsidR="00293A06" w:rsidRPr="00B76BE0" w:rsidRDefault="00293A06" w:rsidP="41229AC4">
            <w:pPr>
              <w:rPr>
                <w:rFonts w:ascii="Verdana" w:hAnsi="Verdana"/>
                <w:sz w:val="20"/>
                <w:szCs w:val="20"/>
              </w:rPr>
            </w:pPr>
          </w:p>
          <w:p w14:paraId="1CCA75BE" w14:textId="3E738995" w:rsidR="00293A06" w:rsidRPr="00B76BE0" w:rsidRDefault="00293A06" w:rsidP="41229AC4">
            <w:pPr>
              <w:rPr>
                <w:rFonts w:ascii="Verdana" w:hAnsi="Verdana"/>
                <w:sz w:val="20"/>
                <w:szCs w:val="20"/>
              </w:rPr>
            </w:pPr>
          </w:p>
          <w:p w14:paraId="04AFDACA" w14:textId="4558E739" w:rsidR="00293A06" w:rsidRPr="00B76BE0" w:rsidRDefault="00293A06" w:rsidP="41229AC4">
            <w:pPr>
              <w:rPr>
                <w:rFonts w:ascii="Verdana" w:hAnsi="Verdana"/>
                <w:sz w:val="20"/>
                <w:szCs w:val="20"/>
              </w:rPr>
            </w:pPr>
          </w:p>
          <w:p w14:paraId="2BA28CB2" w14:textId="0D249EDB" w:rsidR="00293A06" w:rsidRPr="00B76BE0" w:rsidRDefault="00293A06" w:rsidP="41229AC4">
            <w:pPr>
              <w:rPr>
                <w:rFonts w:ascii="Verdana" w:hAnsi="Verdana"/>
                <w:sz w:val="20"/>
                <w:szCs w:val="20"/>
              </w:rPr>
            </w:pPr>
          </w:p>
          <w:p w14:paraId="29F35E98" w14:textId="4428BA80" w:rsidR="00293A06" w:rsidRPr="00B76BE0" w:rsidRDefault="00293A06" w:rsidP="41229AC4">
            <w:pPr>
              <w:rPr>
                <w:rFonts w:ascii="Verdana" w:hAnsi="Verdana"/>
                <w:sz w:val="20"/>
                <w:szCs w:val="20"/>
              </w:rPr>
            </w:pPr>
          </w:p>
          <w:p w14:paraId="0472487B" w14:textId="108C8104" w:rsidR="00293A06" w:rsidRPr="00B76BE0" w:rsidRDefault="00293A06" w:rsidP="41229AC4">
            <w:pPr>
              <w:rPr>
                <w:rFonts w:ascii="Verdana" w:hAnsi="Verdana"/>
                <w:sz w:val="20"/>
                <w:szCs w:val="20"/>
              </w:rPr>
            </w:pPr>
          </w:p>
          <w:p w14:paraId="54FEB8C1" w14:textId="2D1717A2" w:rsidR="00293A06" w:rsidRPr="00B76BE0" w:rsidRDefault="00293A06" w:rsidP="41229AC4">
            <w:pPr>
              <w:rPr>
                <w:rFonts w:ascii="Verdana" w:hAnsi="Verdana"/>
                <w:sz w:val="20"/>
                <w:szCs w:val="20"/>
              </w:rPr>
            </w:pPr>
          </w:p>
          <w:p w14:paraId="66B4C8BC" w14:textId="19715C9D" w:rsidR="00293A06" w:rsidRPr="00B76BE0" w:rsidRDefault="00293A06" w:rsidP="41229AC4">
            <w:pPr>
              <w:rPr>
                <w:rFonts w:ascii="Verdana" w:hAnsi="Verdana"/>
                <w:sz w:val="20"/>
                <w:szCs w:val="20"/>
              </w:rPr>
            </w:pPr>
          </w:p>
          <w:p w14:paraId="1E2FD66A" w14:textId="46B27B76" w:rsidR="00293A06" w:rsidRPr="00B76BE0" w:rsidRDefault="00293A06" w:rsidP="41229AC4">
            <w:pPr>
              <w:rPr>
                <w:rFonts w:ascii="Verdana" w:hAnsi="Verdana"/>
                <w:sz w:val="20"/>
                <w:szCs w:val="20"/>
              </w:rPr>
            </w:pPr>
          </w:p>
          <w:p w14:paraId="60008DD9" w14:textId="798E785C" w:rsidR="00293A06" w:rsidRPr="00B76BE0" w:rsidRDefault="00293A06" w:rsidP="41229AC4">
            <w:pPr>
              <w:rPr>
                <w:rFonts w:ascii="Verdana" w:hAnsi="Verdana"/>
                <w:sz w:val="20"/>
                <w:szCs w:val="20"/>
              </w:rPr>
            </w:pPr>
          </w:p>
          <w:p w14:paraId="47B53F68" w14:textId="61011306" w:rsidR="00293A06" w:rsidRPr="00B76BE0" w:rsidRDefault="00293A06" w:rsidP="41229AC4">
            <w:pPr>
              <w:rPr>
                <w:rFonts w:ascii="Verdana" w:hAnsi="Verdana"/>
                <w:sz w:val="20"/>
                <w:szCs w:val="20"/>
              </w:rPr>
            </w:pPr>
          </w:p>
          <w:p w14:paraId="381996F1" w14:textId="21058026" w:rsidR="00293A06" w:rsidRPr="00B76BE0" w:rsidRDefault="00293A06" w:rsidP="41229AC4">
            <w:pPr>
              <w:rPr>
                <w:rFonts w:ascii="Verdana" w:hAnsi="Verdana"/>
                <w:sz w:val="20"/>
                <w:szCs w:val="20"/>
              </w:rPr>
            </w:pPr>
          </w:p>
          <w:p w14:paraId="5E387AEE" w14:textId="33D03C23" w:rsidR="00293A06" w:rsidRPr="00B76BE0" w:rsidRDefault="00293A06" w:rsidP="41229AC4">
            <w:pPr>
              <w:rPr>
                <w:rFonts w:ascii="Verdana" w:hAnsi="Verdana"/>
                <w:sz w:val="20"/>
                <w:szCs w:val="20"/>
              </w:rPr>
            </w:pPr>
          </w:p>
          <w:p w14:paraId="72312A88" w14:textId="19F1F1D1" w:rsidR="00293A06" w:rsidRPr="00B76BE0" w:rsidRDefault="00293A06" w:rsidP="41229AC4">
            <w:pPr>
              <w:rPr>
                <w:rFonts w:ascii="Verdana" w:hAnsi="Verdana"/>
                <w:sz w:val="20"/>
                <w:szCs w:val="20"/>
              </w:rPr>
            </w:pPr>
          </w:p>
          <w:p w14:paraId="04777111" w14:textId="703EC30F" w:rsidR="00293A06" w:rsidRPr="00B76BE0" w:rsidRDefault="00293A06" w:rsidP="41229AC4">
            <w:pPr>
              <w:rPr>
                <w:rFonts w:ascii="Verdana" w:hAnsi="Verdana"/>
                <w:sz w:val="20"/>
                <w:szCs w:val="20"/>
              </w:rPr>
            </w:pPr>
          </w:p>
          <w:p w14:paraId="7AC75FF2" w14:textId="11F37298" w:rsidR="00293A06" w:rsidRPr="00B76BE0" w:rsidRDefault="00293A06" w:rsidP="41229AC4">
            <w:pPr>
              <w:rPr>
                <w:rFonts w:ascii="Verdana" w:hAnsi="Verdana"/>
                <w:sz w:val="20"/>
                <w:szCs w:val="20"/>
              </w:rPr>
            </w:pPr>
          </w:p>
          <w:p w14:paraId="0EAB8120" w14:textId="01840603" w:rsidR="00293A06" w:rsidRPr="00B76BE0" w:rsidRDefault="00293A06" w:rsidP="41229AC4">
            <w:pPr>
              <w:rPr>
                <w:rFonts w:ascii="Verdana" w:hAnsi="Verdana"/>
                <w:sz w:val="20"/>
                <w:szCs w:val="20"/>
              </w:rPr>
            </w:pPr>
          </w:p>
          <w:p w14:paraId="1A92CC72" w14:textId="25056899" w:rsidR="00293A06" w:rsidRPr="00B76BE0" w:rsidRDefault="00293A06" w:rsidP="41229AC4">
            <w:pPr>
              <w:rPr>
                <w:rFonts w:ascii="Verdana" w:hAnsi="Verdana"/>
                <w:sz w:val="20"/>
                <w:szCs w:val="20"/>
              </w:rPr>
            </w:pPr>
          </w:p>
          <w:p w14:paraId="07EFAC9E" w14:textId="5211EF57" w:rsidR="00293A06" w:rsidRPr="00B76BE0" w:rsidRDefault="00293A06" w:rsidP="41229AC4">
            <w:pPr>
              <w:rPr>
                <w:rFonts w:ascii="Verdana" w:hAnsi="Verdana"/>
                <w:sz w:val="20"/>
                <w:szCs w:val="20"/>
              </w:rPr>
            </w:pPr>
          </w:p>
          <w:p w14:paraId="471FF7E4" w14:textId="1C410756" w:rsidR="00293A06" w:rsidRPr="00B76BE0" w:rsidRDefault="00293A06" w:rsidP="41229AC4">
            <w:pPr>
              <w:rPr>
                <w:rFonts w:ascii="Verdana" w:hAnsi="Verdana"/>
                <w:sz w:val="20"/>
                <w:szCs w:val="20"/>
              </w:rPr>
            </w:pPr>
          </w:p>
          <w:p w14:paraId="3311CCC2" w14:textId="1F61F357" w:rsidR="00293A06" w:rsidRPr="00B76BE0" w:rsidRDefault="00293A06" w:rsidP="41229AC4">
            <w:pPr>
              <w:rPr>
                <w:rFonts w:ascii="Verdana" w:hAnsi="Verdana"/>
                <w:sz w:val="20"/>
                <w:szCs w:val="20"/>
              </w:rPr>
            </w:pPr>
          </w:p>
          <w:p w14:paraId="3440C9D1" w14:textId="518160EF" w:rsidR="00293A06" w:rsidRPr="00B76BE0" w:rsidRDefault="00293A06" w:rsidP="41229AC4">
            <w:pPr>
              <w:rPr>
                <w:rFonts w:ascii="Verdana" w:hAnsi="Verdana"/>
                <w:sz w:val="20"/>
                <w:szCs w:val="20"/>
              </w:rPr>
            </w:pPr>
          </w:p>
          <w:p w14:paraId="44C3B4AF" w14:textId="2CB7A951" w:rsidR="00293A06" w:rsidRPr="00B76BE0" w:rsidRDefault="00293A06" w:rsidP="41229AC4">
            <w:pPr>
              <w:rPr>
                <w:rFonts w:ascii="Verdana" w:hAnsi="Verdana"/>
                <w:sz w:val="20"/>
                <w:szCs w:val="20"/>
              </w:rPr>
            </w:pPr>
          </w:p>
          <w:p w14:paraId="52ED04CF" w14:textId="2264874F" w:rsidR="00293A06" w:rsidRPr="00B76BE0" w:rsidRDefault="00293A06" w:rsidP="41229AC4">
            <w:pPr>
              <w:rPr>
                <w:rFonts w:ascii="Verdana" w:hAnsi="Verdana"/>
                <w:sz w:val="20"/>
                <w:szCs w:val="20"/>
              </w:rPr>
            </w:pPr>
          </w:p>
          <w:p w14:paraId="583F54FE" w14:textId="16AF1312" w:rsidR="00293A06" w:rsidRPr="00B76BE0" w:rsidRDefault="00293A06" w:rsidP="41229AC4">
            <w:pPr>
              <w:rPr>
                <w:rFonts w:ascii="Verdana" w:hAnsi="Verdana"/>
                <w:sz w:val="20"/>
                <w:szCs w:val="20"/>
              </w:rPr>
            </w:pPr>
          </w:p>
          <w:p w14:paraId="358C970F" w14:textId="48C779C7" w:rsidR="00293A06" w:rsidRPr="00B76BE0" w:rsidRDefault="00293A06" w:rsidP="41229AC4">
            <w:pPr>
              <w:rPr>
                <w:rFonts w:ascii="Verdana" w:hAnsi="Verdana"/>
                <w:sz w:val="20"/>
                <w:szCs w:val="20"/>
              </w:rPr>
            </w:pPr>
          </w:p>
          <w:p w14:paraId="1E2247CB" w14:textId="5DB982DE" w:rsidR="00293A06" w:rsidRPr="00B76BE0" w:rsidRDefault="00293A06" w:rsidP="41229AC4">
            <w:pPr>
              <w:rPr>
                <w:rFonts w:ascii="Verdana" w:hAnsi="Verdana"/>
                <w:sz w:val="20"/>
                <w:szCs w:val="20"/>
              </w:rPr>
            </w:pPr>
          </w:p>
          <w:p w14:paraId="4A0CE23A" w14:textId="66CE05DD" w:rsidR="00293A06" w:rsidRPr="00B76BE0" w:rsidRDefault="00293A06" w:rsidP="41229AC4">
            <w:pPr>
              <w:rPr>
                <w:rFonts w:ascii="Verdana" w:hAnsi="Verdana"/>
                <w:sz w:val="20"/>
                <w:szCs w:val="20"/>
              </w:rPr>
            </w:pPr>
          </w:p>
          <w:p w14:paraId="0869C162" w14:textId="0B29F274" w:rsidR="00293A06" w:rsidRPr="00B76BE0" w:rsidRDefault="00293A06" w:rsidP="41229AC4">
            <w:pPr>
              <w:rPr>
                <w:rFonts w:ascii="Verdana" w:hAnsi="Verdana"/>
                <w:sz w:val="20"/>
                <w:szCs w:val="20"/>
              </w:rPr>
            </w:pPr>
          </w:p>
          <w:p w14:paraId="282C5485" w14:textId="6FC6EDBE" w:rsidR="00293A06" w:rsidRPr="00B76BE0" w:rsidRDefault="00293A06" w:rsidP="41229AC4">
            <w:pPr>
              <w:rPr>
                <w:rFonts w:ascii="Verdana" w:hAnsi="Verdana"/>
                <w:sz w:val="20"/>
                <w:szCs w:val="20"/>
              </w:rPr>
            </w:pPr>
          </w:p>
          <w:p w14:paraId="64277590" w14:textId="3DD1C10E" w:rsidR="00293A06" w:rsidRPr="00B76BE0" w:rsidRDefault="00293A06" w:rsidP="41229AC4">
            <w:pPr>
              <w:rPr>
                <w:rFonts w:ascii="Verdana" w:hAnsi="Verdana"/>
                <w:sz w:val="20"/>
                <w:szCs w:val="20"/>
              </w:rPr>
            </w:pPr>
          </w:p>
          <w:p w14:paraId="199954B6" w14:textId="0DCE987B" w:rsidR="00293A06" w:rsidRPr="00B76BE0" w:rsidRDefault="00293A06" w:rsidP="41229AC4">
            <w:pPr>
              <w:rPr>
                <w:rFonts w:ascii="Verdana" w:hAnsi="Verdana"/>
                <w:sz w:val="20"/>
                <w:szCs w:val="20"/>
              </w:rPr>
            </w:pPr>
          </w:p>
          <w:p w14:paraId="2707CD11" w14:textId="29652801" w:rsidR="00293A06" w:rsidRPr="00B76BE0" w:rsidRDefault="00293A06" w:rsidP="41229AC4">
            <w:pPr>
              <w:rPr>
                <w:rFonts w:ascii="Verdana" w:hAnsi="Verdana"/>
                <w:sz w:val="20"/>
                <w:szCs w:val="20"/>
              </w:rPr>
            </w:pPr>
          </w:p>
        </w:tc>
        <w:tc>
          <w:tcPr>
            <w:tcW w:w="1978" w:type="dxa"/>
          </w:tcPr>
          <w:p w14:paraId="7152D1AD" w14:textId="28AD3853" w:rsidR="00293A06" w:rsidRPr="00B76BE0" w:rsidRDefault="292E1632">
            <w:pPr>
              <w:rPr>
                <w:rFonts w:ascii="Verdana" w:hAnsi="Verdana"/>
                <w:sz w:val="20"/>
                <w:szCs w:val="20"/>
              </w:rPr>
            </w:pPr>
            <w:r w:rsidRPr="41229AC4">
              <w:rPr>
                <w:rFonts w:ascii="Verdana" w:hAnsi="Verdana"/>
                <w:sz w:val="20"/>
                <w:szCs w:val="20"/>
              </w:rPr>
              <w:lastRenderedPageBreak/>
              <w:t>DI2</w:t>
            </w:r>
          </w:p>
        </w:tc>
        <w:tc>
          <w:tcPr>
            <w:tcW w:w="2037" w:type="dxa"/>
          </w:tcPr>
          <w:p w14:paraId="1142C526" w14:textId="77777777" w:rsidR="00293A06" w:rsidRPr="00B76BE0" w:rsidRDefault="00293A06">
            <w:pPr>
              <w:rPr>
                <w:rFonts w:ascii="Verdana" w:hAnsi="Verdana"/>
                <w:sz w:val="20"/>
                <w:szCs w:val="20"/>
              </w:rPr>
            </w:pPr>
          </w:p>
        </w:tc>
      </w:tr>
      <w:tr w:rsidR="00CE367E" w:rsidRPr="00B76BE0" w14:paraId="66D0A907" w14:textId="77777777" w:rsidTr="23285676">
        <w:tc>
          <w:tcPr>
            <w:tcW w:w="5474" w:type="dxa"/>
          </w:tcPr>
          <w:p w14:paraId="3DAB717F" w14:textId="50ED3C6F" w:rsidR="00CE367E" w:rsidRPr="00B76BE0" w:rsidRDefault="00CE367E">
            <w:pPr>
              <w:rPr>
                <w:rFonts w:ascii="Verdana" w:hAnsi="Verdana"/>
                <w:b/>
                <w:bCs/>
                <w:sz w:val="20"/>
                <w:szCs w:val="20"/>
              </w:rPr>
            </w:pPr>
            <w:r>
              <w:rPr>
                <w:rFonts w:ascii="Verdana" w:hAnsi="Verdana"/>
                <w:b/>
                <w:bCs/>
                <w:sz w:val="20"/>
                <w:szCs w:val="20"/>
              </w:rPr>
              <w:lastRenderedPageBreak/>
              <w:t>Domaines d’intervention</w:t>
            </w:r>
          </w:p>
        </w:tc>
        <w:tc>
          <w:tcPr>
            <w:tcW w:w="5031" w:type="dxa"/>
          </w:tcPr>
          <w:p w14:paraId="752DFBC9" w14:textId="77777777" w:rsidR="00CE367E" w:rsidRDefault="00CE367E">
            <w:pPr>
              <w:rPr>
                <w:rFonts w:ascii="Verdana" w:hAnsi="Verdana"/>
                <w:sz w:val="20"/>
                <w:szCs w:val="20"/>
              </w:rPr>
            </w:pPr>
          </w:p>
        </w:tc>
        <w:tc>
          <w:tcPr>
            <w:tcW w:w="1978" w:type="dxa"/>
          </w:tcPr>
          <w:p w14:paraId="00214862" w14:textId="77777777" w:rsidR="00CE367E" w:rsidRDefault="00CE367E">
            <w:pPr>
              <w:rPr>
                <w:rFonts w:ascii="Verdana" w:hAnsi="Verdana"/>
                <w:sz w:val="20"/>
                <w:szCs w:val="20"/>
              </w:rPr>
            </w:pPr>
          </w:p>
        </w:tc>
        <w:tc>
          <w:tcPr>
            <w:tcW w:w="2037" w:type="dxa"/>
          </w:tcPr>
          <w:p w14:paraId="17E27C8B" w14:textId="77777777" w:rsidR="00CE367E" w:rsidRPr="00B76BE0" w:rsidRDefault="00CE367E">
            <w:pPr>
              <w:rPr>
                <w:rFonts w:ascii="Verdana" w:hAnsi="Verdana"/>
                <w:sz w:val="20"/>
                <w:szCs w:val="20"/>
              </w:rPr>
            </w:pPr>
          </w:p>
        </w:tc>
      </w:tr>
      <w:tr w:rsidR="00293A06" w:rsidRPr="00B76BE0" w14:paraId="2FD05F98" w14:textId="77777777" w:rsidTr="23285676">
        <w:tc>
          <w:tcPr>
            <w:tcW w:w="5474" w:type="dxa"/>
          </w:tcPr>
          <w:p w14:paraId="0AED39E1" w14:textId="77777777" w:rsidR="008D410A" w:rsidRPr="00244145" w:rsidRDefault="008D410A" w:rsidP="008D410A">
            <w:pPr>
              <w:spacing w:after="120" w:line="276" w:lineRule="auto"/>
              <w:rPr>
                <w:rFonts w:ascii="Verdana" w:hAnsi="Verdana"/>
                <w:b/>
                <w:bCs/>
                <w:sz w:val="20"/>
                <w:szCs w:val="20"/>
              </w:rPr>
            </w:pPr>
            <w:r w:rsidRPr="00244145">
              <w:rPr>
                <w:rFonts w:ascii="Verdana" w:hAnsi="Verdana"/>
                <w:b/>
                <w:bCs/>
                <w:sz w:val="20"/>
                <w:szCs w:val="20"/>
              </w:rPr>
              <w:t xml:space="preserve">Décision </w:t>
            </w:r>
            <w:r>
              <w:rPr>
                <w:rFonts w:ascii="Verdana" w:hAnsi="Verdana"/>
                <w:b/>
                <w:bCs/>
                <w:sz w:val="20"/>
                <w:szCs w:val="20"/>
              </w:rPr>
              <w:t>2</w:t>
            </w:r>
            <w:r w:rsidRPr="00244145">
              <w:rPr>
                <w:rFonts w:ascii="Verdana" w:hAnsi="Verdana"/>
                <w:b/>
                <w:bCs/>
                <w:sz w:val="20"/>
                <w:szCs w:val="20"/>
              </w:rPr>
              <w:t xml:space="preserve">. </w:t>
            </w:r>
            <w:r>
              <w:rPr>
                <w:rFonts w:ascii="Verdana" w:hAnsi="Verdana"/>
                <w:b/>
                <w:bCs/>
                <w:sz w:val="20"/>
                <w:szCs w:val="20"/>
              </w:rPr>
              <w:t>Plaidoyer auprès des observateurs et partenaires</w:t>
            </w:r>
          </w:p>
          <w:p w14:paraId="49D22BE7" w14:textId="77777777" w:rsidR="008D410A" w:rsidRPr="00123DFF" w:rsidRDefault="008D410A" w:rsidP="008D410A">
            <w:pPr>
              <w:pStyle w:val="Paragraphe"/>
            </w:pPr>
            <w:r w:rsidRPr="00123DFF">
              <w:t>Le Comité des OPL :</w:t>
            </w:r>
          </w:p>
          <w:p w14:paraId="1EEB1B7B" w14:textId="77777777" w:rsidR="008D410A" w:rsidRPr="00123DFF" w:rsidRDefault="008D410A" w:rsidP="008D410A">
            <w:pPr>
              <w:pStyle w:val="Paragraphe"/>
              <w:numPr>
                <w:ilvl w:val="0"/>
                <w:numId w:val="25"/>
              </w:numPr>
            </w:pPr>
            <w:r w:rsidRPr="00123DFF">
              <w:t>Salue la tenue d</w:t>
            </w:r>
            <w:r>
              <w:t>u</w:t>
            </w:r>
            <w:r w:rsidRPr="00123DFF">
              <w:t xml:space="preserve"> </w:t>
            </w:r>
            <w:r>
              <w:t>d</w:t>
            </w:r>
            <w:r w:rsidRPr="00123DFF">
              <w:t>ialogue avec les observateurs et partenaires de la COI</w:t>
            </w:r>
            <w:r>
              <w:t xml:space="preserve"> tenu le 20 novembre 2023 ;</w:t>
            </w:r>
          </w:p>
          <w:p w14:paraId="3C89FA00" w14:textId="77777777" w:rsidR="008D410A" w:rsidRPr="00123DFF" w:rsidRDefault="008D410A" w:rsidP="008D410A">
            <w:pPr>
              <w:pStyle w:val="Paragraphe"/>
              <w:numPr>
                <w:ilvl w:val="0"/>
                <w:numId w:val="25"/>
              </w:numPr>
            </w:pPr>
            <w:r w:rsidRPr="00123DFF">
              <w:lastRenderedPageBreak/>
              <w:t>Demande au Secrétariat général de mettre en place une plateforme de dialogue permanent et périodique avec les observateurs et partenaires, à travers notamment, l’identification/la désignation de points focaux</w:t>
            </w:r>
            <w:r>
              <w:t> ;</w:t>
            </w:r>
          </w:p>
          <w:p w14:paraId="1448B44F" w14:textId="77777777" w:rsidR="008D410A" w:rsidRPr="00123DFF" w:rsidRDefault="008D410A" w:rsidP="008D410A">
            <w:pPr>
              <w:pStyle w:val="Paragraphe"/>
              <w:numPr>
                <w:ilvl w:val="0"/>
                <w:numId w:val="25"/>
              </w:numPr>
            </w:pPr>
            <w:r w:rsidRPr="00123DFF">
              <w:t>Demande au Secrétariat général de poursuivre le plaidoyer à l’endroit des partenaires et de mobiliser davantage les observateurs afin de concrétiser des pistes de collaboration dans la mise en œuvre du Plan de Développ</w:t>
            </w:r>
            <w:r>
              <w:t>e</w:t>
            </w:r>
            <w:r w:rsidRPr="00123DFF">
              <w:t xml:space="preserve">ment Stratégique 2023-2033. </w:t>
            </w:r>
          </w:p>
          <w:p w14:paraId="0042F297" w14:textId="49C5D325" w:rsidR="00934F28" w:rsidRPr="00B76BE0" w:rsidRDefault="00934F28" w:rsidP="00934F28">
            <w:pPr>
              <w:pStyle w:val="Paragraphedeliste"/>
              <w:spacing w:after="120" w:line="276" w:lineRule="auto"/>
              <w:ind w:left="1440"/>
              <w:contextualSpacing w:val="0"/>
              <w:jc w:val="both"/>
              <w:rPr>
                <w:rFonts w:ascii="Verdana" w:hAnsi="Verdana"/>
                <w:sz w:val="20"/>
                <w:szCs w:val="20"/>
              </w:rPr>
            </w:pPr>
          </w:p>
        </w:tc>
        <w:tc>
          <w:tcPr>
            <w:tcW w:w="5031" w:type="dxa"/>
          </w:tcPr>
          <w:p w14:paraId="4A0DF2DF" w14:textId="637B1313" w:rsidR="009E12CB" w:rsidRPr="00BB4DA4" w:rsidRDefault="71C35C07" w:rsidP="009E12CB">
            <w:pPr>
              <w:jc w:val="both"/>
              <w:rPr>
                <w:rFonts w:ascii="Verdana" w:hAnsi="Verdana" w:cs="Calibri"/>
                <w:sz w:val="20"/>
                <w:szCs w:val="20"/>
              </w:rPr>
            </w:pPr>
            <w:r w:rsidRPr="23285676">
              <w:rPr>
                <w:rFonts w:ascii="Verdana" w:hAnsi="Verdana" w:cs="Calibri"/>
                <w:sz w:val="20"/>
                <w:szCs w:val="20"/>
              </w:rPr>
              <w:lastRenderedPageBreak/>
              <w:t xml:space="preserve">Décision 2. </w:t>
            </w:r>
            <w:r w:rsidR="009E12CB" w:rsidRPr="23285676">
              <w:rPr>
                <w:rFonts w:ascii="Verdana" w:hAnsi="Verdana" w:cs="Calibri"/>
                <w:sz w:val="20"/>
                <w:szCs w:val="20"/>
              </w:rPr>
              <w:t>Conformément à la décision 2b) du Comité des OPL n°02/2023, une lettre a été adressée aux membres observateurs et aux partenaires de la COI</w:t>
            </w:r>
            <w:r w:rsidR="0098016A" w:rsidRPr="23285676">
              <w:rPr>
                <w:rFonts w:ascii="Verdana" w:hAnsi="Verdana" w:cs="Calibri"/>
                <w:sz w:val="20"/>
                <w:szCs w:val="20"/>
              </w:rPr>
              <w:t xml:space="preserve"> le 0</w:t>
            </w:r>
            <w:r w:rsidR="00B77536" w:rsidRPr="23285676">
              <w:rPr>
                <w:rFonts w:ascii="Verdana" w:hAnsi="Verdana" w:cs="Calibri"/>
                <w:sz w:val="20"/>
                <w:szCs w:val="20"/>
              </w:rPr>
              <w:t>4</w:t>
            </w:r>
            <w:r w:rsidR="0098016A" w:rsidRPr="23285676">
              <w:rPr>
                <w:rFonts w:ascii="Verdana" w:hAnsi="Verdana" w:cs="Calibri"/>
                <w:sz w:val="20"/>
                <w:szCs w:val="20"/>
              </w:rPr>
              <w:t xml:space="preserve"> mars 2024</w:t>
            </w:r>
            <w:r w:rsidR="009E12CB" w:rsidRPr="23285676">
              <w:rPr>
                <w:rFonts w:ascii="Verdana" w:hAnsi="Verdana" w:cs="Calibri"/>
                <w:sz w:val="20"/>
                <w:szCs w:val="20"/>
              </w:rPr>
              <w:t xml:space="preserve">, pour qu’ils désignent les points focaux, qui les représenteront à la plateforme de dialogue permanent et périodique. </w:t>
            </w:r>
            <w:r w:rsidR="00C304BD" w:rsidRPr="23285676">
              <w:rPr>
                <w:rFonts w:ascii="Verdana" w:hAnsi="Verdana" w:cs="Calibri"/>
                <w:sz w:val="20"/>
                <w:szCs w:val="20"/>
              </w:rPr>
              <w:t xml:space="preserve">A cet effet, </w:t>
            </w:r>
            <w:r w:rsidR="00C304BD" w:rsidRPr="23285676">
              <w:rPr>
                <w:rFonts w:ascii="Verdana" w:hAnsi="Verdana" w:cs="Calibri"/>
                <w:sz w:val="20"/>
                <w:szCs w:val="20"/>
              </w:rPr>
              <w:lastRenderedPageBreak/>
              <w:t xml:space="preserve">l’Ambassade des Etats-Unis a fait parvenir la nomination de son point-focal le </w:t>
            </w:r>
            <w:r w:rsidR="00226656" w:rsidRPr="23285676">
              <w:rPr>
                <w:rFonts w:ascii="Verdana" w:hAnsi="Verdana" w:cs="Calibri"/>
                <w:sz w:val="20"/>
                <w:szCs w:val="20"/>
              </w:rPr>
              <w:t>15 mars 2024.</w:t>
            </w:r>
          </w:p>
          <w:p w14:paraId="23613D49" w14:textId="0A3F8B3B" w:rsidR="006B7B1E" w:rsidRPr="00B76BE0" w:rsidRDefault="006B7B1E">
            <w:pPr>
              <w:rPr>
                <w:rFonts w:ascii="Verdana" w:hAnsi="Verdana"/>
                <w:sz w:val="20"/>
                <w:szCs w:val="20"/>
              </w:rPr>
            </w:pPr>
          </w:p>
        </w:tc>
        <w:tc>
          <w:tcPr>
            <w:tcW w:w="1978" w:type="dxa"/>
          </w:tcPr>
          <w:p w14:paraId="6478D65C" w14:textId="7DC7E586" w:rsidR="006B7B1E" w:rsidRPr="00B76BE0" w:rsidRDefault="009E12CB">
            <w:pPr>
              <w:rPr>
                <w:rFonts w:ascii="Verdana" w:hAnsi="Verdana"/>
                <w:sz w:val="20"/>
                <w:szCs w:val="20"/>
              </w:rPr>
            </w:pPr>
            <w:r>
              <w:rPr>
                <w:rFonts w:ascii="Verdana" w:hAnsi="Verdana"/>
                <w:sz w:val="20"/>
                <w:szCs w:val="20"/>
              </w:rPr>
              <w:lastRenderedPageBreak/>
              <w:t>DI2</w:t>
            </w:r>
          </w:p>
        </w:tc>
        <w:tc>
          <w:tcPr>
            <w:tcW w:w="2037" w:type="dxa"/>
          </w:tcPr>
          <w:p w14:paraId="0AC48288" w14:textId="0C188F41" w:rsidR="00293A06" w:rsidRPr="00B76BE0" w:rsidRDefault="00293A06">
            <w:pPr>
              <w:rPr>
                <w:rFonts w:ascii="Verdana" w:hAnsi="Verdana"/>
                <w:sz w:val="20"/>
                <w:szCs w:val="20"/>
              </w:rPr>
            </w:pPr>
          </w:p>
        </w:tc>
      </w:tr>
      <w:tr w:rsidR="00293A06" w:rsidRPr="00B76BE0" w14:paraId="2BD61C51" w14:textId="77777777" w:rsidTr="23285676">
        <w:tc>
          <w:tcPr>
            <w:tcW w:w="5474" w:type="dxa"/>
          </w:tcPr>
          <w:p w14:paraId="78E8A531" w14:textId="77777777" w:rsidR="00DF0485" w:rsidRPr="00244145" w:rsidRDefault="00DF0485" w:rsidP="00DF0485">
            <w:pPr>
              <w:spacing w:after="120" w:line="276" w:lineRule="auto"/>
              <w:ind w:firstLine="708"/>
              <w:jc w:val="center"/>
              <w:rPr>
                <w:rFonts w:ascii="Verdana" w:hAnsi="Verdana"/>
                <w:b/>
                <w:bCs/>
                <w:sz w:val="20"/>
                <w:szCs w:val="20"/>
              </w:rPr>
            </w:pPr>
            <w:r w:rsidRPr="00244145">
              <w:rPr>
                <w:rFonts w:ascii="Verdana" w:hAnsi="Verdana"/>
                <w:b/>
                <w:bCs/>
                <w:sz w:val="20"/>
                <w:szCs w:val="20"/>
              </w:rPr>
              <w:t xml:space="preserve">Décision </w:t>
            </w:r>
            <w:r>
              <w:rPr>
                <w:rFonts w:ascii="Verdana" w:hAnsi="Verdana"/>
                <w:b/>
                <w:bCs/>
                <w:sz w:val="20"/>
                <w:szCs w:val="20"/>
              </w:rPr>
              <w:t>3</w:t>
            </w:r>
            <w:r w:rsidRPr="00244145">
              <w:rPr>
                <w:rFonts w:ascii="Verdana" w:hAnsi="Verdana"/>
                <w:b/>
                <w:bCs/>
                <w:sz w:val="20"/>
                <w:szCs w:val="20"/>
              </w:rPr>
              <w:t xml:space="preserve">. </w:t>
            </w:r>
            <w:r>
              <w:rPr>
                <w:rFonts w:ascii="Verdana" w:hAnsi="Verdana"/>
                <w:b/>
                <w:bCs/>
                <w:sz w:val="20"/>
                <w:szCs w:val="20"/>
              </w:rPr>
              <w:t>Appui à la présidence comorienne en exercice de l’Union africaine</w:t>
            </w:r>
          </w:p>
          <w:p w14:paraId="101634C7" w14:textId="77777777" w:rsidR="00DF0485" w:rsidRPr="003A29D0" w:rsidRDefault="00DF0485" w:rsidP="00DF0485">
            <w:pPr>
              <w:pStyle w:val="Titrepartie"/>
              <w:numPr>
                <w:ilvl w:val="0"/>
                <w:numId w:val="0"/>
              </w:numPr>
              <w:contextualSpacing w:val="0"/>
              <w:rPr>
                <w:b w:val="0"/>
                <w:bCs w:val="0"/>
                <w:color w:val="auto"/>
                <w:sz w:val="20"/>
                <w:szCs w:val="18"/>
              </w:rPr>
            </w:pPr>
            <w:r w:rsidRPr="003A29D0">
              <w:rPr>
                <w:b w:val="0"/>
                <w:bCs w:val="0"/>
                <w:color w:val="auto"/>
                <w:sz w:val="20"/>
                <w:szCs w:val="18"/>
              </w:rPr>
              <w:t xml:space="preserve">Le Comité des OPL : </w:t>
            </w:r>
          </w:p>
          <w:p w14:paraId="3EF36007" w14:textId="77777777" w:rsidR="00DF0485" w:rsidRPr="003A29D0" w:rsidRDefault="00DF0485" w:rsidP="00DF0485">
            <w:pPr>
              <w:pStyle w:val="Titrepartie"/>
              <w:numPr>
                <w:ilvl w:val="0"/>
                <w:numId w:val="12"/>
              </w:numPr>
              <w:contextualSpacing w:val="0"/>
              <w:rPr>
                <w:b w:val="0"/>
                <w:bCs w:val="0"/>
                <w:color w:val="auto"/>
                <w:sz w:val="20"/>
                <w:szCs w:val="18"/>
              </w:rPr>
            </w:pPr>
            <w:r w:rsidRPr="003A29D0">
              <w:rPr>
                <w:b w:val="0"/>
                <w:bCs w:val="0"/>
                <w:color w:val="auto"/>
                <w:sz w:val="20"/>
                <w:szCs w:val="18"/>
              </w:rPr>
              <w:t xml:space="preserve">Remercie le secrétariat général des appuis apportés à la présidence comorienne en exercice de l’Union africaine, notamment pour la Conférence « Blue Future » sur l’action climatique et l’économie bleue en Afrique en juin 2023, ainsi que les Etats membres pour leur participation active à celle-ci ; </w:t>
            </w:r>
          </w:p>
          <w:p w14:paraId="19B7CD0E" w14:textId="77777777" w:rsidR="00DF0485" w:rsidRPr="003A29D0" w:rsidRDefault="00DF0485" w:rsidP="00DF0485">
            <w:pPr>
              <w:pStyle w:val="Titrepartie"/>
              <w:numPr>
                <w:ilvl w:val="0"/>
                <w:numId w:val="12"/>
              </w:numPr>
              <w:contextualSpacing w:val="0"/>
              <w:rPr>
                <w:b w:val="0"/>
                <w:bCs w:val="0"/>
                <w:color w:val="auto"/>
                <w:sz w:val="20"/>
                <w:szCs w:val="18"/>
              </w:rPr>
            </w:pPr>
            <w:r w:rsidRPr="003A29D0">
              <w:rPr>
                <w:b w:val="0"/>
                <w:bCs w:val="0"/>
                <w:color w:val="auto"/>
                <w:sz w:val="20"/>
                <w:szCs w:val="18"/>
              </w:rPr>
              <w:t xml:space="preserve">Prend note de l’invitation de la présidence comorienne en exercice de l’Union africaine faite aux Etats membres et au secrétariat général de la COI à participer à soutenir le Panel de haut niveau sur l’économie bleue </w:t>
            </w:r>
            <w:r w:rsidRPr="003A29D0">
              <w:rPr>
                <w:b w:val="0"/>
                <w:bCs w:val="0"/>
                <w:color w:val="auto"/>
                <w:sz w:val="20"/>
                <w:szCs w:val="18"/>
              </w:rPr>
              <w:lastRenderedPageBreak/>
              <w:t xml:space="preserve">qu’elle organise le 02 décembre 2023 à la COP28.  </w:t>
            </w:r>
          </w:p>
          <w:p w14:paraId="67F008EE" w14:textId="3081A6CC" w:rsidR="00934F28" w:rsidRPr="00B76BE0" w:rsidRDefault="00934F28" w:rsidP="00DF0485">
            <w:pPr>
              <w:pStyle w:val="Paragraphedeliste"/>
              <w:spacing w:after="120" w:line="276" w:lineRule="auto"/>
              <w:contextualSpacing w:val="0"/>
              <w:jc w:val="both"/>
              <w:rPr>
                <w:rFonts w:ascii="Verdana" w:hAnsi="Verdana" w:cstheme="minorHAnsi"/>
                <w:i/>
                <w:iCs/>
                <w:sz w:val="20"/>
                <w:szCs w:val="20"/>
              </w:rPr>
            </w:pPr>
          </w:p>
        </w:tc>
        <w:tc>
          <w:tcPr>
            <w:tcW w:w="5031" w:type="dxa"/>
          </w:tcPr>
          <w:p w14:paraId="3E107E44" w14:textId="77777777" w:rsidR="00293A06" w:rsidRDefault="00293A06">
            <w:pPr>
              <w:rPr>
                <w:rFonts w:ascii="Verdana" w:hAnsi="Verdana"/>
                <w:sz w:val="20"/>
                <w:szCs w:val="20"/>
              </w:rPr>
            </w:pPr>
          </w:p>
          <w:p w14:paraId="47C18F80" w14:textId="77777777" w:rsidR="0051544B" w:rsidRDefault="0051544B">
            <w:pPr>
              <w:rPr>
                <w:rFonts w:ascii="Verdana" w:hAnsi="Verdana"/>
                <w:sz w:val="20"/>
                <w:szCs w:val="20"/>
              </w:rPr>
            </w:pPr>
          </w:p>
          <w:p w14:paraId="23AA3F1A" w14:textId="77777777" w:rsidR="0051544B" w:rsidRDefault="0051544B">
            <w:pPr>
              <w:rPr>
                <w:rFonts w:ascii="Verdana" w:hAnsi="Verdana"/>
                <w:sz w:val="20"/>
                <w:szCs w:val="20"/>
              </w:rPr>
            </w:pPr>
          </w:p>
          <w:p w14:paraId="1A96ABA8" w14:textId="5A30BB1F" w:rsidR="0051544B" w:rsidRDefault="00ED698B">
            <w:pPr>
              <w:rPr>
                <w:rFonts w:ascii="Verdana" w:hAnsi="Verdana"/>
                <w:sz w:val="20"/>
                <w:szCs w:val="20"/>
              </w:rPr>
            </w:pPr>
            <w:r>
              <w:rPr>
                <w:rFonts w:ascii="Verdana" w:hAnsi="Verdana"/>
                <w:sz w:val="20"/>
                <w:szCs w:val="20"/>
              </w:rPr>
              <w:t xml:space="preserve">Une délégation de la COI a été </w:t>
            </w:r>
            <w:r w:rsidR="00B3460D">
              <w:rPr>
                <w:rFonts w:ascii="Verdana" w:hAnsi="Verdana"/>
                <w:sz w:val="20"/>
                <w:szCs w:val="20"/>
              </w:rPr>
              <w:t>envoyée</w:t>
            </w:r>
            <w:r w:rsidR="00612283">
              <w:rPr>
                <w:rFonts w:ascii="Verdana" w:hAnsi="Verdana"/>
                <w:sz w:val="20"/>
                <w:szCs w:val="20"/>
              </w:rPr>
              <w:t xml:space="preserve"> à la suite du 37</w:t>
            </w:r>
            <w:r w:rsidR="00612283" w:rsidRPr="00612283">
              <w:rPr>
                <w:rFonts w:ascii="Verdana" w:hAnsi="Verdana"/>
                <w:sz w:val="20"/>
                <w:szCs w:val="20"/>
                <w:vertAlign w:val="superscript"/>
              </w:rPr>
              <w:t>e</w:t>
            </w:r>
            <w:r w:rsidR="00612283">
              <w:rPr>
                <w:rFonts w:ascii="Verdana" w:hAnsi="Verdana"/>
                <w:sz w:val="20"/>
                <w:szCs w:val="20"/>
              </w:rPr>
              <w:t xml:space="preserve"> Conseil pour participer aux réunions de préparation. </w:t>
            </w:r>
          </w:p>
          <w:p w14:paraId="5863EF72" w14:textId="542272D8" w:rsidR="00612283" w:rsidRDefault="00612283">
            <w:pPr>
              <w:rPr>
                <w:rFonts w:ascii="Verdana" w:hAnsi="Verdana"/>
                <w:sz w:val="20"/>
                <w:szCs w:val="20"/>
              </w:rPr>
            </w:pPr>
            <w:r>
              <w:rPr>
                <w:rFonts w:ascii="Verdana" w:hAnsi="Verdana"/>
                <w:sz w:val="20"/>
                <w:szCs w:val="20"/>
              </w:rPr>
              <w:t xml:space="preserve">Une délégation de la COI conduite par le Secrétaire général a activement participé à l’organisation et aux travaux de la conférence Blue Future, notamment : </w:t>
            </w:r>
          </w:p>
          <w:p w14:paraId="4007F476" w14:textId="48C1AFA3" w:rsidR="00612283" w:rsidRDefault="00612283" w:rsidP="00612283">
            <w:pPr>
              <w:pStyle w:val="Paragraphedeliste"/>
              <w:numPr>
                <w:ilvl w:val="0"/>
                <w:numId w:val="47"/>
              </w:numPr>
              <w:rPr>
                <w:rFonts w:ascii="Verdana" w:hAnsi="Verdana"/>
                <w:sz w:val="20"/>
                <w:szCs w:val="20"/>
              </w:rPr>
            </w:pPr>
            <w:r>
              <w:rPr>
                <w:rFonts w:ascii="Verdana" w:hAnsi="Verdana"/>
                <w:sz w:val="20"/>
                <w:szCs w:val="20"/>
              </w:rPr>
              <w:t xml:space="preserve">Appui à la rédaction et finalisation de la déclaration finale en français et anglais ; </w:t>
            </w:r>
          </w:p>
          <w:p w14:paraId="30B3ADE3" w14:textId="33BB121C" w:rsidR="00612283" w:rsidRDefault="00612283" w:rsidP="00612283">
            <w:pPr>
              <w:pStyle w:val="Paragraphedeliste"/>
              <w:numPr>
                <w:ilvl w:val="0"/>
                <w:numId w:val="47"/>
              </w:numPr>
              <w:rPr>
                <w:rFonts w:ascii="Verdana" w:hAnsi="Verdana"/>
                <w:sz w:val="20"/>
                <w:szCs w:val="20"/>
              </w:rPr>
            </w:pPr>
            <w:r>
              <w:rPr>
                <w:rFonts w:ascii="Verdana" w:hAnsi="Verdana"/>
                <w:sz w:val="20"/>
                <w:szCs w:val="20"/>
              </w:rPr>
              <w:t xml:space="preserve">Participation du SG à des panels de haut niveau, tant au segment technique qu’au segment politique ; </w:t>
            </w:r>
          </w:p>
          <w:p w14:paraId="1DFB7C3E" w14:textId="74E375AB" w:rsidR="00612283" w:rsidRDefault="00612283" w:rsidP="00612283">
            <w:pPr>
              <w:pStyle w:val="Paragraphedeliste"/>
              <w:numPr>
                <w:ilvl w:val="0"/>
                <w:numId w:val="47"/>
              </w:numPr>
              <w:rPr>
                <w:rFonts w:ascii="Verdana" w:hAnsi="Verdana"/>
                <w:sz w:val="20"/>
                <w:szCs w:val="20"/>
              </w:rPr>
            </w:pPr>
            <w:r>
              <w:rPr>
                <w:rFonts w:ascii="Verdana" w:hAnsi="Verdana"/>
                <w:sz w:val="20"/>
                <w:szCs w:val="20"/>
              </w:rPr>
              <w:lastRenderedPageBreak/>
              <w:t>Prise en charge de participants venant des Etats membres et d’autres îles d’Afrique</w:t>
            </w:r>
          </w:p>
          <w:p w14:paraId="4B0C749C" w14:textId="69732E0D" w:rsidR="0051544B" w:rsidRDefault="00612283" w:rsidP="00B04AD3">
            <w:pPr>
              <w:pStyle w:val="Paragraphedeliste"/>
              <w:numPr>
                <w:ilvl w:val="0"/>
                <w:numId w:val="47"/>
              </w:numPr>
              <w:rPr>
                <w:rFonts w:ascii="Verdana" w:hAnsi="Verdana"/>
                <w:sz w:val="20"/>
                <w:szCs w:val="20"/>
              </w:rPr>
            </w:pPr>
            <w:r w:rsidRPr="00B04AD3">
              <w:rPr>
                <w:rFonts w:ascii="Verdana" w:hAnsi="Verdana"/>
                <w:sz w:val="20"/>
                <w:szCs w:val="20"/>
              </w:rPr>
              <w:t>Relai de communication auprès des médias de la zone et des partenaires de la COI</w:t>
            </w:r>
          </w:p>
          <w:p w14:paraId="4AFFB430" w14:textId="3750A748" w:rsidR="0051544B" w:rsidRDefault="00B04AD3">
            <w:pPr>
              <w:rPr>
                <w:rFonts w:ascii="Verdana" w:hAnsi="Verdana"/>
                <w:sz w:val="20"/>
                <w:szCs w:val="20"/>
              </w:rPr>
            </w:pPr>
            <w:r>
              <w:rPr>
                <w:rFonts w:ascii="Verdana" w:hAnsi="Verdana"/>
                <w:sz w:val="20"/>
                <w:szCs w:val="20"/>
              </w:rPr>
              <w:t xml:space="preserve">La COI a également participé à un évènement parallèle organisé par la présidence comorienne de l’UA </w:t>
            </w:r>
            <w:r w:rsidR="00A859D5">
              <w:rPr>
                <w:rFonts w:ascii="Verdana" w:hAnsi="Verdana"/>
                <w:sz w:val="20"/>
                <w:szCs w:val="20"/>
              </w:rPr>
              <w:t xml:space="preserve">à la COP28 de Dubai. Elle a également facilité la participation de délégués des Etats membres. </w:t>
            </w:r>
          </w:p>
          <w:p w14:paraId="618FE9A1" w14:textId="77777777" w:rsidR="0051544B" w:rsidRDefault="0051544B">
            <w:pPr>
              <w:rPr>
                <w:rFonts w:ascii="Verdana" w:hAnsi="Verdana"/>
                <w:sz w:val="20"/>
                <w:szCs w:val="20"/>
              </w:rPr>
            </w:pPr>
          </w:p>
          <w:p w14:paraId="7E9393EF" w14:textId="77777777" w:rsidR="0051544B" w:rsidRPr="00B76BE0" w:rsidRDefault="0051544B">
            <w:pPr>
              <w:rPr>
                <w:rFonts w:ascii="Verdana" w:hAnsi="Verdana"/>
                <w:sz w:val="20"/>
                <w:szCs w:val="20"/>
              </w:rPr>
            </w:pPr>
          </w:p>
        </w:tc>
        <w:tc>
          <w:tcPr>
            <w:tcW w:w="1978" w:type="dxa"/>
          </w:tcPr>
          <w:p w14:paraId="552FDD83" w14:textId="77777777" w:rsidR="00293A06" w:rsidRDefault="00293A06">
            <w:pPr>
              <w:rPr>
                <w:rFonts w:ascii="Verdana" w:hAnsi="Verdana"/>
                <w:sz w:val="20"/>
                <w:szCs w:val="20"/>
              </w:rPr>
            </w:pPr>
          </w:p>
          <w:p w14:paraId="650BD492" w14:textId="77777777" w:rsidR="00142F91" w:rsidRDefault="00142F91">
            <w:pPr>
              <w:rPr>
                <w:rFonts w:ascii="Verdana" w:hAnsi="Verdana"/>
                <w:sz w:val="20"/>
                <w:szCs w:val="20"/>
              </w:rPr>
            </w:pPr>
          </w:p>
          <w:p w14:paraId="5D01A63A" w14:textId="77777777" w:rsidR="00142F91" w:rsidRDefault="00142F91">
            <w:pPr>
              <w:rPr>
                <w:rFonts w:ascii="Verdana" w:hAnsi="Verdana"/>
                <w:sz w:val="20"/>
                <w:szCs w:val="20"/>
              </w:rPr>
            </w:pPr>
          </w:p>
          <w:p w14:paraId="3E6BFC64" w14:textId="77777777" w:rsidR="00142F91" w:rsidRDefault="00142F91">
            <w:pPr>
              <w:rPr>
                <w:rFonts w:ascii="Verdana" w:hAnsi="Verdana"/>
                <w:sz w:val="20"/>
                <w:szCs w:val="20"/>
              </w:rPr>
            </w:pPr>
          </w:p>
          <w:p w14:paraId="567275A9" w14:textId="77777777" w:rsidR="00142F91" w:rsidRDefault="00142F91">
            <w:pPr>
              <w:rPr>
                <w:rFonts w:ascii="Verdana" w:hAnsi="Verdana"/>
                <w:sz w:val="20"/>
                <w:szCs w:val="20"/>
              </w:rPr>
            </w:pPr>
          </w:p>
          <w:p w14:paraId="519E3A67" w14:textId="43FF88C3" w:rsidR="00142F91" w:rsidRDefault="00224511">
            <w:pPr>
              <w:rPr>
                <w:rFonts w:ascii="Verdana" w:hAnsi="Verdana"/>
                <w:sz w:val="20"/>
                <w:szCs w:val="20"/>
              </w:rPr>
            </w:pPr>
            <w:r>
              <w:rPr>
                <w:rFonts w:ascii="Verdana" w:hAnsi="Verdana"/>
                <w:sz w:val="20"/>
                <w:szCs w:val="20"/>
              </w:rPr>
              <w:t xml:space="preserve">Coordination SG. </w:t>
            </w:r>
          </w:p>
          <w:p w14:paraId="399E4879" w14:textId="7253C2D7" w:rsidR="00224511" w:rsidRDefault="00224511">
            <w:pPr>
              <w:rPr>
                <w:rFonts w:ascii="Verdana" w:hAnsi="Verdana"/>
                <w:sz w:val="20"/>
                <w:szCs w:val="20"/>
              </w:rPr>
            </w:pPr>
            <w:r>
              <w:rPr>
                <w:rFonts w:ascii="Verdana" w:hAnsi="Verdana"/>
                <w:sz w:val="20"/>
                <w:szCs w:val="20"/>
              </w:rPr>
              <w:t xml:space="preserve">Missionnaires : </w:t>
            </w:r>
          </w:p>
          <w:p w14:paraId="7A912EDA" w14:textId="1B478DDD" w:rsidR="00224511" w:rsidRDefault="00224511">
            <w:pPr>
              <w:rPr>
                <w:rFonts w:ascii="Verdana" w:hAnsi="Verdana"/>
                <w:sz w:val="20"/>
                <w:szCs w:val="20"/>
              </w:rPr>
            </w:pPr>
            <w:r>
              <w:rPr>
                <w:rFonts w:ascii="Verdana" w:hAnsi="Verdana"/>
                <w:sz w:val="20"/>
                <w:szCs w:val="20"/>
              </w:rPr>
              <w:t>Anfani MSOILI</w:t>
            </w:r>
            <w:r w:rsidR="00375E0B">
              <w:rPr>
                <w:rFonts w:ascii="Verdana" w:hAnsi="Verdana"/>
                <w:sz w:val="20"/>
                <w:szCs w:val="20"/>
              </w:rPr>
              <w:t xml:space="preserve"> et </w:t>
            </w:r>
            <w:r>
              <w:rPr>
                <w:rFonts w:ascii="Verdana" w:hAnsi="Verdana"/>
                <w:sz w:val="20"/>
                <w:szCs w:val="20"/>
              </w:rPr>
              <w:t xml:space="preserve">Gilles Ribouet </w:t>
            </w:r>
            <w:r w:rsidR="00375E0B">
              <w:rPr>
                <w:rFonts w:ascii="Verdana" w:hAnsi="Verdana"/>
                <w:sz w:val="20"/>
                <w:szCs w:val="20"/>
              </w:rPr>
              <w:t xml:space="preserve">sur la mission préparatoire ; puis, à la Conférence : SG, </w:t>
            </w:r>
            <w:r w:rsidR="00EB4FFC">
              <w:rPr>
                <w:rFonts w:ascii="Verdana" w:hAnsi="Verdana"/>
                <w:sz w:val="20"/>
                <w:szCs w:val="20"/>
              </w:rPr>
              <w:t xml:space="preserve">AM, GR, </w:t>
            </w:r>
            <w:r w:rsidR="007D001A">
              <w:rPr>
                <w:rFonts w:ascii="Verdana" w:hAnsi="Verdana"/>
                <w:sz w:val="20"/>
                <w:szCs w:val="20"/>
              </w:rPr>
              <w:t>Tiana R., Asha P</w:t>
            </w:r>
            <w:r w:rsidR="009A2252">
              <w:rPr>
                <w:rFonts w:ascii="Verdana" w:hAnsi="Verdana"/>
                <w:sz w:val="20"/>
                <w:szCs w:val="20"/>
              </w:rPr>
              <w:t>., Shirley L. Bryan C.</w:t>
            </w:r>
          </w:p>
          <w:p w14:paraId="547FE3EE" w14:textId="77777777" w:rsidR="00142F91" w:rsidRDefault="00142F91">
            <w:pPr>
              <w:rPr>
                <w:rFonts w:ascii="Verdana" w:hAnsi="Verdana"/>
                <w:sz w:val="20"/>
                <w:szCs w:val="20"/>
              </w:rPr>
            </w:pPr>
          </w:p>
          <w:p w14:paraId="5005A27F" w14:textId="77777777" w:rsidR="00142F91" w:rsidRDefault="00142F91">
            <w:pPr>
              <w:rPr>
                <w:rFonts w:ascii="Verdana" w:hAnsi="Verdana"/>
                <w:sz w:val="20"/>
                <w:szCs w:val="20"/>
              </w:rPr>
            </w:pPr>
          </w:p>
          <w:p w14:paraId="0D7808E2" w14:textId="77777777" w:rsidR="00142F91" w:rsidRDefault="00142F91">
            <w:pPr>
              <w:rPr>
                <w:rFonts w:ascii="Verdana" w:hAnsi="Verdana"/>
                <w:sz w:val="20"/>
                <w:szCs w:val="20"/>
              </w:rPr>
            </w:pPr>
          </w:p>
          <w:p w14:paraId="0CDCB567" w14:textId="77777777" w:rsidR="00142F91" w:rsidRDefault="00142F91">
            <w:pPr>
              <w:rPr>
                <w:rFonts w:ascii="Verdana" w:hAnsi="Verdana"/>
                <w:sz w:val="20"/>
                <w:szCs w:val="20"/>
              </w:rPr>
            </w:pPr>
          </w:p>
          <w:p w14:paraId="37811850" w14:textId="77777777" w:rsidR="00142F91" w:rsidRDefault="00142F91">
            <w:pPr>
              <w:rPr>
                <w:rFonts w:ascii="Verdana" w:hAnsi="Verdana"/>
                <w:sz w:val="20"/>
                <w:szCs w:val="20"/>
              </w:rPr>
            </w:pPr>
          </w:p>
          <w:p w14:paraId="7E9F333A" w14:textId="790446C5" w:rsidR="00142F91" w:rsidRPr="00142F91" w:rsidRDefault="00142F91" w:rsidP="00142F91">
            <w:pPr>
              <w:rPr>
                <w:rFonts w:ascii="Verdana" w:hAnsi="Verdana"/>
                <w:sz w:val="20"/>
                <w:szCs w:val="20"/>
              </w:rPr>
            </w:pPr>
          </w:p>
        </w:tc>
        <w:tc>
          <w:tcPr>
            <w:tcW w:w="2037" w:type="dxa"/>
          </w:tcPr>
          <w:p w14:paraId="17B2D519" w14:textId="77777777" w:rsidR="00293A06" w:rsidRDefault="00293A06">
            <w:pPr>
              <w:rPr>
                <w:rFonts w:ascii="Verdana" w:hAnsi="Verdana"/>
                <w:sz w:val="20"/>
                <w:szCs w:val="20"/>
              </w:rPr>
            </w:pPr>
          </w:p>
          <w:p w14:paraId="6FD4398E" w14:textId="77777777" w:rsidR="00514DE0" w:rsidRDefault="00514DE0">
            <w:pPr>
              <w:rPr>
                <w:rFonts w:ascii="Verdana" w:hAnsi="Verdana"/>
                <w:sz w:val="20"/>
                <w:szCs w:val="20"/>
              </w:rPr>
            </w:pPr>
          </w:p>
          <w:p w14:paraId="10AABA07" w14:textId="77777777" w:rsidR="00514DE0" w:rsidRDefault="00514DE0">
            <w:pPr>
              <w:rPr>
                <w:rFonts w:ascii="Verdana" w:hAnsi="Verdana"/>
                <w:sz w:val="20"/>
                <w:szCs w:val="20"/>
              </w:rPr>
            </w:pPr>
          </w:p>
          <w:p w14:paraId="5F550DB9" w14:textId="77777777" w:rsidR="00514DE0" w:rsidRDefault="00514DE0">
            <w:pPr>
              <w:rPr>
                <w:rFonts w:ascii="Verdana" w:hAnsi="Verdana"/>
                <w:sz w:val="20"/>
                <w:szCs w:val="20"/>
              </w:rPr>
            </w:pPr>
          </w:p>
          <w:p w14:paraId="56C49C92" w14:textId="77777777" w:rsidR="00514DE0" w:rsidRDefault="00514DE0">
            <w:pPr>
              <w:rPr>
                <w:rFonts w:ascii="Verdana" w:hAnsi="Verdana"/>
                <w:sz w:val="20"/>
                <w:szCs w:val="20"/>
              </w:rPr>
            </w:pPr>
          </w:p>
          <w:p w14:paraId="4C0EFF19" w14:textId="77777777" w:rsidR="00514DE0" w:rsidRDefault="00514DE0">
            <w:pPr>
              <w:rPr>
                <w:rFonts w:ascii="Verdana" w:hAnsi="Verdana"/>
                <w:sz w:val="20"/>
                <w:szCs w:val="20"/>
              </w:rPr>
            </w:pPr>
          </w:p>
          <w:p w14:paraId="40AEB4E8" w14:textId="77777777" w:rsidR="00514DE0" w:rsidRDefault="00514DE0">
            <w:pPr>
              <w:rPr>
                <w:rFonts w:ascii="Verdana" w:hAnsi="Verdana"/>
                <w:sz w:val="20"/>
                <w:szCs w:val="20"/>
              </w:rPr>
            </w:pPr>
            <w:r>
              <w:rPr>
                <w:rFonts w:ascii="Verdana" w:hAnsi="Verdana"/>
                <w:sz w:val="20"/>
                <w:szCs w:val="20"/>
              </w:rPr>
              <w:t>Juin 2023</w:t>
            </w:r>
          </w:p>
          <w:p w14:paraId="78CA22C7" w14:textId="77777777" w:rsidR="00514DE0" w:rsidRDefault="00514DE0">
            <w:pPr>
              <w:rPr>
                <w:rFonts w:ascii="Verdana" w:hAnsi="Verdana"/>
                <w:sz w:val="20"/>
                <w:szCs w:val="20"/>
              </w:rPr>
            </w:pPr>
            <w:r>
              <w:rPr>
                <w:rFonts w:ascii="Verdana" w:hAnsi="Verdana"/>
                <w:sz w:val="20"/>
                <w:szCs w:val="20"/>
              </w:rPr>
              <w:t>Nov 2023</w:t>
            </w:r>
          </w:p>
          <w:p w14:paraId="431667FD" w14:textId="77777777" w:rsidR="00514DE0" w:rsidRDefault="00514DE0">
            <w:pPr>
              <w:rPr>
                <w:rFonts w:ascii="Verdana" w:hAnsi="Verdana"/>
                <w:sz w:val="20"/>
                <w:szCs w:val="20"/>
              </w:rPr>
            </w:pPr>
          </w:p>
          <w:p w14:paraId="3C7D3E91" w14:textId="1C44FD3C" w:rsidR="00514DE0" w:rsidRPr="00B76BE0" w:rsidRDefault="00514DE0">
            <w:pPr>
              <w:rPr>
                <w:rFonts w:ascii="Verdana" w:hAnsi="Verdana"/>
                <w:sz w:val="20"/>
                <w:szCs w:val="20"/>
              </w:rPr>
            </w:pPr>
          </w:p>
        </w:tc>
      </w:tr>
      <w:tr w:rsidR="00293A06" w:rsidRPr="00B76BE0" w14:paraId="0159B6F7" w14:textId="77777777" w:rsidTr="23285676">
        <w:tc>
          <w:tcPr>
            <w:tcW w:w="5474" w:type="dxa"/>
          </w:tcPr>
          <w:p w14:paraId="4491D5CE" w14:textId="77777777" w:rsidR="000D6E60" w:rsidRPr="00244145" w:rsidRDefault="000D6E60" w:rsidP="000D6E60">
            <w:pPr>
              <w:spacing w:after="120" w:line="276" w:lineRule="auto"/>
              <w:rPr>
                <w:rFonts w:ascii="Verdana" w:hAnsi="Verdana"/>
                <w:color w:val="ED7D31" w:themeColor="accent2"/>
                <w:sz w:val="20"/>
                <w:szCs w:val="20"/>
              </w:rPr>
            </w:pPr>
            <w:r w:rsidRPr="00244145">
              <w:rPr>
                <w:rFonts w:ascii="Verdana" w:hAnsi="Verdana"/>
                <w:b/>
                <w:bCs/>
                <w:sz w:val="20"/>
                <w:szCs w:val="20"/>
              </w:rPr>
              <w:t xml:space="preserve">Décision 4. </w:t>
            </w:r>
            <w:r>
              <w:rPr>
                <w:rFonts w:ascii="Verdana" w:hAnsi="Verdana"/>
                <w:b/>
                <w:bCs/>
                <w:sz w:val="20"/>
                <w:szCs w:val="20"/>
              </w:rPr>
              <w:t xml:space="preserve">Projet Expédition plastique océan Indien (ExPLOI) </w:t>
            </w:r>
          </w:p>
          <w:p w14:paraId="29C42896" w14:textId="77777777" w:rsidR="000D6E60" w:rsidRPr="004F5C4B" w:rsidRDefault="000D6E60" w:rsidP="000D6E60">
            <w:pPr>
              <w:pStyle w:val="Paragraphe"/>
            </w:pPr>
            <w:r w:rsidRPr="004F5C4B">
              <w:t>Le Comité des OPL</w:t>
            </w:r>
            <w:r>
              <w:t xml:space="preserve"> :</w:t>
            </w:r>
          </w:p>
          <w:p w14:paraId="6555D9C8" w14:textId="77777777" w:rsidR="000D6E60" w:rsidRDefault="000D6E60" w:rsidP="000D6E60">
            <w:pPr>
              <w:pStyle w:val="Paragraphe"/>
              <w:numPr>
                <w:ilvl w:val="0"/>
                <w:numId w:val="28"/>
              </w:numPr>
            </w:pPr>
            <w:r>
              <w:t xml:space="preserve">Encourage le Secrétariat général à accélérer la mise en œuvre des activités du projet ExPLOI et à poursuivre son travail de mobilisation des parties prenantes nationales ;  </w:t>
            </w:r>
          </w:p>
          <w:p w14:paraId="2990BEF3" w14:textId="77777777" w:rsidR="000D6E60" w:rsidRPr="00532ED4" w:rsidRDefault="000D6E60" w:rsidP="000D6E60">
            <w:pPr>
              <w:pStyle w:val="Paragraphe"/>
              <w:numPr>
                <w:ilvl w:val="0"/>
                <w:numId w:val="28"/>
              </w:numPr>
            </w:pPr>
            <w:r>
              <w:t>Appelle les Etats membres à une meilleure collaboration et appropriation des activités du projet ExPLOI ;</w:t>
            </w:r>
          </w:p>
          <w:p w14:paraId="30FA3C55" w14:textId="77777777" w:rsidR="000D6E60" w:rsidRDefault="000D6E60" w:rsidP="000D6E60">
            <w:pPr>
              <w:pStyle w:val="Paragraphe"/>
              <w:numPr>
                <w:ilvl w:val="0"/>
                <w:numId w:val="28"/>
              </w:numPr>
            </w:pPr>
            <w:r w:rsidRPr="00532ED4">
              <w:t xml:space="preserve">Remercie les parties prenantes du projet </w:t>
            </w:r>
            <w:r>
              <w:t>ExPLOI</w:t>
            </w:r>
            <w:r w:rsidRPr="00532ED4">
              <w:t xml:space="preserve"> pour leur contribution dans </w:t>
            </w:r>
            <w:r>
              <w:t xml:space="preserve">cette phase de </w:t>
            </w:r>
            <w:r w:rsidRPr="00532ED4">
              <w:t>démarrage du projet</w:t>
            </w:r>
            <w:r>
              <w:t> ;</w:t>
            </w:r>
            <w:r w:rsidRPr="00532ED4">
              <w:t xml:space="preserve"> </w:t>
            </w:r>
          </w:p>
          <w:p w14:paraId="0AE94A5F" w14:textId="77777777" w:rsidR="000D6E60" w:rsidRDefault="000D6E60" w:rsidP="000D6E60">
            <w:pPr>
              <w:pStyle w:val="Paragraphe"/>
              <w:numPr>
                <w:ilvl w:val="0"/>
                <w:numId w:val="28"/>
              </w:numPr>
            </w:pPr>
            <w:r>
              <w:t>Invite le Secrétariat général à créer des synergies entre le projet ExPLOI et les autres projets de la COI traitant de thématiques connexes.</w:t>
            </w:r>
          </w:p>
          <w:p w14:paraId="50090885" w14:textId="2394D966" w:rsidR="00934F28" w:rsidRPr="00B76BE0" w:rsidRDefault="00934F28">
            <w:pPr>
              <w:rPr>
                <w:rFonts w:ascii="Verdana" w:hAnsi="Verdana"/>
                <w:sz w:val="20"/>
                <w:szCs w:val="20"/>
              </w:rPr>
            </w:pPr>
          </w:p>
        </w:tc>
        <w:tc>
          <w:tcPr>
            <w:tcW w:w="5031" w:type="dxa"/>
          </w:tcPr>
          <w:p w14:paraId="0598BFE5" w14:textId="77777777" w:rsidR="00293A06" w:rsidRPr="00B76BE0" w:rsidRDefault="00293A06">
            <w:pPr>
              <w:rPr>
                <w:rFonts w:ascii="Verdana" w:hAnsi="Verdana"/>
                <w:sz w:val="20"/>
                <w:szCs w:val="20"/>
              </w:rPr>
            </w:pPr>
          </w:p>
        </w:tc>
        <w:tc>
          <w:tcPr>
            <w:tcW w:w="1978" w:type="dxa"/>
          </w:tcPr>
          <w:p w14:paraId="5006650B" w14:textId="77777777" w:rsidR="00293A06" w:rsidRPr="00B76BE0" w:rsidRDefault="00293A06">
            <w:pPr>
              <w:rPr>
                <w:rFonts w:ascii="Verdana" w:hAnsi="Verdana"/>
                <w:sz w:val="20"/>
                <w:szCs w:val="20"/>
              </w:rPr>
            </w:pPr>
          </w:p>
        </w:tc>
        <w:tc>
          <w:tcPr>
            <w:tcW w:w="2037" w:type="dxa"/>
          </w:tcPr>
          <w:p w14:paraId="205F4152" w14:textId="77777777" w:rsidR="00293A06" w:rsidRPr="00B76BE0" w:rsidRDefault="00293A06">
            <w:pPr>
              <w:rPr>
                <w:rFonts w:ascii="Verdana" w:hAnsi="Verdana"/>
                <w:sz w:val="20"/>
                <w:szCs w:val="20"/>
              </w:rPr>
            </w:pPr>
          </w:p>
        </w:tc>
      </w:tr>
      <w:tr w:rsidR="00293A06" w:rsidRPr="00B76BE0" w14:paraId="3BA44E0E" w14:textId="77777777" w:rsidTr="23285676">
        <w:tc>
          <w:tcPr>
            <w:tcW w:w="5474" w:type="dxa"/>
          </w:tcPr>
          <w:p w14:paraId="530DF2F2" w14:textId="77777777" w:rsidR="005A3431" w:rsidRPr="00244145" w:rsidRDefault="005A3431" w:rsidP="005A3431">
            <w:pPr>
              <w:spacing w:after="120" w:line="276" w:lineRule="auto"/>
              <w:ind w:firstLine="708"/>
              <w:jc w:val="center"/>
              <w:rPr>
                <w:rFonts w:ascii="Verdana" w:hAnsi="Verdana"/>
                <w:b/>
                <w:bCs/>
                <w:sz w:val="20"/>
                <w:szCs w:val="20"/>
              </w:rPr>
            </w:pPr>
            <w:r w:rsidRPr="00244145">
              <w:rPr>
                <w:rFonts w:ascii="Verdana" w:hAnsi="Verdana"/>
                <w:b/>
                <w:bCs/>
                <w:sz w:val="20"/>
                <w:szCs w:val="20"/>
              </w:rPr>
              <w:t xml:space="preserve">Décision 5. </w:t>
            </w:r>
            <w:r>
              <w:rPr>
                <w:rFonts w:ascii="Verdana" w:hAnsi="Verdana"/>
                <w:b/>
                <w:bCs/>
                <w:sz w:val="20"/>
                <w:szCs w:val="20"/>
              </w:rPr>
              <w:t>3</w:t>
            </w:r>
            <w:r w:rsidRPr="00EA17AD">
              <w:rPr>
                <w:rFonts w:ascii="Verdana" w:hAnsi="Verdana"/>
                <w:b/>
                <w:bCs/>
                <w:sz w:val="20"/>
                <w:szCs w:val="20"/>
                <w:vertAlign w:val="superscript"/>
              </w:rPr>
              <w:t>e</w:t>
            </w:r>
            <w:r>
              <w:rPr>
                <w:rFonts w:ascii="Verdana" w:hAnsi="Verdana"/>
                <w:b/>
                <w:bCs/>
                <w:sz w:val="20"/>
                <w:szCs w:val="20"/>
              </w:rPr>
              <w:t xml:space="preserve"> Conférence ministérielle sur la sécurité et sûreté maritimes et suite du programme MASE </w:t>
            </w:r>
          </w:p>
          <w:p w14:paraId="592E15EA" w14:textId="77777777" w:rsidR="005A3431" w:rsidRPr="004F5C4B" w:rsidRDefault="005A3431" w:rsidP="005A3431">
            <w:pPr>
              <w:pStyle w:val="Paragraphe"/>
            </w:pPr>
            <w:r>
              <w:t xml:space="preserve">Tenant compte de la fin du programme MASE au </w:t>
            </w:r>
            <w:r w:rsidRPr="00C137B1">
              <w:t>9 décembre 2023</w:t>
            </w:r>
            <w:r>
              <w:t xml:space="preserve"> et de la nécessité </w:t>
            </w:r>
            <w:r w:rsidRPr="00C137B1">
              <w:t>d’assurer une continuité</w:t>
            </w:r>
            <w:r>
              <w:t>,</w:t>
            </w:r>
            <w:r w:rsidRPr="00C137B1">
              <w:t xml:space="preserve"> sans interruption</w:t>
            </w:r>
            <w:r>
              <w:t>,</w:t>
            </w:r>
            <w:r w:rsidRPr="00C137B1">
              <w:t xml:space="preserve"> des </w:t>
            </w:r>
            <w:r>
              <w:t>opérations du Centre régional de fusion de l’information maritime (C</w:t>
            </w:r>
            <w:r w:rsidRPr="00C137B1">
              <w:t>RFIM</w:t>
            </w:r>
            <w:r>
              <w:t>)</w:t>
            </w:r>
            <w:r w:rsidRPr="00C137B1">
              <w:t xml:space="preserve"> et C</w:t>
            </w:r>
            <w:r>
              <w:t>entre régional de coordination des opérations (C</w:t>
            </w:r>
            <w:r w:rsidRPr="00C137B1">
              <w:t>RCO</w:t>
            </w:r>
            <w:r>
              <w:t>) qui sont au cœur de l’architecture régionale de sécurité maritime</w:t>
            </w:r>
            <w:r w:rsidRPr="00C137B1">
              <w:t>,</w:t>
            </w:r>
            <w:r>
              <w:t xml:space="preserve"> le Comité des OPL : </w:t>
            </w:r>
          </w:p>
          <w:p w14:paraId="580B9057" w14:textId="77777777" w:rsidR="005A3431" w:rsidRPr="00C137B1" w:rsidRDefault="005A3431" w:rsidP="005A3431">
            <w:pPr>
              <w:pStyle w:val="Paragraphe"/>
              <w:numPr>
                <w:ilvl w:val="0"/>
                <w:numId w:val="29"/>
              </w:numPr>
            </w:pPr>
            <w:r>
              <w:t>Demande au</w:t>
            </w:r>
            <w:r w:rsidRPr="00C137B1">
              <w:t xml:space="preserve"> Secréta</w:t>
            </w:r>
            <w:r>
              <w:t>ire</w:t>
            </w:r>
            <w:r w:rsidRPr="00C137B1">
              <w:t xml:space="preserve"> général de maintenir le dialogue avec l’U</w:t>
            </w:r>
            <w:r>
              <w:t>nion européenne</w:t>
            </w:r>
            <w:r w:rsidRPr="00C137B1">
              <w:t xml:space="preserve"> </w:t>
            </w:r>
            <w:r>
              <w:t xml:space="preserve">(UE) </w:t>
            </w:r>
            <w:r w:rsidRPr="00C137B1">
              <w:t xml:space="preserve">pour la </w:t>
            </w:r>
            <w:r>
              <w:t xml:space="preserve">finalisation </w:t>
            </w:r>
            <w:r w:rsidRPr="00C137B1">
              <w:t>du programme</w:t>
            </w:r>
            <w:r>
              <w:t xml:space="preserve"> continental</w:t>
            </w:r>
            <w:r w:rsidRPr="00C137B1">
              <w:t xml:space="preserve"> </w:t>
            </w:r>
            <w:r w:rsidRPr="002348BF">
              <w:rPr>
                <w:i/>
                <w:iCs/>
              </w:rPr>
              <w:t>Safe Seas Africa</w:t>
            </w:r>
            <w:r>
              <w:t xml:space="preserve"> (SS</w:t>
            </w:r>
            <w:r w:rsidRPr="00C137B1">
              <w:t>A</w:t>
            </w:r>
            <w:r>
              <w:t>)</w:t>
            </w:r>
            <w:r w:rsidRPr="00C137B1">
              <w:t xml:space="preserve"> et de pr</w:t>
            </w:r>
            <w:r>
              <w:t xml:space="preserve">endre toutes les dispositions nécessaires en vue de </w:t>
            </w:r>
            <w:r w:rsidRPr="00C137B1">
              <w:t xml:space="preserve">la signature de la subvention avec l’UE </w:t>
            </w:r>
            <w:r>
              <w:t>après que</w:t>
            </w:r>
            <w:r w:rsidRPr="00C137B1">
              <w:t xml:space="preserve"> la COI </w:t>
            </w:r>
            <w:r>
              <w:t xml:space="preserve">sera sollicitée </w:t>
            </w:r>
            <w:r w:rsidRPr="00C137B1">
              <w:t>en tant qu’agence de mise en œuvre d’une partie du programme SSA pour l’amélioration des capacités des centres nationaux et régionaux</w:t>
            </w:r>
            <w:r>
              <w:t> ;</w:t>
            </w:r>
            <w:r w:rsidRPr="00C137B1">
              <w:t xml:space="preserve"> </w:t>
            </w:r>
          </w:p>
          <w:p w14:paraId="4EAD4DBE" w14:textId="77777777" w:rsidR="005A3431" w:rsidRDefault="005A3431" w:rsidP="005A3431">
            <w:pPr>
              <w:pStyle w:val="Paragraphe"/>
              <w:numPr>
                <w:ilvl w:val="0"/>
                <w:numId w:val="29"/>
              </w:numPr>
            </w:pPr>
            <w:r w:rsidRPr="00C137B1">
              <w:t>R</w:t>
            </w:r>
            <w:r>
              <w:t>appelle</w:t>
            </w:r>
            <w:r w:rsidRPr="00C137B1">
              <w:t xml:space="preserve"> l’invitation du </w:t>
            </w:r>
            <w:r>
              <w:t>C</w:t>
            </w:r>
            <w:r w:rsidRPr="00C137B1">
              <w:t>onseil</w:t>
            </w:r>
            <w:r>
              <w:t xml:space="preserve"> des ministres</w:t>
            </w:r>
            <w:r w:rsidRPr="00C137B1">
              <w:t xml:space="preserve"> de la COI aux partenaires au développement et observateurs à soutenir la poursuite des actions de la COI en faveur de la pleine opérationnalisation et </w:t>
            </w:r>
            <w:r>
              <w:t xml:space="preserve">de </w:t>
            </w:r>
            <w:r w:rsidRPr="00C137B1">
              <w:t>la consolidation de l’architecture régionale de sécurité maritime</w:t>
            </w:r>
            <w:r>
              <w:t> ;</w:t>
            </w:r>
            <w:r w:rsidRPr="00C137B1">
              <w:t xml:space="preserve"> </w:t>
            </w:r>
          </w:p>
          <w:p w14:paraId="698C60B1" w14:textId="77777777" w:rsidR="005A3431" w:rsidRPr="00C137B1" w:rsidRDefault="005A3431" w:rsidP="005A3431">
            <w:pPr>
              <w:pStyle w:val="Paragraphe"/>
              <w:numPr>
                <w:ilvl w:val="0"/>
                <w:numId w:val="29"/>
              </w:numPr>
            </w:pPr>
            <w:r>
              <w:t>Prend note de la Déclaration adoptée par la 3</w:t>
            </w:r>
            <w:r w:rsidRPr="00B77728">
              <w:rPr>
                <w:vertAlign w:val="superscript"/>
              </w:rPr>
              <w:t>e</w:t>
            </w:r>
            <w:r>
              <w:t xml:space="preserve"> Conférence ministérielle sur la Sécurité et la sûreté maritimes dans l’océan Indien </w:t>
            </w:r>
            <w:r>
              <w:lastRenderedPageBreak/>
              <w:t>occidental et de la reconnaissance du rôle majeur de la COI dans ce domaine.</w:t>
            </w:r>
          </w:p>
          <w:p w14:paraId="0CE5C338" w14:textId="4C46CC06" w:rsidR="00934F28" w:rsidRPr="00B76BE0" w:rsidRDefault="00934F28">
            <w:pPr>
              <w:rPr>
                <w:rFonts w:ascii="Verdana" w:hAnsi="Verdana"/>
                <w:sz w:val="20"/>
                <w:szCs w:val="20"/>
              </w:rPr>
            </w:pPr>
          </w:p>
        </w:tc>
        <w:tc>
          <w:tcPr>
            <w:tcW w:w="5031" w:type="dxa"/>
          </w:tcPr>
          <w:p w14:paraId="657EFDBA" w14:textId="2F072440" w:rsidR="00293A06" w:rsidRPr="00B76BE0" w:rsidRDefault="007908A1" w:rsidP="007908A1">
            <w:pPr>
              <w:jc w:val="both"/>
              <w:rPr>
                <w:rFonts w:ascii="Verdana" w:hAnsi="Verdana"/>
                <w:sz w:val="20"/>
                <w:szCs w:val="20"/>
              </w:rPr>
            </w:pPr>
            <w:r w:rsidRPr="23285676">
              <w:rPr>
                <w:rFonts w:ascii="Verdana" w:hAnsi="Verdana"/>
                <w:sz w:val="20"/>
                <w:szCs w:val="20"/>
              </w:rPr>
              <w:lastRenderedPageBreak/>
              <w:t>Conformément à la décision 5a) la COI se positionne comme agence de mise en œuvre pour la composante 3, « renforcer les capacités des centres de sécurité maritime nationaux et régionaux ». A cet effet, afin de déclencher la procédure de traitement officiel de ce positionnement de la COI, le Secrétariat général a soumis, le 15 février 2024, à la Délégation de l’Union Européenne (DUE) à Maurice, les documents techniques et financiers y afférents.</w:t>
            </w:r>
            <w:r w:rsidR="38558E2D" w:rsidRPr="23285676">
              <w:rPr>
                <w:rFonts w:ascii="Verdana" w:hAnsi="Verdana"/>
                <w:sz w:val="20"/>
                <w:szCs w:val="20"/>
              </w:rPr>
              <w:t xml:space="preserve"> </w:t>
            </w:r>
          </w:p>
        </w:tc>
        <w:tc>
          <w:tcPr>
            <w:tcW w:w="1978" w:type="dxa"/>
          </w:tcPr>
          <w:p w14:paraId="53D8C639" w14:textId="08608D70" w:rsidR="00293A06" w:rsidRPr="00B76BE0" w:rsidRDefault="00BA5871">
            <w:pPr>
              <w:rPr>
                <w:rFonts w:ascii="Verdana" w:hAnsi="Verdana"/>
                <w:sz w:val="20"/>
                <w:szCs w:val="20"/>
              </w:rPr>
            </w:pPr>
            <w:r>
              <w:rPr>
                <w:rFonts w:ascii="Verdana" w:hAnsi="Verdana"/>
                <w:sz w:val="20"/>
                <w:szCs w:val="20"/>
              </w:rPr>
              <w:t>DI2</w:t>
            </w:r>
          </w:p>
        </w:tc>
        <w:tc>
          <w:tcPr>
            <w:tcW w:w="2037" w:type="dxa"/>
          </w:tcPr>
          <w:p w14:paraId="3E396A00" w14:textId="77777777" w:rsidR="00293A06" w:rsidRPr="00B76BE0" w:rsidRDefault="00293A06">
            <w:pPr>
              <w:rPr>
                <w:rFonts w:ascii="Verdana" w:hAnsi="Verdana"/>
                <w:sz w:val="20"/>
                <w:szCs w:val="20"/>
              </w:rPr>
            </w:pPr>
          </w:p>
        </w:tc>
      </w:tr>
      <w:tr w:rsidR="00934F28" w:rsidRPr="00B76BE0" w14:paraId="1DADBF01" w14:textId="77777777" w:rsidTr="23285676">
        <w:tc>
          <w:tcPr>
            <w:tcW w:w="5474" w:type="dxa"/>
          </w:tcPr>
          <w:p w14:paraId="788D2DED" w14:textId="77777777" w:rsidR="001F0B0C" w:rsidRPr="00244145" w:rsidRDefault="001F0B0C" w:rsidP="001F0B0C">
            <w:pPr>
              <w:spacing w:after="120" w:line="276" w:lineRule="auto"/>
              <w:ind w:firstLine="708"/>
              <w:jc w:val="center"/>
              <w:rPr>
                <w:rFonts w:ascii="Verdana" w:hAnsi="Verdana"/>
                <w:b/>
                <w:bCs/>
                <w:sz w:val="20"/>
                <w:szCs w:val="20"/>
              </w:rPr>
            </w:pPr>
            <w:r w:rsidRPr="00244145">
              <w:rPr>
                <w:rFonts w:ascii="Verdana" w:hAnsi="Verdana"/>
                <w:b/>
                <w:bCs/>
                <w:sz w:val="20"/>
                <w:szCs w:val="20"/>
              </w:rPr>
              <w:t xml:space="preserve">Décision 6. </w:t>
            </w:r>
            <w:r>
              <w:rPr>
                <w:rFonts w:ascii="Verdana" w:hAnsi="Verdana"/>
                <w:b/>
                <w:bCs/>
                <w:sz w:val="20"/>
                <w:szCs w:val="20"/>
              </w:rPr>
              <w:t>Espace économique et commercial, relance économique</w:t>
            </w:r>
          </w:p>
          <w:p w14:paraId="5B27D3DC" w14:textId="77777777" w:rsidR="001F0B0C" w:rsidRPr="00F66A4B" w:rsidRDefault="001F0B0C" w:rsidP="001F0B0C">
            <w:pPr>
              <w:pStyle w:val="Paragraphe"/>
            </w:pPr>
            <w:r w:rsidRPr="00F66A4B">
              <w:t>Le Comité des OPL</w:t>
            </w:r>
            <w:r>
              <w:t> :</w:t>
            </w:r>
          </w:p>
          <w:p w14:paraId="21F77504" w14:textId="77777777" w:rsidR="001F0B0C" w:rsidRPr="003A29D0" w:rsidRDefault="001F0B0C" w:rsidP="001F0B0C">
            <w:pPr>
              <w:pStyle w:val="Paragraphe"/>
              <w:numPr>
                <w:ilvl w:val="0"/>
                <w:numId w:val="30"/>
              </w:numPr>
            </w:pPr>
            <w:r w:rsidRPr="003A29D0">
              <w:rPr>
                <w:rStyle w:val="cf01"/>
              </w:rPr>
              <w:t>Rappelle la décision 8.b. du 37</w:t>
            </w:r>
            <w:r w:rsidRPr="003A29D0">
              <w:rPr>
                <w:rStyle w:val="cf01"/>
                <w:vertAlign w:val="superscript"/>
              </w:rPr>
              <w:t>e</w:t>
            </w:r>
            <w:r w:rsidRPr="003A29D0">
              <w:rPr>
                <w:rStyle w:val="cf01"/>
              </w:rPr>
              <w:t xml:space="preserve"> Conseil des ministres et demande au secrétariat général de transmettre aux Etats membres, pour approbation, la note de cadrage sur le comité des douanes préalablement à la réunion entre la COI et ce comité prévu de se tenir en janvier 2024 </w:t>
            </w:r>
            <w:r w:rsidRPr="003A29D0">
              <w:t>;</w:t>
            </w:r>
          </w:p>
          <w:p w14:paraId="2D50E8FB" w14:textId="77777777" w:rsidR="001F0B0C" w:rsidRPr="00582173" w:rsidRDefault="001F0B0C" w:rsidP="001F0B0C">
            <w:pPr>
              <w:pStyle w:val="Paragraphedeliste"/>
              <w:numPr>
                <w:ilvl w:val="0"/>
                <w:numId w:val="30"/>
              </w:numPr>
              <w:ind w:left="714" w:hanging="357"/>
              <w:contextualSpacing w:val="0"/>
              <w:jc w:val="both"/>
              <w:rPr>
                <w:rFonts w:ascii="Verdana" w:hAnsi="Verdana" w:cs="Calibri"/>
                <w:sz w:val="20"/>
                <w:szCs w:val="20"/>
              </w:rPr>
            </w:pPr>
            <w:r>
              <w:rPr>
                <w:rFonts w:ascii="Verdana" w:hAnsi="Verdana" w:cs="Calibri"/>
                <w:sz w:val="20"/>
                <w:szCs w:val="20"/>
              </w:rPr>
              <w:t>Encourage le Secrétariat général à poursuivre ses efforts de mobilisation des partenaires techniques et financiers en faveur du</w:t>
            </w:r>
            <w:r w:rsidRPr="00582173">
              <w:rPr>
                <w:rFonts w:ascii="Verdana" w:hAnsi="Verdana" w:cs="Calibri"/>
                <w:sz w:val="20"/>
                <w:szCs w:val="20"/>
              </w:rPr>
              <w:t xml:space="preserve"> Plan pour l’amélioration de la connectivité maritime</w:t>
            </w:r>
            <w:r>
              <w:rPr>
                <w:rFonts w:ascii="Verdana" w:hAnsi="Verdana" w:cs="Calibri"/>
                <w:sz w:val="20"/>
                <w:szCs w:val="20"/>
              </w:rPr>
              <w:t xml:space="preserve"> tel qu’adopté par le</w:t>
            </w:r>
            <w:r w:rsidRPr="00582173">
              <w:rPr>
                <w:rFonts w:ascii="Verdana" w:hAnsi="Verdana" w:cs="Calibri"/>
                <w:sz w:val="20"/>
                <w:szCs w:val="20"/>
              </w:rPr>
              <w:t xml:space="preserve"> Conseil </w:t>
            </w:r>
            <w:r>
              <w:rPr>
                <w:rFonts w:ascii="Verdana" w:hAnsi="Verdana" w:cs="Calibri"/>
                <w:sz w:val="20"/>
                <w:szCs w:val="20"/>
              </w:rPr>
              <w:t xml:space="preserve">extraordinaire </w:t>
            </w:r>
            <w:r w:rsidRPr="00582173">
              <w:rPr>
                <w:rFonts w:ascii="Verdana" w:hAnsi="Verdana" w:cs="Calibri"/>
                <w:sz w:val="20"/>
                <w:szCs w:val="20"/>
              </w:rPr>
              <w:t>des ministres du 22 décembre 2022.</w:t>
            </w:r>
          </w:p>
          <w:p w14:paraId="1406A673" w14:textId="77777777" w:rsidR="001F0B0C" w:rsidRDefault="001F0B0C" w:rsidP="001F0B0C">
            <w:pPr>
              <w:pStyle w:val="Paragraphedeliste"/>
              <w:numPr>
                <w:ilvl w:val="0"/>
                <w:numId w:val="30"/>
              </w:numPr>
              <w:ind w:left="714" w:hanging="357"/>
              <w:contextualSpacing w:val="0"/>
              <w:jc w:val="both"/>
              <w:rPr>
                <w:rFonts w:ascii="Verdana" w:hAnsi="Verdana" w:cs="Calibri"/>
                <w:sz w:val="20"/>
                <w:szCs w:val="20"/>
              </w:rPr>
            </w:pPr>
            <w:r>
              <w:rPr>
                <w:rFonts w:ascii="Verdana" w:hAnsi="Verdana" w:cs="Calibri"/>
                <w:sz w:val="20"/>
                <w:szCs w:val="20"/>
              </w:rPr>
              <w:t>Prend note d</w:t>
            </w:r>
            <w:r w:rsidRPr="00123912">
              <w:rPr>
                <w:rFonts w:ascii="Verdana" w:hAnsi="Verdana" w:cs="Calibri"/>
                <w:sz w:val="20"/>
                <w:szCs w:val="20"/>
              </w:rPr>
              <w:t xml:space="preserve">es projets de cadre de coopération avec COMESA, Cap Business océan Indien (CBOI) et l’Association des ports des îles de l’océan Indien (APIOI) </w:t>
            </w:r>
            <w:r>
              <w:rPr>
                <w:rFonts w:ascii="Verdana" w:hAnsi="Verdana" w:cs="Calibri"/>
                <w:sz w:val="20"/>
                <w:szCs w:val="20"/>
              </w:rPr>
              <w:t xml:space="preserve">et demande au Secrétariat général de finaliser dans un délai d’un mois les consultations avec les Etats membres, en tenant compte des observations de la partie malagasy, en vue d’une approbation du Conseil des ministres par procédure écrite, puis de leur signature par le </w:t>
            </w:r>
            <w:r w:rsidRPr="00123912">
              <w:rPr>
                <w:rFonts w:ascii="Verdana" w:hAnsi="Verdana" w:cs="Calibri"/>
                <w:sz w:val="20"/>
                <w:szCs w:val="20"/>
              </w:rPr>
              <w:t xml:space="preserve">Secrétaire général conformément à la décision 3d) de la Session extraordinaire du Conseil des ministres du 22 décembre 2022. </w:t>
            </w:r>
          </w:p>
          <w:p w14:paraId="3C85FF4B" w14:textId="4BD65524" w:rsidR="00934F28" w:rsidRPr="00B76BE0" w:rsidRDefault="00934F28">
            <w:pPr>
              <w:rPr>
                <w:rFonts w:ascii="Verdana" w:hAnsi="Verdana"/>
                <w:sz w:val="20"/>
                <w:szCs w:val="20"/>
              </w:rPr>
            </w:pPr>
          </w:p>
        </w:tc>
        <w:tc>
          <w:tcPr>
            <w:tcW w:w="5031" w:type="dxa"/>
          </w:tcPr>
          <w:p w14:paraId="0C42E703" w14:textId="40D936C3" w:rsidR="00934F28" w:rsidRDefault="00A57118" w:rsidP="000B2DE7">
            <w:pPr>
              <w:jc w:val="both"/>
              <w:rPr>
                <w:rFonts w:ascii="Verdana" w:hAnsi="Verdana"/>
                <w:sz w:val="20"/>
                <w:szCs w:val="20"/>
              </w:rPr>
            </w:pPr>
            <w:r>
              <w:rPr>
                <w:rFonts w:ascii="Verdana" w:hAnsi="Verdana"/>
                <w:sz w:val="20"/>
                <w:szCs w:val="20"/>
              </w:rPr>
              <w:lastRenderedPageBreak/>
              <w:t>a)</w:t>
            </w:r>
            <w:r w:rsidR="000B2DE7" w:rsidRPr="000B2DE7">
              <w:rPr>
                <w:rFonts w:ascii="Verdana" w:hAnsi="Verdana"/>
                <w:sz w:val="20"/>
                <w:szCs w:val="20"/>
              </w:rPr>
              <w:t>Conformément à la décision 6a) du Comité des OPL 02/2023, la note de compréhension collective, sur les priorités du comité sur la facilitation des affaires et précisant les propositions de gouvernance de cette instance a été rédigée par l’ensemble des directeurs généraux lors de la réunion annuelle des autorités douanières de l’océan Indien le 13 octobre 2023 et a été transmis au Secrétariat général de la COI le 27 février 2024</w:t>
            </w:r>
            <w:r w:rsidR="000B2DE7">
              <w:rPr>
                <w:rFonts w:ascii="Verdana" w:hAnsi="Verdana"/>
                <w:sz w:val="20"/>
                <w:szCs w:val="20"/>
              </w:rPr>
              <w:t>,</w:t>
            </w:r>
            <w:r w:rsidR="000B2DE7" w:rsidRPr="000B2DE7">
              <w:rPr>
                <w:rFonts w:ascii="Verdana" w:hAnsi="Verdana"/>
                <w:sz w:val="20"/>
                <w:szCs w:val="20"/>
              </w:rPr>
              <w:t xml:space="preserve"> est circulée, pour approbation des Etats-membres le 18 mars 2024. </w:t>
            </w:r>
            <w:r w:rsidR="000B2DE7">
              <w:rPr>
                <w:rFonts w:ascii="Verdana" w:hAnsi="Verdana"/>
                <w:sz w:val="20"/>
                <w:szCs w:val="20"/>
              </w:rPr>
              <w:t xml:space="preserve">Les directeurs généraux de la douane </w:t>
            </w:r>
            <w:r w:rsidRPr="000B2DE7">
              <w:rPr>
                <w:rFonts w:ascii="Verdana" w:hAnsi="Verdana"/>
                <w:sz w:val="20"/>
                <w:szCs w:val="20"/>
              </w:rPr>
              <w:t>propos</w:t>
            </w:r>
            <w:r>
              <w:rPr>
                <w:rFonts w:ascii="Verdana" w:hAnsi="Verdana"/>
                <w:sz w:val="20"/>
                <w:szCs w:val="20"/>
              </w:rPr>
              <w:t xml:space="preserve">ent </w:t>
            </w:r>
            <w:r w:rsidRPr="000B2DE7">
              <w:rPr>
                <w:rFonts w:ascii="Verdana" w:hAnsi="Verdana"/>
                <w:sz w:val="20"/>
                <w:szCs w:val="20"/>
              </w:rPr>
              <w:t>un</w:t>
            </w:r>
            <w:r w:rsidR="000B2DE7" w:rsidRPr="000B2DE7">
              <w:rPr>
                <w:rFonts w:ascii="Verdana" w:hAnsi="Verdana"/>
                <w:sz w:val="20"/>
                <w:szCs w:val="20"/>
              </w:rPr>
              <w:t xml:space="preserve"> lancement officiel de la création de l’instance permanente d’échange « le comité des douaniers » en marge de la conférence ministérielle sur la drogue, à Maurice le 25 avril 2024.</w:t>
            </w:r>
          </w:p>
          <w:p w14:paraId="7B9FA404" w14:textId="460D507A" w:rsidR="00A57118" w:rsidRPr="00B76BE0" w:rsidRDefault="00067C81" w:rsidP="000B2DE7">
            <w:pPr>
              <w:jc w:val="both"/>
              <w:rPr>
                <w:rFonts w:ascii="Verdana" w:hAnsi="Verdana"/>
                <w:sz w:val="20"/>
                <w:szCs w:val="20"/>
              </w:rPr>
            </w:pPr>
            <w:r>
              <w:rPr>
                <w:rFonts w:ascii="Verdana" w:hAnsi="Verdana"/>
                <w:sz w:val="20"/>
                <w:szCs w:val="20"/>
              </w:rPr>
              <w:t>c)</w:t>
            </w:r>
            <w:r>
              <w:t xml:space="preserve"> </w:t>
            </w:r>
            <w:r w:rsidRPr="00067C81">
              <w:rPr>
                <w:rFonts w:ascii="Verdana" w:hAnsi="Verdana"/>
                <w:sz w:val="20"/>
                <w:szCs w:val="20"/>
              </w:rPr>
              <w:t>Conformément à la décision 6</w:t>
            </w:r>
            <w:r>
              <w:rPr>
                <w:rFonts w:ascii="Verdana" w:hAnsi="Verdana"/>
                <w:sz w:val="20"/>
                <w:szCs w:val="20"/>
              </w:rPr>
              <w:t>c</w:t>
            </w:r>
            <w:r w:rsidRPr="00067C81">
              <w:rPr>
                <w:rFonts w:ascii="Verdana" w:hAnsi="Verdana"/>
                <w:sz w:val="20"/>
                <w:szCs w:val="20"/>
              </w:rPr>
              <w:t>) du Comité des OPL 02/2023</w:t>
            </w:r>
            <w:r>
              <w:rPr>
                <w:rFonts w:ascii="Verdana" w:hAnsi="Verdana"/>
                <w:sz w:val="20"/>
                <w:szCs w:val="20"/>
              </w:rPr>
              <w:t>, les projets de cadre de coopération avec COMESA, CBOI et l’APIOI</w:t>
            </w:r>
            <w:r w:rsidR="0019572C">
              <w:rPr>
                <w:rFonts w:ascii="Verdana" w:hAnsi="Verdana"/>
                <w:sz w:val="20"/>
                <w:szCs w:val="20"/>
              </w:rPr>
              <w:t xml:space="preserve"> ont été circulés pour consultation auprès des Etats membres, </w:t>
            </w:r>
            <w:r w:rsidR="0002567D">
              <w:rPr>
                <w:rFonts w:ascii="Verdana" w:hAnsi="Verdana"/>
                <w:sz w:val="20"/>
                <w:szCs w:val="20"/>
              </w:rPr>
              <w:t xml:space="preserve">ont été finalisés et transmis aux partenaires concernés. </w:t>
            </w:r>
            <w:r w:rsidR="00087924">
              <w:rPr>
                <w:rFonts w:ascii="Verdana" w:hAnsi="Verdana"/>
                <w:sz w:val="20"/>
                <w:szCs w:val="20"/>
              </w:rPr>
              <w:t>Ils sont prêts pour signature</w:t>
            </w:r>
            <w:r w:rsidR="00763BD6">
              <w:rPr>
                <w:rFonts w:ascii="Verdana" w:hAnsi="Verdana"/>
                <w:sz w:val="20"/>
                <w:szCs w:val="20"/>
              </w:rPr>
              <w:t xml:space="preserve">. </w:t>
            </w:r>
          </w:p>
        </w:tc>
        <w:tc>
          <w:tcPr>
            <w:tcW w:w="1978" w:type="dxa"/>
          </w:tcPr>
          <w:p w14:paraId="1A9B8D6E" w14:textId="77777777" w:rsidR="00934F28" w:rsidRDefault="00A57118">
            <w:pPr>
              <w:rPr>
                <w:rFonts w:ascii="Verdana" w:hAnsi="Verdana"/>
                <w:sz w:val="20"/>
                <w:szCs w:val="20"/>
              </w:rPr>
            </w:pPr>
            <w:r>
              <w:rPr>
                <w:rFonts w:ascii="Verdana" w:hAnsi="Verdana"/>
                <w:sz w:val="20"/>
                <w:szCs w:val="20"/>
              </w:rPr>
              <w:t>DI2</w:t>
            </w:r>
          </w:p>
          <w:p w14:paraId="38709C69" w14:textId="77777777" w:rsidR="00763BD6" w:rsidRDefault="00763BD6">
            <w:pPr>
              <w:rPr>
                <w:rFonts w:ascii="Verdana" w:hAnsi="Verdana"/>
                <w:sz w:val="20"/>
                <w:szCs w:val="20"/>
              </w:rPr>
            </w:pPr>
          </w:p>
          <w:p w14:paraId="0A8E2F1E" w14:textId="77777777" w:rsidR="00763BD6" w:rsidRDefault="00763BD6">
            <w:pPr>
              <w:rPr>
                <w:rFonts w:ascii="Verdana" w:hAnsi="Verdana"/>
                <w:sz w:val="20"/>
                <w:szCs w:val="20"/>
              </w:rPr>
            </w:pPr>
          </w:p>
          <w:p w14:paraId="5377EA63" w14:textId="77777777" w:rsidR="00763BD6" w:rsidRDefault="00763BD6">
            <w:pPr>
              <w:rPr>
                <w:rFonts w:ascii="Verdana" w:hAnsi="Verdana"/>
                <w:sz w:val="20"/>
                <w:szCs w:val="20"/>
              </w:rPr>
            </w:pPr>
          </w:p>
          <w:p w14:paraId="3995610F" w14:textId="77777777" w:rsidR="00763BD6" w:rsidRDefault="00763BD6">
            <w:pPr>
              <w:rPr>
                <w:rFonts w:ascii="Verdana" w:hAnsi="Verdana"/>
                <w:sz w:val="20"/>
                <w:szCs w:val="20"/>
              </w:rPr>
            </w:pPr>
          </w:p>
          <w:p w14:paraId="077B913C" w14:textId="77777777" w:rsidR="00763BD6" w:rsidRDefault="00763BD6">
            <w:pPr>
              <w:rPr>
                <w:rFonts w:ascii="Verdana" w:hAnsi="Verdana"/>
                <w:sz w:val="20"/>
                <w:szCs w:val="20"/>
              </w:rPr>
            </w:pPr>
          </w:p>
          <w:p w14:paraId="75D45821" w14:textId="77777777" w:rsidR="00763BD6" w:rsidRDefault="00763BD6">
            <w:pPr>
              <w:rPr>
                <w:rFonts w:ascii="Verdana" w:hAnsi="Verdana"/>
                <w:sz w:val="20"/>
                <w:szCs w:val="20"/>
              </w:rPr>
            </w:pPr>
          </w:p>
          <w:p w14:paraId="0AC8F077" w14:textId="77777777" w:rsidR="00763BD6" w:rsidRDefault="00763BD6">
            <w:pPr>
              <w:rPr>
                <w:rFonts w:ascii="Verdana" w:hAnsi="Verdana"/>
                <w:sz w:val="20"/>
                <w:szCs w:val="20"/>
              </w:rPr>
            </w:pPr>
          </w:p>
          <w:p w14:paraId="5FD9789D" w14:textId="77777777" w:rsidR="00763BD6" w:rsidRDefault="00763BD6">
            <w:pPr>
              <w:rPr>
                <w:rFonts w:ascii="Verdana" w:hAnsi="Verdana"/>
                <w:sz w:val="20"/>
                <w:szCs w:val="20"/>
              </w:rPr>
            </w:pPr>
          </w:p>
          <w:p w14:paraId="351EF97F" w14:textId="77777777" w:rsidR="00763BD6" w:rsidRDefault="00763BD6">
            <w:pPr>
              <w:rPr>
                <w:rFonts w:ascii="Verdana" w:hAnsi="Verdana"/>
                <w:sz w:val="20"/>
                <w:szCs w:val="20"/>
              </w:rPr>
            </w:pPr>
          </w:p>
          <w:p w14:paraId="0998DA69" w14:textId="77777777" w:rsidR="00763BD6" w:rsidRDefault="00763BD6">
            <w:pPr>
              <w:rPr>
                <w:rFonts w:ascii="Verdana" w:hAnsi="Verdana"/>
                <w:sz w:val="20"/>
                <w:szCs w:val="20"/>
              </w:rPr>
            </w:pPr>
          </w:p>
          <w:p w14:paraId="37F60DA2" w14:textId="77777777" w:rsidR="00763BD6" w:rsidRDefault="00763BD6">
            <w:pPr>
              <w:rPr>
                <w:rFonts w:ascii="Verdana" w:hAnsi="Verdana"/>
                <w:sz w:val="20"/>
                <w:szCs w:val="20"/>
              </w:rPr>
            </w:pPr>
          </w:p>
          <w:p w14:paraId="46975CAD" w14:textId="77777777" w:rsidR="00763BD6" w:rsidRDefault="00763BD6">
            <w:pPr>
              <w:rPr>
                <w:rFonts w:ascii="Verdana" w:hAnsi="Verdana"/>
                <w:sz w:val="20"/>
                <w:szCs w:val="20"/>
              </w:rPr>
            </w:pPr>
          </w:p>
          <w:p w14:paraId="0BFF3D9C" w14:textId="77777777" w:rsidR="00763BD6" w:rsidRDefault="00763BD6">
            <w:pPr>
              <w:rPr>
                <w:rFonts w:ascii="Verdana" w:hAnsi="Verdana"/>
                <w:sz w:val="20"/>
                <w:szCs w:val="20"/>
              </w:rPr>
            </w:pPr>
          </w:p>
          <w:p w14:paraId="30F76815" w14:textId="77777777" w:rsidR="00763BD6" w:rsidRDefault="00763BD6">
            <w:pPr>
              <w:rPr>
                <w:rFonts w:ascii="Verdana" w:hAnsi="Verdana"/>
                <w:sz w:val="20"/>
                <w:szCs w:val="20"/>
              </w:rPr>
            </w:pPr>
          </w:p>
          <w:p w14:paraId="7DFFC43C" w14:textId="77777777" w:rsidR="00763BD6" w:rsidRDefault="00763BD6">
            <w:pPr>
              <w:rPr>
                <w:rFonts w:ascii="Verdana" w:hAnsi="Verdana"/>
                <w:sz w:val="20"/>
                <w:szCs w:val="20"/>
              </w:rPr>
            </w:pPr>
          </w:p>
          <w:p w14:paraId="30745C14" w14:textId="77777777" w:rsidR="00763BD6" w:rsidRDefault="00763BD6">
            <w:pPr>
              <w:rPr>
                <w:rFonts w:ascii="Verdana" w:hAnsi="Verdana"/>
                <w:sz w:val="20"/>
                <w:szCs w:val="20"/>
              </w:rPr>
            </w:pPr>
          </w:p>
          <w:p w14:paraId="366425CA" w14:textId="126D1EBB" w:rsidR="00763BD6" w:rsidRPr="00B76BE0" w:rsidRDefault="00763BD6">
            <w:pPr>
              <w:rPr>
                <w:rFonts w:ascii="Verdana" w:hAnsi="Verdana"/>
                <w:sz w:val="20"/>
                <w:szCs w:val="20"/>
              </w:rPr>
            </w:pPr>
            <w:r>
              <w:rPr>
                <w:rFonts w:ascii="Verdana" w:hAnsi="Verdana"/>
                <w:sz w:val="20"/>
                <w:szCs w:val="20"/>
              </w:rPr>
              <w:t>DI2</w:t>
            </w:r>
          </w:p>
        </w:tc>
        <w:tc>
          <w:tcPr>
            <w:tcW w:w="2037" w:type="dxa"/>
          </w:tcPr>
          <w:p w14:paraId="3B0A856F" w14:textId="05FA8AFA" w:rsidR="00934F28" w:rsidRPr="00B76BE0" w:rsidRDefault="00A57118">
            <w:pPr>
              <w:rPr>
                <w:rFonts w:ascii="Verdana" w:hAnsi="Verdana"/>
                <w:sz w:val="20"/>
                <w:szCs w:val="20"/>
              </w:rPr>
            </w:pPr>
            <w:r>
              <w:rPr>
                <w:rFonts w:ascii="Verdana" w:hAnsi="Verdana"/>
                <w:sz w:val="20"/>
                <w:szCs w:val="20"/>
              </w:rPr>
              <w:t>29/03/2024</w:t>
            </w:r>
          </w:p>
        </w:tc>
      </w:tr>
      <w:tr w:rsidR="00934F28" w:rsidRPr="00B76BE0" w14:paraId="22FD3771" w14:textId="77777777" w:rsidTr="23285676">
        <w:tc>
          <w:tcPr>
            <w:tcW w:w="5474" w:type="dxa"/>
          </w:tcPr>
          <w:p w14:paraId="5CE31E48" w14:textId="77777777" w:rsidR="001D60E2" w:rsidRPr="00F23522" w:rsidRDefault="001D60E2" w:rsidP="001D60E2">
            <w:pPr>
              <w:spacing w:after="120" w:line="276" w:lineRule="auto"/>
              <w:jc w:val="center"/>
              <w:rPr>
                <w:rFonts w:ascii="Verdana" w:hAnsi="Verdana"/>
                <w:b/>
                <w:bCs/>
                <w:sz w:val="20"/>
                <w:szCs w:val="20"/>
              </w:rPr>
            </w:pPr>
            <w:r w:rsidRPr="00F23522">
              <w:rPr>
                <w:rFonts w:ascii="Verdana" w:hAnsi="Verdana"/>
                <w:b/>
                <w:bCs/>
                <w:sz w:val="20"/>
                <w:szCs w:val="20"/>
              </w:rPr>
              <w:t xml:space="preserve">Décision 7. </w:t>
            </w:r>
            <w:r>
              <w:rPr>
                <w:rFonts w:ascii="Verdana" w:hAnsi="Verdana"/>
                <w:b/>
                <w:bCs/>
                <w:sz w:val="20"/>
                <w:szCs w:val="20"/>
              </w:rPr>
              <w:t>Conférence ministérielle sur l’économie circulaire et suite à donner</w:t>
            </w:r>
          </w:p>
          <w:p w14:paraId="100DA6D9" w14:textId="77777777" w:rsidR="001D60E2" w:rsidRPr="004F5C4B" w:rsidRDefault="001D60E2" w:rsidP="001D60E2">
            <w:pPr>
              <w:pStyle w:val="Paragraphe"/>
            </w:pPr>
            <w:r>
              <w:t xml:space="preserve">Conscient de l’importance d’accélérer le processus de la promotion de l’économie circulaire, le </w:t>
            </w:r>
            <w:r w:rsidRPr="004F5C4B">
              <w:t>Comité des OPL</w:t>
            </w:r>
            <w:r>
              <w:t> :</w:t>
            </w:r>
          </w:p>
          <w:p w14:paraId="76C67B84" w14:textId="77777777" w:rsidR="001D60E2" w:rsidRPr="00582173" w:rsidRDefault="001D60E2" w:rsidP="001D60E2">
            <w:pPr>
              <w:pStyle w:val="Paragraphedeliste"/>
              <w:numPr>
                <w:ilvl w:val="0"/>
                <w:numId w:val="31"/>
              </w:numPr>
              <w:ind w:left="714" w:hanging="357"/>
              <w:contextualSpacing w:val="0"/>
              <w:jc w:val="both"/>
              <w:rPr>
                <w:rFonts w:ascii="Verdana" w:hAnsi="Verdana" w:cs="Calibri"/>
                <w:sz w:val="20"/>
                <w:szCs w:val="20"/>
              </w:rPr>
            </w:pPr>
            <w:r>
              <w:rPr>
                <w:rFonts w:ascii="Verdana" w:hAnsi="Verdana" w:cs="Calibri"/>
                <w:sz w:val="20"/>
                <w:szCs w:val="20"/>
              </w:rPr>
              <w:t>Demande au</w:t>
            </w:r>
            <w:r w:rsidRPr="00582173">
              <w:rPr>
                <w:rFonts w:ascii="Verdana" w:hAnsi="Verdana" w:cs="Calibri"/>
                <w:sz w:val="20"/>
                <w:szCs w:val="20"/>
              </w:rPr>
              <w:t xml:space="preserve"> Secréta</w:t>
            </w:r>
            <w:r>
              <w:rPr>
                <w:rFonts w:ascii="Verdana" w:hAnsi="Verdana" w:cs="Calibri"/>
                <w:sz w:val="20"/>
                <w:szCs w:val="20"/>
              </w:rPr>
              <w:t>riat</w:t>
            </w:r>
            <w:r w:rsidRPr="00582173">
              <w:rPr>
                <w:rFonts w:ascii="Verdana" w:hAnsi="Verdana" w:cs="Calibri"/>
                <w:sz w:val="20"/>
                <w:szCs w:val="20"/>
              </w:rPr>
              <w:t xml:space="preserve"> général</w:t>
            </w:r>
            <w:r>
              <w:rPr>
                <w:rFonts w:ascii="Verdana" w:hAnsi="Verdana" w:cs="Calibri"/>
                <w:sz w:val="20"/>
                <w:szCs w:val="20"/>
              </w:rPr>
              <w:t xml:space="preserve"> de rechercher des </w:t>
            </w:r>
            <w:r w:rsidRPr="00582173">
              <w:rPr>
                <w:rFonts w:ascii="Verdana" w:hAnsi="Verdana" w:cs="Calibri"/>
                <w:sz w:val="20"/>
                <w:szCs w:val="20"/>
              </w:rPr>
              <w:t>partena</w:t>
            </w:r>
            <w:r>
              <w:rPr>
                <w:rFonts w:ascii="Verdana" w:hAnsi="Verdana" w:cs="Calibri"/>
                <w:sz w:val="20"/>
                <w:szCs w:val="20"/>
              </w:rPr>
              <w:t>riats</w:t>
            </w:r>
            <w:r w:rsidRPr="00582173">
              <w:rPr>
                <w:rFonts w:ascii="Verdana" w:hAnsi="Verdana" w:cs="Calibri"/>
                <w:sz w:val="20"/>
                <w:szCs w:val="20"/>
              </w:rPr>
              <w:t xml:space="preserve"> </w:t>
            </w:r>
            <w:r>
              <w:rPr>
                <w:rFonts w:ascii="Verdana" w:hAnsi="Verdana" w:cs="Calibri"/>
                <w:sz w:val="20"/>
                <w:szCs w:val="20"/>
              </w:rPr>
              <w:t xml:space="preserve">en vue </w:t>
            </w:r>
            <w:r w:rsidRPr="00582173">
              <w:rPr>
                <w:rFonts w:ascii="Verdana" w:hAnsi="Verdana" w:cs="Calibri"/>
                <w:sz w:val="20"/>
                <w:szCs w:val="20"/>
              </w:rPr>
              <w:t>d’un programme régional sur l’économie bleue et circulaire</w:t>
            </w:r>
            <w:r>
              <w:rPr>
                <w:rFonts w:ascii="Verdana" w:hAnsi="Verdana" w:cs="Calibri"/>
                <w:sz w:val="20"/>
                <w:szCs w:val="20"/>
              </w:rPr>
              <w:t xml:space="preserve"> participant à</w:t>
            </w:r>
            <w:r w:rsidRPr="00582173">
              <w:rPr>
                <w:rFonts w:ascii="Verdana" w:hAnsi="Verdana" w:cs="Calibri"/>
                <w:sz w:val="20"/>
                <w:szCs w:val="20"/>
              </w:rPr>
              <w:t xml:space="preserve"> la mise en œuvre de la Déclaration </w:t>
            </w:r>
            <w:r>
              <w:rPr>
                <w:rFonts w:ascii="Verdana" w:hAnsi="Verdana" w:cs="Calibri"/>
                <w:sz w:val="20"/>
                <w:szCs w:val="20"/>
              </w:rPr>
              <w:t>m</w:t>
            </w:r>
            <w:r w:rsidRPr="00582173">
              <w:rPr>
                <w:rFonts w:ascii="Verdana" w:hAnsi="Verdana" w:cs="Calibri"/>
                <w:sz w:val="20"/>
                <w:szCs w:val="20"/>
              </w:rPr>
              <w:t>inistérielle sur l’économie</w:t>
            </w:r>
            <w:r>
              <w:rPr>
                <w:rFonts w:ascii="Verdana" w:hAnsi="Verdana" w:cs="Calibri"/>
                <w:sz w:val="20"/>
                <w:szCs w:val="20"/>
              </w:rPr>
              <w:t xml:space="preserve"> bleue</w:t>
            </w:r>
            <w:r w:rsidRPr="00582173">
              <w:rPr>
                <w:rFonts w:ascii="Verdana" w:hAnsi="Verdana" w:cs="Calibri"/>
                <w:sz w:val="20"/>
                <w:szCs w:val="20"/>
              </w:rPr>
              <w:t xml:space="preserve"> et circulaire</w:t>
            </w:r>
            <w:r>
              <w:rPr>
                <w:rFonts w:ascii="Verdana" w:hAnsi="Verdana" w:cs="Calibri"/>
                <w:sz w:val="20"/>
                <w:szCs w:val="20"/>
              </w:rPr>
              <w:t xml:space="preserve"> et d’en faire le point aux prochaines réunions des instances ;</w:t>
            </w:r>
            <w:r w:rsidRPr="00582173">
              <w:rPr>
                <w:rFonts w:ascii="Verdana" w:hAnsi="Verdana" w:cs="Calibri"/>
                <w:sz w:val="20"/>
                <w:szCs w:val="20"/>
              </w:rPr>
              <w:t xml:space="preserve"> </w:t>
            </w:r>
          </w:p>
          <w:p w14:paraId="377D68FF" w14:textId="77777777" w:rsidR="001D60E2" w:rsidRDefault="001D60E2" w:rsidP="001D60E2">
            <w:pPr>
              <w:pStyle w:val="Paragraphedeliste"/>
              <w:numPr>
                <w:ilvl w:val="0"/>
                <w:numId w:val="31"/>
              </w:numPr>
              <w:ind w:left="714" w:hanging="357"/>
              <w:contextualSpacing w:val="0"/>
              <w:jc w:val="both"/>
              <w:rPr>
                <w:rFonts w:ascii="Verdana" w:hAnsi="Verdana" w:cs="Calibri"/>
                <w:sz w:val="20"/>
                <w:szCs w:val="20"/>
              </w:rPr>
            </w:pPr>
            <w:r w:rsidRPr="000749A5">
              <w:rPr>
                <w:rFonts w:ascii="Verdana" w:hAnsi="Verdana" w:cs="Calibri"/>
                <w:sz w:val="20"/>
                <w:szCs w:val="20"/>
              </w:rPr>
              <w:t xml:space="preserve">Demande </w:t>
            </w:r>
            <w:r>
              <w:rPr>
                <w:rFonts w:ascii="Verdana" w:hAnsi="Verdana" w:cs="Calibri"/>
                <w:sz w:val="20"/>
                <w:szCs w:val="20"/>
              </w:rPr>
              <w:t>au</w:t>
            </w:r>
            <w:r w:rsidRPr="000749A5">
              <w:rPr>
                <w:rFonts w:ascii="Verdana" w:hAnsi="Verdana" w:cs="Calibri"/>
                <w:sz w:val="20"/>
                <w:szCs w:val="20"/>
              </w:rPr>
              <w:t xml:space="preserve"> Secrétariat général</w:t>
            </w:r>
            <w:r>
              <w:rPr>
                <w:rFonts w:ascii="Verdana" w:hAnsi="Verdana" w:cs="Calibri"/>
                <w:sz w:val="20"/>
                <w:szCs w:val="20"/>
              </w:rPr>
              <w:t>, en consultation avec les Etats membres,</w:t>
            </w:r>
            <w:r w:rsidRPr="000749A5">
              <w:rPr>
                <w:rFonts w:ascii="Verdana" w:hAnsi="Verdana" w:cs="Calibri"/>
                <w:sz w:val="20"/>
                <w:szCs w:val="20"/>
              </w:rPr>
              <w:t xml:space="preserve"> de faciliter la mise en place </w:t>
            </w:r>
            <w:r>
              <w:rPr>
                <w:rFonts w:ascii="Verdana" w:hAnsi="Verdana" w:cs="Calibri"/>
                <w:sz w:val="20"/>
                <w:szCs w:val="20"/>
              </w:rPr>
              <w:t>d’un</w:t>
            </w:r>
            <w:r w:rsidRPr="000749A5">
              <w:rPr>
                <w:rFonts w:ascii="Verdana" w:hAnsi="Verdana" w:cs="Calibri"/>
                <w:sz w:val="20"/>
                <w:szCs w:val="20"/>
              </w:rPr>
              <w:t xml:space="preserve"> mécanisme de coopération régionale </w:t>
            </w:r>
            <w:r>
              <w:rPr>
                <w:rFonts w:ascii="Verdana" w:hAnsi="Verdana" w:cs="Calibri"/>
                <w:sz w:val="20"/>
                <w:szCs w:val="20"/>
              </w:rPr>
              <w:t>chargé d’</w:t>
            </w:r>
            <w:r w:rsidRPr="000749A5">
              <w:rPr>
                <w:rFonts w:ascii="Verdana" w:hAnsi="Verdana" w:cs="Calibri"/>
                <w:sz w:val="20"/>
                <w:szCs w:val="20"/>
              </w:rPr>
              <w:t>examiner les implication</w:t>
            </w:r>
            <w:r>
              <w:rPr>
                <w:rFonts w:ascii="Verdana" w:hAnsi="Verdana" w:cs="Calibri"/>
                <w:sz w:val="20"/>
                <w:szCs w:val="20"/>
              </w:rPr>
              <w:t>s</w:t>
            </w:r>
            <w:r w:rsidRPr="000749A5">
              <w:rPr>
                <w:rFonts w:ascii="Verdana" w:hAnsi="Verdana" w:cs="Calibri"/>
                <w:sz w:val="20"/>
                <w:szCs w:val="20"/>
              </w:rPr>
              <w:t xml:space="preserve"> légales, techniques, environnementales et financières d’un plan pour permettre la circulation des déchets pneumatiques, électriques et électroniques entre les îles</w:t>
            </w:r>
            <w:r>
              <w:rPr>
                <w:rFonts w:ascii="Verdana" w:hAnsi="Verdana" w:cs="Calibri"/>
                <w:sz w:val="20"/>
                <w:szCs w:val="20"/>
              </w:rPr>
              <w:t xml:space="preserve"> comme stipulé dans la Déclaration ministérielle AIODIS ;</w:t>
            </w:r>
          </w:p>
          <w:p w14:paraId="6131C3CB" w14:textId="77777777" w:rsidR="001D60E2" w:rsidRPr="00D8048D" w:rsidRDefault="001D60E2" w:rsidP="001D60E2">
            <w:pPr>
              <w:pStyle w:val="Sous-partie2"/>
              <w:numPr>
                <w:ilvl w:val="0"/>
                <w:numId w:val="31"/>
              </w:numPr>
              <w:rPr>
                <w:color w:val="auto"/>
              </w:rPr>
            </w:pPr>
            <w:r>
              <w:rPr>
                <w:color w:val="auto"/>
              </w:rPr>
              <w:t xml:space="preserve">Encourage le Secrétariat général </w:t>
            </w:r>
            <w:r w:rsidRPr="002A7E67">
              <w:rPr>
                <w:color w:val="auto"/>
              </w:rPr>
              <w:t xml:space="preserve">à poursuivre son plaidoyer au bénéfice de l’ensemble des Etats insulaires d’Afrique et de l’océan Indien, à saisir les occasions des foras régionaux et internationaux pour promouvoir nos positions en faveur de l’économie circulaire et à nouer un dialogue confiant avec la communauté des partenaires au développement, notamment </w:t>
            </w:r>
            <w:r w:rsidRPr="002A7E67">
              <w:rPr>
                <w:color w:val="auto"/>
              </w:rPr>
              <w:lastRenderedPageBreak/>
              <w:t xml:space="preserve">avec la Banque mondiale, en vue de la mobilisation de ressources additionnelles en soutien </w:t>
            </w:r>
            <w:r>
              <w:rPr>
                <w:color w:val="auto"/>
              </w:rPr>
              <w:t xml:space="preserve">aux initiatives régionales </w:t>
            </w:r>
            <w:r w:rsidRPr="002A7E67">
              <w:rPr>
                <w:color w:val="auto"/>
              </w:rPr>
              <w:t>en faveur de l’économie circulaire</w:t>
            </w:r>
            <w:r>
              <w:rPr>
                <w:color w:val="auto"/>
              </w:rPr>
              <w:t>.</w:t>
            </w:r>
          </w:p>
          <w:p w14:paraId="4D3135B0" w14:textId="77777777" w:rsidR="001D60E2" w:rsidRPr="001E688F" w:rsidRDefault="001D60E2" w:rsidP="001D60E2">
            <w:pPr>
              <w:pStyle w:val="Paragraphedeliste"/>
              <w:numPr>
                <w:ilvl w:val="0"/>
                <w:numId w:val="31"/>
              </w:numPr>
              <w:jc w:val="both"/>
              <w:rPr>
                <w:rFonts w:ascii="Verdana" w:hAnsi="Verdana" w:cs="Calibri"/>
                <w:sz w:val="20"/>
                <w:szCs w:val="20"/>
              </w:rPr>
            </w:pPr>
            <w:r>
              <w:rPr>
                <w:rFonts w:ascii="Verdana" w:hAnsi="Verdana" w:cs="Calibri"/>
                <w:sz w:val="20"/>
                <w:szCs w:val="20"/>
              </w:rPr>
              <w:t xml:space="preserve">Demande au </w:t>
            </w:r>
            <w:r w:rsidRPr="001E688F">
              <w:rPr>
                <w:rFonts w:ascii="Verdana" w:hAnsi="Verdana" w:cs="Calibri"/>
                <w:sz w:val="20"/>
                <w:szCs w:val="20"/>
              </w:rPr>
              <w:t xml:space="preserve">Secrétariat général </w:t>
            </w:r>
            <w:r>
              <w:rPr>
                <w:rFonts w:ascii="Verdana" w:hAnsi="Verdana" w:cs="Calibri"/>
                <w:sz w:val="20"/>
                <w:szCs w:val="20"/>
              </w:rPr>
              <w:t xml:space="preserve">de mobiliser les partenaires au développement </w:t>
            </w:r>
            <w:r w:rsidRPr="001E688F">
              <w:rPr>
                <w:rFonts w:ascii="Verdana" w:hAnsi="Verdana" w:cs="Calibri"/>
                <w:sz w:val="20"/>
                <w:szCs w:val="20"/>
              </w:rPr>
              <w:t xml:space="preserve">pour la mise en place d’un </w:t>
            </w:r>
            <w:r>
              <w:rPr>
                <w:rFonts w:ascii="Verdana" w:hAnsi="Verdana" w:cs="Calibri"/>
                <w:sz w:val="20"/>
                <w:szCs w:val="20"/>
              </w:rPr>
              <w:t>dispositif</w:t>
            </w:r>
            <w:r w:rsidRPr="001E688F">
              <w:rPr>
                <w:rFonts w:ascii="Verdana" w:hAnsi="Verdana" w:cs="Calibri"/>
                <w:sz w:val="20"/>
                <w:szCs w:val="20"/>
              </w:rPr>
              <w:t xml:space="preserve"> régional de financement et d’accompagnement approprié pour les entrepreneurs et innovateurs, notamment les jeunes et </w:t>
            </w:r>
            <w:r>
              <w:rPr>
                <w:rFonts w:ascii="Verdana" w:hAnsi="Verdana" w:cs="Calibri"/>
                <w:sz w:val="20"/>
                <w:szCs w:val="20"/>
              </w:rPr>
              <w:t>l</w:t>
            </w:r>
            <w:r w:rsidRPr="001E688F">
              <w:rPr>
                <w:rFonts w:ascii="Verdana" w:hAnsi="Verdana" w:cs="Calibri"/>
                <w:sz w:val="20"/>
                <w:szCs w:val="20"/>
              </w:rPr>
              <w:t xml:space="preserve">es femmes, </w:t>
            </w:r>
            <w:r>
              <w:rPr>
                <w:rFonts w:ascii="Verdana" w:hAnsi="Verdana" w:cs="Calibri"/>
                <w:sz w:val="20"/>
                <w:szCs w:val="20"/>
              </w:rPr>
              <w:t>dans le domaine de l’économie circulaire</w:t>
            </w:r>
            <w:r w:rsidRPr="001E688F">
              <w:rPr>
                <w:rFonts w:ascii="Verdana" w:hAnsi="Verdana" w:cs="Calibri"/>
                <w:sz w:val="20"/>
                <w:szCs w:val="20"/>
              </w:rPr>
              <w:t xml:space="preserve">. </w:t>
            </w:r>
          </w:p>
          <w:p w14:paraId="2D854E60" w14:textId="2064FA4D" w:rsidR="00934F28" w:rsidRPr="00B76BE0" w:rsidRDefault="00934F28">
            <w:pPr>
              <w:rPr>
                <w:rFonts w:ascii="Verdana" w:hAnsi="Verdana"/>
                <w:sz w:val="20"/>
                <w:szCs w:val="20"/>
              </w:rPr>
            </w:pPr>
          </w:p>
        </w:tc>
        <w:tc>
          <w:tcPr>
            <w:tcW w:w="5031" w:type="dxa"/>
          </w:tcPr>
          <w:p w14:paraId="291A6E92" w14:textId="4DA0048D" w:rsidR="00314280" w:rsidRPr="00314280" w:rsidRDefault="00314280" w:rsidP="00314280">
            <w:pPr>
              <w:jc w:val="both"/>
              <w:rPr>
                <w:rFonts w:ascii="Verdana" w:hAnsi="Verdana"/>
                <w:sz w:val="20"/>
                <w:szCs w:val="20"/>
              </w:rPr>
            </w:pPr>
            <w:r w:rsidRPr="23285676">
              <w:rPr>
                <w:rFonts w:ascii="Verdana" w:hAnsi="Verdana"/>
                <w:sz w:val="20"/>
                <w:szCs w:val="20"/>
              </w:rPr>
              <w:lastRenderedPageBreak/>
              <w:t>a)</w:t>
            </w:r>
            <w:r>
              <w:t xml:space="preserve"> </w:t>
            </w:r>
            <w:r w:rsidRPr="23285676">
              <w:rPr>
                <w:rFonts w:ascii="Verdana" w:hAnsi="Verdana"/>
                <w:sz w:val="20"/>
                <w:szCs w:val="20"/>
              </w:rPr>
              <w:t>Conformément à la décision 7b) du Comité des OPL des 21 et 22 novembre 2023, le secrétariat général a initié</w:t>
            </w:r>
            <w:r w:rsidR="00D654D4" w:rsidRPr="23285676">
              <w:rPr>
                <w:rFonts w:ascii="Verdana" w:hAnsi="Verdana"/>
                <w:sz w:val="20"/>
                <w:szCs w:val="20"/>
              </w:rPr>
              <w:t>, d’une part,</w:t>
            </w:r>
            <w:r w:rsidRPr="23285676">
              <w:rPr>
                <w:rFonts w:ascii="Verdana" w:hAnsi="Verdana"/>
                <w:sz w:val="20"/>
                <w:szCs w:val="20"/>
              </w:rPr>
              <w:t xml:space="preserve"> une démarche </w:t>
            </w:r>
            <w:r w:rsidR="009C7F90" w:rsidRPr="23285676">
              <w:rPr>
                <w:rFonts w:ascii="Verdana" w:hAnsi="Verdana"/>
                <w:sz w:val="20"/>
                <w:szCs w:val="20"/>
              </w:rPr>
              <w:t>de demande de soutien de l’UNECA pour l’élaboration d’un</w:t>
            </w:r>
            <w:r w:rsidRPr="23285676">
              <w:rPr>
                <w:rFonts w:ascii="Verdana" w:hAnsi="Verdana"/>
                <w:sz w:val="20"/>
                <w:szCs w:val="20"/>
              </w:rPr>
              <w:t xml:space="preserve"> </w:t>
            </w:r>
            <w:r w:rsidR="009C7F90" w:rsidRPr="23285676">
              <w:rPr>
                <w:rFonts w:ascii="Verdana" w:hAnsi="Verdana"/>
                <w:sz w:val="20"/>
                <w:szCs w:val="20"/>
              </w:rPr>
              <w:t xml:space="preserve">plan d’action </w:t>
            </w:r>
            <w:r w:rsidRPr="23285676">
              <w:rPr>
                <w:rFonts w:ascii="Verdana" w:hAnsi="Verdana"/>
                <w:sz w:val="20"/>
                <w:szCs w:val="20"/>
              </w:rPr>
              <w:t xml:space="preserve">régional </w:t>
            </w:r>
            <w:r w:rsidR="009913B8" w:rsidRPr="23285676">
              <w:rPr>
                <w:rFonts w:ascii="Verdana" w:hAnsi="Verdana"/>
                <w:sz w:val="20"/>
                <w:szCs w:val="20"/>
              </w:rPr>
              <w:t xml:space="preserve">de </w:t>
            </w:r>
            <w:r w:rsidRPr="23285676">
              <w:rPr>
                <w:rFonts w:ascii="Verdana" w:hAnsi="Verdana"/>
                <w:sz w:val="20"/>
                <w:szCs w:val="20"/>
              </w:rPr>
              <w:t xml:space="preserve">l’économie </w:t>
            </w:r>
            <w:r w:rsidR="009C7F90" w:rsidRPr="23285676">
              <w:rPr>
                <w:rFonts w:ascii="Verdana" w:hAnsi="Verdana"/>
                <w:sz w:val="20"/>
                <w:szCs w:val="20"/>
              </w:rPr>
              <w:t>circulaire</w:t>
            </w:r>
            <w:r w:rsidR="00020248" w:rsidRPr="23285676">
              <w:rPr>
                <w:rFonts w:ascii="Verdana" w:hAnsi="Verdana"/>
                <w:sz w:val="20"/>
                <w:szCs w:val="20"/>
              </w:rPr>
              <w:t>, sur la base du plan d’action continental de l’é</w:t>
            </w:r>
            <w:r w:rsidR="009913B8" w:rsidRPr="23285676">
              <w:rPr>
                <w:rFonts w:ascii="Verdana" w:hAnsi="Verdana"/>
                <w:sz w:val="20"/>
                <w:szCs w:val="20"/>
              </w:rPr>
              <w:t xml:space="preserve">conomie circulaire </w:t>
            </w:r>
            <w:r w:rsidR="00F7320D" w:rsidRPr="23285676">
              <w:rPr>
                <w:rFonts w:ascii="Verdana" w:hAnsi="Verdana"/>
                <w:sz w:val="20"/>
                <w:szCs w:val="20"/>
              </w:rPr>
              <w:t xml:space="preserve">et œuvre de la Déclaration ministérielle sur l’économie bleue et circulaire des Etats insulaires d’Afrique et de l’océan Indien. </w:t>
            </w:r>
            <w:r w:rsidR="00D654D4" w:rsidRPr="23285676">
              <w:rPr>
                <w:rFonts w:ascii="Verdana" w:hAnsi="Verdana"/>
                <w:sz w:val="20"/>
                <w:szCs w:val="20"/>
              </w:rPr>
              <w:t xml:space="preserve">D’autre part, un plaidoyer a été porté auprès des Délégations de l’Union Européenne à </w:t>
            </w:r>
            <w:r w:rsidR="000E35E5" w:rsidRPr="23285676">
              <w:rPr>
                <w:rFonts w:ascii="Verdana" w:hAnsi="Verdana"/>
                <w:sz w:val="20"/>
                <w:szCs w:val="20"/>
              </w:rPr>
              <w:t>Zambie et à Maurice de tenir compte des priorités de la région Océan Indien</w:t>
            </w:r>
            <w:r w:rsidR="00456B24" w:rsidRPr="23285676">
              <w:rPr>
                <w:rFonts w:ascii="Verdana" w:hAnsi="Verdana"/>
                <w:sz w:val="20"/>
                <w:szCs w:val="20"/>
              </w:rPr>
              <w:t xml:space="preserve"> et de permettre à la COI de soumettre un programme régional sur l’économie circulaire des Etats insulaires,</w:t>
            </w:r>
            <w:r w:rsidR="000E35E5" w:rsidRPr="23285676">
              <w:rPr>
                <w:rFonts w:ascii="Verdana" w:hAnsi="Verdana"/>
                <w:sz w:val="20"/>
                <w:szCs w:val="20"/>
              </w:rPr>
              <w:t xml:space="preserve"> </w:t>
            </w:r>
            <w:r w:rsidR="00456B24" w:rsidRPr="23285676">
              <w:rPr>
                <w:rFonts w:ascii="Verdana" w:hAnsi="Verdana"/>
                <w:sz w:val="20"/>
                <w:szCs w:val="20"/>
              </w:rPr>
              <w:t xml:space="preserve">lors du prochain </w:t>
            </w:r>
            <w:r w:rsidR="00F066BD" w:rsidRPr="23285676">
              <w:rPr>
                <w:rFonts w:ascii="Verdana" w:hAnsi="Verdana"/>
                <w:sz w:val="20"/>
                <w:szCs w:val="20"/>
              </w:rPr>
              <w:t>lancement</w:t>
            </w:r>
            <w:r w:rsidR="00456B24" w:rsidRPr="23285676">
              <w:rPr>
                <w:rFonts w:ascii="Verdana" w:hAnsi="Verdana"/>
                <w:sz w:val="20"/>
                <w:szCs w:val="20"/>
              </w:rPr>
              <w:t xml:space="preserve"> </w:t>
            </w:r>
            <w:r w:rsidR="00F066BD" w:rsidRPr="23285676">
              <w:rPr>
                <w:rFonts w:ascii="Verdana" w:hAnsi="Verdana"/>
                <w:sz w:val="20"/>
                <w:szCs w:val="20"/>
              </w:rPr>
              <w:t>« SWITCH vers l'économie circulaire en Afrique de l'Est et du Sud (SWITCH-2-CE en ESA)" »</w:t>
            </w:r>
            <w:r w:rsidR="00070499" w:rsidRPr="23285676">
              <w:rPr>
                <w:rFonts w:ascii="Verdana" w:hAnsi="Verdana"/>
                <w:sz w:val="20"/>
                <w:szCs w:val="20"/>
              </w:rPr>
              <w:t xml:space="preserve">, en sachant que les 4 Etats membres de la COI dont Comores, Madagascar, Maurice et Seychelles sont aussi membres du COMESA et </w:t>
            </w:r>
            <w:r w:rsidR="00F61236" w:rsidRPr="23285676">
              <w:rPr>
                <w:rFonts w:ascii="Verdana" w:hAnsi="Verdana"/>
                <w:sz w:val="20"/>
                <w:szCs w:val="20"/>
              </w:rPr>
              <w:t xml:space="preserve">SADC. </w:t>
            </w:r>
          </w:p>
          <w:p w14:paraId="1F0B2850" w14:textId="6B3DE276" w:rsidR="23285676" w:rsidRDefault="23285676" w:rsidP="23285676">
            <w:pPr>
              <w:jc w:val="both"/>
              <w:rPr>
                <w:rFonts w:ascii="Verdana" w:hAnsi="Verdana"/>
                <w:sz w:val="20"/>
                <w:szCs w:val="20"/>
              </w:rPr>
            </w:pPr>
          </w:p>
          <w:p w14:paraId="797B381D" w14:textId="77777777" w:rsidR="00314280" w:rsidRDefault="00314280" w:rsidP="00CB1F08">
            <w:pPr>
              <w:jc w:val="both"/>
              <w:rPr>
                <w:rFonts w:ascii="Verdana" w:hAnsi="Verdana"/>
                <w:sz w:val="20"/>
                <w:szCs w:val="20"/>
              </w:rPr>
            </w:pPr>
          </w:p>
          <w:p w14:paraId="6AB0A493" w14:textId="218AE9B3" w:rsidR="00934F28" w:rsidRDefault="001A45F4" w:rsidP="00CB1F08">
            <w:pPr>
              <w:jc w:val="both"/>
              <w:rPr>
                <w:rFonts w:ascii="Verdana" w:hAnsi="Verdana"/>
                <w:sz w:val="20"/>
                <w:szCs w:val="20"/>
              </w:rPr>
            </w:pPr>
            <w:r>
              <w:rPr>
                <w:rFonts w:ascii="Verdana" w:hAnsi="Verdana"/>
                <w:sz w:val="20"/>
                <w:szCs w:val="20"/>
              </w:rPr>
              <w:t>c</w:t>
            </w:r>
            <w:r w:rsidR="00314280">
              <w:rPr>
                <w:rFonts w:ascii="Verdana" w:hAnsi="Verdana"/>
                <w:sz w:val="20"/>
                <w:szCs w:val="20"/>
              </w:rPr>
              <w:t>)</w:t>
            </w:r>
            <w:r w:rsidR="00CB1F08" w:rsidRPr="00CB1F08">
              <w:rPr>
                <w:rFonts w:ascii="Verdana" w:hAnsi="Verdana"/>
                <w:sz w:val="20"/>
                <w:szCs w:val="20"/>
              </w:rPr>
              <w:t xml:space="preserve">Conformément à la décision 7b) du Comité des OPL des 21 et 22 novembre 2023, le secrétariat général a initié des discussions avec la Région Réunion, pour le portage d’une proposition de projet de coopération régionale de « promotion de la chaîne de valeur régionale des déchets pneumatiques et des déchets </w:t>
            </w:r>
            <w:r w:rsidR="00CB1F08" w:rsidRPr="00CB1F08">
              <w:rPr>
                <w:rFonts w:ascii="Verdana" w:hAnsi="Verdana"/>
                <w:sz w:val="20"/>
                <w:szCs w:val="20"/>
              </w:rPr>
              <w:lastRenderedPageBreak/>
              <w:t xml:space="preserve">électroniques et électriques » au titre de la fiche action 2.3 du Programme INTERREG VI océan Indien 2021-2027 en partenariat avec la COI, selon la feuille de route établie avec les parties prenantes en septembre 2023.  </w:t>
            </w:r>
          </w:p>
          <w:p w14:paraId="1FBBA5E3" w14:textId="77777777" w:rsidR="00FA2650" w:rsidRDefault="00FA2650" w:rsidP="00CB1F08">
            <w:pPr>
              <w:jc w:val="both"/>
              <w:rPr>
                <w:rFonts w:ascii="Verdana" w:hAnsi="Verdana"/>
                <w:sz w:val="20"/>
                <w:szCs w:val="20"/>
              </w:rPr>
            </w:pPr>
          </w:p>
          <w:p w14:paraId="6E1C7783" w14:textId="7610B1A0" w:rsidR="00F61236" w:rsidRPr="00B76BE0" w:rsidRDefault="00F61236" w:rsidP="00CB1F08">
            <w:pPr>
              <w:jc w:val="both"/>
              <w:rPr>
                <w:rFonts w:ascii="Verdana" w:hAnsi="Verdana"/>
                <w:sz w:val="20"/>
                <w:szCs w:val="20"/>
              </w:rPr>
            </w:pPr>
          </w:p>
        </w:tc>
        <w:tc>
          <w:tcPr>
            <w:tcW w:w="1978" w:type="dxa"/>
          </w:tcPr>
          <w:p w14:paraId="5521D719" w14:textId="4644FB8D" w:rsidR="00934F28" w:rsidRPr="00B76BE0" w:rsidRDefault="009E2DEA">
            <w:pPr>
              <w:rPr>
                <w:rFonts w:ascii="Verdana" w:hAnsi="Verdana"/>
                <w:sz w:val="20"/>
                <w:szCs w:val="20"/>
              </w:rPr>
            </w:pPr>
            <w:r>
              <w:rPr>
                <w:rFonts w:ascii="Verdana" w:hAnsi="Verdana"/>
                <w:sz w:val="20"/>
                <w:szCs w:val="20"/>
              </w:rPr>
              <w:lastRenderedPageBreak/>
              <w:t>DI2</w:t>
            </w:r>
          </w:p>
        </w:tc>
        <w:tc>
          <w:tcPr>
            <w:tcW w:w="2037" w:type="dxa"/>
          </w:tcPr>
          <w:p w14:paraId="0E45B353" w14:textId="77777777" w:rsidR="00934F28" w:rsidRPr="00B76BE0" w:rsidRDefault="00934F28">
            <w:pPr>
              <w:rPr>
                <w:rFonts w:ascii="Verdana" w:hAnsi="Verdana"/>
                <w:sz w:val="20"/>
                <w:szCs w:val="20"/>
              </w:rPr>
            </w:pPr>
          </w:p>
        </w:tc>
      </w:tr>
      <w:tr w:rsidR="00934F28" w:rsidRPr="00B76BE0" w14:paraId="63C7590E" w14:textId="77777777" w:rsidTr="23285676">
        <w:tc>
          <w:tcPr>
            <w:tcW w:w="5474" w:type="dxa"/>
          </w:tcPr>
          <w:p w14:paraId="379E0D66" w14:textId="77777777" w:rsidR="006203FE" w:rsidRPr="00244145" w:rsidRDefault="006203FE" w:rsidP="006203FE">
            <w:pPr>
              <w:spacing w:after="120" w:line="276" w:lineRule="auto"/>
              <w:jc w:val="center"/>
              <w:rPr>
                <w:rFonts w:ascii="Verdana" w:hAnsi="Verdana"/>
                <w:b/>
                <w:bCs/>
                <w:sz w:val="20"/>
                <w:szCs w:val="20"/>
              </w:rPr>
            </w:pPr>
            <w:r w:rsidRPr="00244145">
              <w:rPr>
                <w:rFonts w:ascii="Verdana" w:hAnsi="Verdana"/>
                <w:b/>
                <w:bCs/>
                <w:sz w:val="20"/>
                <w:szCs w:val="20"/>
              </w:rPr>
              <w:t xml:space="preserve">Décision 8. </w:t>
            </w:r>
            <w:r>
              <w:rPr>
                <w:rFonts w:ascii="Verdana" w:hAnsi="Verdana"/>
                <w:b/>
                <w:bCs/>
                <w:sz w:val="20"/>
                <w:szCs w:val="20"/>
              </w:rPr>
              <w:t>Pêches : clôture du projet SWIOFISH2 et démarrage du projet SWIOFISH5</w:t>
            </w:r>
          </w:p>
          <w:p w14:paraId="4574D84C" w14:textId="77777777" w:rsidR="006203FE" w:rsidRPr="002F2CDF" w:rsidRDefault="006203FE" w:rsidP="006203FE">
            <w:pPr>
              <w:pStyle w:val="Paragraphe"/>
            </w:pPr>
            <w:r w:rsidRPr="002F2CDF">
              <w:t>Le Comité des OPL :</w:t>
            </w:r>
          </w:p>
          <w:p w14:paraId="2E9AB813" w14:textId="77777777" w:rsidR="006203FE" w:rsidRPr="002F2CDF" w:rsidRDefault="006203FE" w:rsidP="006203FE">
            <w:pPr>
              <w:pStyle w:val="Paragraphedeliste"/>
              <w:numPr>
                <w:ilvl w:val="0"/>
                <w:numId w:val="32"/>
              </w:numPr>
              <w:spacing w:line="276" w:lineRule="auto"/>
              <w:contextualSpacing w:val="0"/>
              <w:jc w:val="both"/>
              <w:rPr>
                <w:rFonts w:ascii="Verdana" w:eastAsia="Calibri" w:hAnsi="Verdana" w:cstheme="minorHAnsi"/>
                <w:color w:val="000000"/>
                <w:sz w:val="20"/>
                <w:szCs w:val="20"/>
              </w:rPr>
            </w:pPr>
            <w:r w:rsidRPr="002F2CDF">
              <w:rPr>
                <w:rFonts w:ascii="Verdana" w:eastAsia="Calibri" w:hAnsi="Verdana" w:cstheme="minorHAnsi"/>
                <w:color w:val="000000"/>
                <w:sz w:val="20"/>
                <w:szCs w:val="20"/>
              </w:rPr>
              <w:t xml:space="preserve">Remercie chaleureusement la Banque mondiale pour la confiance accordée à la COI dans le cadre de la gestion du projet SWIOFISH 2 et </w:t>
            </w:r>
            <w:r>
              <w:rPr>
                <w:rFonts w:ascii="Verdana" w:eastAsia="Calibri" w:hAnsi="Verdana" w:cstheme="minorHAnsi"/>
                <w:color w:val="000000"/>
                <w:sz w:val="20"/>
                <w:szCs w:val="20"/>
              </w:rPr>
              <w:t>se félicite</w:t>
            </w:r>
            <w:r w:rsidRPr="002F2CDF">
              <w:rPr>
                <w:rFonts w:ascii="Verdana" w:eastAsia="Calibri" w:hAnsi="Verdana" w:cstheme="minorHAnsi"/>
                <w:color w:val="000000"/>
                <w:sz w:val="20"/>
                <w:szCs w:val="20"/>
              </w:rPr>
              <w:t xml:space="preserve"> des réalisations du projet</w:t>
            </w:r>
            <w:r>
              <w:rPr>
                <w:rFonts w:ascii="Verdana" w:eastAsia="Calibri" w:hAnsi="Verdana" w:cstheme="minorHAnsi"/>
                <w:color w:val="000000"/>
                <w:sz w:val="20"/>
                <w:szCs w:val="20"/>
              </w:rPr>
              <w:t> ;</w:t>
            </w:r>
            <w:r w:rsidRPr="002F2CDF">
              <w:rPr>
                <w:rFonts w:ascii="Verdana" w:eastAsia="Calibri" w:hAnsi="Verdana" w:cstheme="minorHAnsi"/>
                <w:color w:val="000000"/>
                <w:sz w:val="20"/>
                <w:szCs w:val="20"/>
              </w:rPr>
              <w:t xml:space="preserve"> </w:t>
            </w:r>
          </w:p>
          <w:p w14:paraId="009469ED" w14:textId="77777777" w:rsidR="006203FE" w:rsidRPr="002F2CDF" w:rsidRDefault="006203FE" w:rsidP="006203FE">
            <w:pPr>
              <w:pStyle w:val="Paragraphedeliste"/>
              <w:numPr>
                <w:ilvl w:val="0"/>
                <w:numId w:val="32"/>
              </w:numPr>
              <w:spacing w:line="276" w:lineRule="auto"/>
              <w:contextualSpacing w:val="0"/>
              <w:jc w:val="both"/>
              <w:rPr>
                <w:rFonts w:ascii="Verdana" w:eastAsia="Calibri" w:hAnsi="Verdana" w:cstheme="minorHAnsi"/>
                <w:color w:val="000000"/>
                <w:sz w:val="20"/>
                <w:szCs w:val="20"/>
              </w:rPr>
            </w:pPr>
            <w:r w:rsidRPr="002F2CDF">
              <w:rPr>
                <w:rFonts w:ascii="Verdana" w:eastAsia="Calibri" w:hAnsi="Verdana" w:cstheme="minorHAnsi"/>
                <w:color w:val="000000"/>
                <w:sz w:val="20"/>
                <w:szCs w:val="20"/>
              </w:rPr>
              <w:t xml:space="preserve">Se félicite des avancées positives de l’instruction du nouveau projet SWIOFISH 5/TRANSFORM à travers la signature de la Convention de financement entre la Banque </w:t>
            </w:r>
            <w:r>
              <w:rPr>
                <w:rFonts w:ascii="Verdana" w:eastAsia="Calibri" w:hAnsi="Verdana" w:cstheme="minorHAnsi"/>
                <w:color w:val="000000"/>
                <w:sz w:val="20"/>
                <w:szCs w:val="20"/>
              </w:rPr>
              <w:t>m</w:t>
            </w:r>
            <w:r w:rsidRPr="002F2CDF">
              <w:rPr>
                <w:rFonts w:ascii="Verdana" w:eastAsia="Calibri" w:hAnsi="Verdana" w:cstheme="minorHAnsi"/>
                <w:color w:val="000000"/>
                <w:sz w:val="20"/>
                <w:szCs w:val="20"/>
              </w:rPr>
              <w:t>ondiale (IDA) et le Secrétariat général de la COI</w:t>
            </w:r>
            <w:r>
              <w:rPr>
                <w:rFonts w:ascii="Verdana" w:eastAsia="Calibri" w:hAnsi="Verdana" w:cstheme="minorHAnsi"/>
                <w:color w:val="000000"/>
                <w:sz w:val="20"/>
                <w:szCs w:val="20"/>
              </w:rPr>
              <w:t> ;</w:t>
            </w:r>
          </w:p>
          <w:p w14:paraId="58B06557" w14:textId="77777777" w:rsidR="006203FE" w:rsidRPr="002F2CDF" w:rsidRDefault="006203FE" w:rsidP="006203FE">
            <w:pPr>
              <w:pStyle w:val="Paragraphedeliste"/>
              <w:numPr>
                <w:ilvl w:val="0"/>
                <w:numId w:val="32"/>
              </w:numPr>
              <w:spacing w:line="276" w:lineRule="auto"/>
              <w:contextualSpacing w:val="0"/>
              <w:jc w:val="both"/>
              <w:rPr>
                <w:rFonts w:ascii="Verdana" w:eastAsia="Calibri" w:hAnsi="Verdana" w:cstheme="minorHAnsi"/>
                <w:color w:val="000000"/>
                <w:sz w:val="20"/>
                <w:szCs w:val="20"/>
              </w:rPr>
            </w:pPr>
            <w:r w:rsidRPr="002F2CDF">
              <w:rPr>
                <w:rFonts w:ascii="Verdana" w:eastAsia="Calibri" w:hAnsi="Verdana" w:cstheme="minorHAnsi"/>
                <w:color w:val="000000"/>
                <w:sz w:val="20"/>
                <w:szCs w:val="20"/>
              </w:rPr>
              <w:t xml:space="preserve">Demande au Secrétariat général de s’assurer d’un démarrage rapide du projet SWIOFISH </w:t>
            </w:r>
            <w:r w:rsidRPr="002F2CDF">
              <w:rPr>
                <w:rFonts w:ascii="Verdana" w:eastAsia="Calibri" w:hAnsi="Verdana" w:cstheme="minorHAnsi"/>
                <w:color w:val="000000"/>
                <w:sz w:val="20"/>
                <w:szCs w:val="20"/>
              </w:rPr>
              <w:lastRenderedPageBreak/>
              <w:t>5/TRANSFORM à travers la mise en place effective de l’Unité de Gestion du Projet (UGP).</w:t>
            </w:r>
          </w:p>
          <w:p w14:paraId="6744BE0B" w14:textId="6C90086E" w:rsidR="00B76BE0" w:rsidRPr="00B76BE0" w:rsidRDefault="00B76BE0" w:rsidP="00B76BE0">
            <w:pPr>
              <w:pStyle w:val="Paragraphedeliste"/>
              <w:rPr>
                <w:rFonts w:ascii="Verdana" w:hAnsi="Verdana"/>
                <w:sz w:val="20"/>
                <w:szCs w:val="20"/>
              </w:rPr>
            </w:pPr>
          </w:p>
        </w:tc>
        <w:tc>
          <w:tcPr>
            <w:tcW w:w="5031" w:type="dxa"/>
          </w:tcPr>
          <w:p w14:paraId="533B9D96" w14:textId="0F363E6D" w:rsidR="00B03F23" w:rsidRPr="001431A1" w:rsidRDefault="00B03F23" w:rsidP="001431A1">
            <w:pPr>
              <w:rPr>
                <w:rFonts w:ascii="Verdana" w:hAnsi="Verdana"/>
                <w:sz w:val="20"/>
                <w:szCs w:val="20"/>
              </w:rPr>
            </w:pPr>
          </w:p>
        </w:tc>
        <w:tc>
          <w:tcPr>
            <w:tcW w:w="1978" w:type="dxa"/>
          </w:tcPr>
          <w:p w14:paraId="31196B6B" w14:textId="24D16727" w:rsidR="00B03F23" w:rsidRPr="00B76BE0" w:rsidRDefault="00B03F23">
            <w:pPr>
              <w:rPr>
                <w:rFonts w:ascii="Verdana" w:hAnsi="Verdana"/>
                <w:sz w:val="20"/>
                <w:szCs w:val="20"/>
              </w:rPr>
            </w:pPr>
          </w:p>
        </w:tc>
        <w:tc>
          <w:tcPr>
            <w:tcW w:w="2037" w:type="dxa"/>
          </w:tcPr>
          <w:p w14:paraId="373ABF3D" w14:textId="77777777" w:rsidR="00934F28" w:rsidRPr="00B76BE0" w:rsidRDefault="00934F28">
            <w:pPr>
              <w:rPr>
                <w:rFonts w:ascii="Verdana" w:hAnsi="Verdana"/>
                <w:sz w:val="20"/>
                <w:szCs w:val="20"/>
              </w:rPr>
            </w:pPr>
          </w:p>
        </w:tc>
      </w:tr>
      <w:tr w:rsidR="00934F28" w:rsidRPr="00B76BE0" w14:paraId="0A1B77D1" w14:textId="77777777" w:rsidTr="23285676">
        <w:tc>
          <w:tcPr>
            <w:tcW w:w="5474" w:type="dxa"/>
          </w:tcPr>
          <w:p w14:paraId="3FC00D83" w14:textId="77777777" w:rsidR="002D5CBF" w:rsidRPr="00D31AA5" w:rsidRDefault="002D5CBF" w:rsidP="002D5CBF">
            <w:pPr>
              <w:spacing w:after="120" w:line="276" w:lineRule="auto"/>
              <w:jc w:val="center"/>
              <w:rPr>
                <w:rFonts w:ascii="Verdana" w:hAnsi="Verdana"/>
                <w:b/>
                <w:bCs/>
                <w:sz w:val="20"/>
                <w:szCs w:val="20"/>
              </w:rPr>
            </w:pPr>
            <w:r w:rsidRPr="00F23522">
              <w:rPr>
                <w:rFonts w:ascii="Verdana" w:hAnsi="Verdana"/>
                <w:b/>
                <w:bCs/>
                <w:sz w:val="20"/>
                <w:szCs w:val="20"/>
              </w:rPr>
              <w:t xml:space="preserve">Décision 9. </w:t>
            </w:r>
            <w:r>
              <w:rPr>
                <w:rFonts w:ascii="Verdana" w:hAnsi="Verdana"/>
                <w:b/>
                <w:bCs/>
                <w:sz w:val="20"/>
                <w:szCs w:val="20"/>
              </w:rPr>
              <w:t>Résilience climatique</w:t>
            </w:r>
          </w:p>
          <w:p w14:paraId="45D33F71" w14:textId="77777777" w:rsidR="002D5CBF" w:rsidRPr="00E53608" w:rsidRDefault="002D5CBF" w:rsidP="002D5CBF">
            <w:pPr>
              <w:rPr>
                <w:rFonts w:ascii="Verdana" w:hAnsi="Verdana"/>
                <w:sz w:val="20"/>
                <w:szCs w:val="20"/>
              </w:rPr>
            </w:pPr>
            <w:r w:rsidRPr="00E53608">
              <w:rPr>
                <w:rFonts w:ascii="Verdana" w:hAnsi="Verdana"/>
                <w:sz w:val="20"/>
                <w:szCs w:val="20"/>
              </w:rPr>
              <w:t>Le Comité des OPL :</w:t>
            </w:r>
          </w:p>
          <w:p w14:paraId="5435BE9F" w14:textId="77777777" w:rsidR="002D5CBF" w:rsidRPr="00E53608" w:rsidRDefault="002D5CBF" w:rsidP="002D5CBF">
            <w:pPr>
              <w:numPr>
                <w:ilvl w:val="0"/>
                <w:numId w:val="33"/>
              </w:numPr>
              <w:pBdr>
                <w:top w:val="nil"/>
                <w:left w:val="nil"/>
                <w:bottom w:val="nil"/>
                <w:right w:val="nil"/>
                <w:between w:val="nil"/>
              </w:pBdr>
              <w:spacing w:before="120" w:after="120" w:line="250" w:lineRule="auto"/>
              <w:ind w:left="714" w:hanging="357"/>
              <w:jc w:val="both"/>
              <w:rPr>
                <w:rFonts w:ascii="Verdana" w:eastAsia="Verdana" w:hAnsi="Verdana" w:cs="Verdana"/>
                <w:color w:val="000000"/>
                <w:sz w:val="20"/>
                <w:szCs w:val="20"/>
              </w:rPr>
            </w:pPr>
            <w:r w:rsidRPr="00E53608">
              <w:rPr>
                <w:rFonts w:ascii="Verdana" w:eastAsia="Verdana" w:hAnsi="Verdana" w:cs="Verdana"/>
                <w:color w:val="000000"/>
                <w:sz w:val="20"/>
                <w:szCs w:val="20"/>
              </w:rPr>
              <w:t xml:space="preserve">Prend note des informations fournies sur l’ensemble des projets et demande au Secrétariat général de veiller à une bonne articulation entre ces divers projets ; </w:t>
            </w:r>
          </w:p>
          <w:p w14:paraId="2CDEBB2C" w14:textId="77777777" w:rsidR="002D5CBF" w:rsidRPr="00E53608" w:rsidRDefault="002D5CBF" w:rsidP="002D5CBF">
            <w:pPr>
              <w:numPr>
                <w:ilvl w:val="0"/>
                <w:numId w:val="33"/>
              </w:numPr>
              <w:pBdr>
                <w:top w:val="nil"/>
                <w:left w:val="nil"/>
                <w:bottom w:val="nil"/>
                <w:right w:val="nil"/>
                <w:between w:val="nil"/>
              </w:pBdr>
              <w:spacing w:after="120" w:line="250" w:lineRule="auto"/>
              <w:ind w:left="714" w:hanging="357"/>
              <w:jc w:val="both"/>
              <w:rPr>
                <w:rFonts w:ascii="Verdana" w:eastAsia="Verdana" w:hAnsi="Verdana" w:cs="Verdana"/>
                <w:color w:val="000000"/>
                <w:sz w:val="20"/>
                <w:szCs w:val="20"/>
              </w:rPr>
            </w:pPr>
            <w:r w:rsidRPr="00E53608">
              <w:rPr>
                <w:rFonts w:ascii="Verdana" w:eastAsia="Verdana" w:hAnsi="Verdana" w:cs="Verdana"/>
                <w:color w:val="000000"/>
                <w:sz w:val="20"/>
                <w:szCs w:val="20"/>
              </w:rPr>
              <w:t xml:space="preserve">Demande au Secrétariat de présenter, lors d’une prochaine réunion des instances, une note de suivi – évaluation de la mise en œuvre des partenariats dans le domaine du climat et de l’environnement ; </w:t>
            </w:r>
          </w:p>
          <w:p w14:paraId="77BF3F8D" w14:textId="77777777" w:rsidR="002D5CBF" w:rsidRPr="00E53608" w:rsidRDefault="002D5CBF" w:rsidP="002D5CBF">
            <w:pPr>
              <w:numPr>
                <w:ilvl w:val="0"/>
                <w:numId w:val="33"/>
              </w:numPr>
              <w:pBdr>
                <w:top w:val="nil"/>
                <w:left w:val="nil"/>
                <w:bottom w:val="nil"/>
                <w:right w:val="nil"/>
                <w:between w:val="nil"/>
              </w:pBdr>
              <w:spacing w:after="120" w:line="250" w:lineRule="auto"/>
              <w:ind w:left="714" w:hanging="357"/>
              <w:jc w:val="both"/>
              <w:rPr>
                <w:rFonts w:ascii="Verdana" w:eastAsia="Verdana" w:hAnsi="Verdana" w:cs="Verdana"/>
                <w:color w:val="000000"/>
                <w:sz w:val="20"/>
                <w:szCs w:val="20"/>
              </w:rPr>
            </w:pPr>
            <w:r w:rsidRPr="00E53608">
              <w:rPr>
                <w:rFonts w:ascii="Verdana" w:eastAsia="Verdana" w:hAnsi="Verdana" w:cs="Verdana"/>
                <w:color w:val="000000"/>
                <w:sz w:val="20"/>
                <w:szCs w:val="20"/>
              </w:rPr>
              <w:t xml:space="preserve">Demande au Secrétariat général d’accélérer la mise en œuvre des activités du projet HYDROMET en assurant une bonne implication des Etats membres, et de veiller à la coordination avec les organisations régionales et les projets </w:t>
            </w:r>
          </w:p>
          <w:p w14:paraId="7EF609BE" w14:textId="77777777" w:rsidR="002D5CBF" w:rsidRPr="00E53608" w:rsidRDefault="002D5CBF" w:rsidP="002D5CBF">
            <w:pPr>
              <w:numPr>
                <w:ilvl w:val="0"/>
                <w:numId w:val="33"/>
              </w:numPr>
              <w:pBdr>
                <w:top w:val="nil"/>
                <w:left w:val="nil"/>
                <w:bottom w:val="nil"/>
                <w:right w:val="nil"/>
                <w:between w:val="nil"/>
              </w:pBdr>
              <w:spacing w:after="120" w:line="250" w:lineRule="auto"/>
              <w:ind w:left="714" w:hanging="357"/>
              <w:jc w:val="both"/>
              <w:rPr>
                <w:rFonts w:ascii="Verdana" w:eastAsia="Verdana" w:hAnsi="Verdana" w:cs="Verdana"/>
                <w:color w:val="000000"/>
                <w:sz w:val="20"/>
                <w:szCs w:val="20"/>
              </w:rPr>
            </w:pPr>
            <w:r w:rsidRPr="00E53608">
              <w:rPr>
                <w:rFonts w:ascii="Verdana" w:eastAsia="Verdana" w:hAnsi="Verdana" w:cs="Verdana"/>
                <w:color w:val="000000"/>
                <w:sz w:val="20"/>
                <w:szCs w:val="20"/>
              </w:rPr>
              <w:t xml:space="preserve">Prend note de la tenue de la rencontre organisée dans le cadre du projet RDRM-IO en vue de la mise en place d’un mécanisme régional en matière de réduction des risques de catastrophes. </w:t>
            </w:r>
          </w:p>
          <w:p w14:paraId="3FE0B23D" w14:textId="77777777" w:rsidR="002D5CBF" w:rsidRPr="00E53608" w:rsidRDefault="002D5CBF" w:rsidP="002D5CBF">
            <w:pPr>
              <w:numPr>
                <w:ilvl w:val="0"/>
                <w:numId w:val="33"/>
              </w:numPr>
              <w:pBdr>
                <w:top w:val="nil"/>
                <w:left w:val="nil"/>
                <w:bottom w:val="nil"/>
                <w:right w:val="nil"/>
                <w:between w:val="nil"/>
              </w:pBdr>
              <w:spacing w:after="120" w:line="250" w:lineRule="auto"/>
              <w:ind w:left="714" w:hanging="357"/>
              <w:jc w:val="both"/>
              <w:rPr>
                <w:rFonts w:ascii="Verdana" w:hAnsi="Verdana"/>
                <w:sz w:val="20"/>
                <w:szCs w:val="20"/>
              </w:rPr>
            </w:pPr>
            <w:bookmarkStart w:id="0" w:name="_heading=h.1fob9te" w:colFirst="0" w:colLast="0"/>
            <w:bookmarkEnd w:id="0"/>
            <w:r w:rsidRPr="00E53608">
              <w:rPr>
                <w:rFonts w:ascii="Verdana" w:eastAsia="Verdana" w:hAnsi="Verdana" w:cs="Verdana"/>
                <w:color w:val="000000"/>
                <w:sz w:val="20"/>
                <w:szCs w:val="20"/>
              </w:rPr>
              <w:lastRenderedPageBreak/>
              <w:t xml:space="preserve">Exprime sa satisfaction sur l’implication des Etats membres au programme GMES et Afrique et encourage le Secrétariat général dans sa démarche de collaboration avec l’Union africaine et les institutions régionales impliquées. </w:t>
            </w:r>
          </w:p>
          <w:p w14:paraId="2A229D83" w14:textId="77777777" w:rsidR="002D5CBF" w:rsidRDefault="002D5CBF" w:rsidP="002D5CBF">
            <w:pPr>
              <w:spacing w:after="120" w:line="276" w:lineRule="auto"/>
              <w:jc w:val="center"/>
              <w:rPr>
                <w:rFonts w:ascii="Verdana" w:hAnsi="Verdana"/>
                <w:b/>
                <w:bCs/>
                <w:sz w:val="20"/>
                <w:szCs w:val="20"/>
              </w:rPr>
            </w:pPr>
          </w:p>
          <w:p w14:paraId="71B05C61" w14:textId="2B38DE97" w:rsidR="00934F28" w:rsidRPr="00B76BE0" w:rsidRDefault="00934F28">
            <w:pPr>
              <w:rPr>
                <w:rFonts w:ascii="Verdana" w:hAnsi="Verdana"/>
                <w:sz w:val="20"/>
                <w:szCs w:val="20"/>
              </w:rPr>
            </w:pPr>
          </w:p>
        </w:tc>
        <w:tc>
          <w:tcPr>
            <w:tcW w:w="5031" w:type="dxa"/>
          </w:tcPr>
          <w:p w14:paraId="0643E2E5" w14:textId="0BCD8E7E" w:rsidR="00934F28" w:rsidRPr="00B76BE0" w:rsidRDefault="1508F03C" w:rsidP="23285676">
            <w:pPr>
              <w:rPr>
                <w:rFonts w:ascii="Verdana" w:hAnsi="Verdana"/>
                <w:sz w:val="20"/>
                <w:szCs w:val="20"/>
              </w:rPr>
            </w:pPr>
            <w:r w:rsidRPr="23285676">
              <w:rPr>
                <w:rFonts w:ascii="Verdana" w:hAnsi="Verdana"/>
                <w:sz w:val="20"/>
                <w:szCs w:val="20"/>
              </w:rPr>
              <w:lastRenderedPageBreak/>
              <w:t>9</w:t>
            </w:r>
            <w:r w:rsidR="23285676" w:rsidRPr="23285676">
              <w:rPr>
                <w:rFonts w:ascii="Verdana" w:hAnsi="Verdana"/>
                <w:sz w:val="20"/>
                <w:szCs w:val="20"/>
              </w:rPr>
              <w:t xml:space="preserve">b) </w:t>
            </w:r>
            <w:r w:rsidR="6EF60056" w:rsidRPr="23285676">
              <w:rPr>
                <w:rFonts w:ascii="Verdana" w:hAnsi="Verdana"/>
                <w:sz w:val="20"/>
                <w:szCs w:val="20"/>
              </w:rPr>
              <w:t xml:space="preserve">Réf Fiche 2.10 </w:t>
            </w:r>
            <w:r w:rsidR="5CCAA16E" w:rsidRPr="23285676">
              <w:rPr>
                <w:rFonts w:ascii="Verdana" w:hAnsi="Verdana"/>
                <w:sz w:val="20"/>
                <w:szCs w:val="20"/>
              </w:rPr>
              <w:t>et Fiche 2.11</w:t>
            </w:r>
            <w:r w:rsidR="150C17C3" w:rsidRPr="23285676">
              <w:rPr>
                <w:rFonts w:ascii="Verdana" w:hAnsi="Verdana"/>
                <w:sz w:val="20"/>
                <w:szCs w:val="20"/>
              </w:rPr>
              <w:t xml:space="preserve">- </w:t>
            </w:r>
          </w:p>
          <w:p w14:paraId="3B2B560D" w14:textId="69749135" w:rsidR="00934F28" w:rsidRPr="00B76BE0" w:rsidRDefault="150C17C3" w:rsidP="23285676">
            <w:pPr>
              <w:pStyle w:val="Paragraphedeliste"/>
              <w:numPr>
                <w:ilvl w:val="0"/>
                <w:numId w:val="1"/>
              </w:numPr>
              <w:rPr>
                <w:rFonts w:ascii="Verdana" w:hAnsi="Verdana"/>
                <w:sz w:val="20"/>
                <w:szCs w:val="20"/>
              </w:rPr>
            </w:pPr>
            <w:r w:rsidRPr="23285676">
              <w:rPr>
                <w:rFonts w:ascii="Verdana" w:hAnsi="Verdana"/>
                <w:sz w:val="20"/>
                <w:szCs w:val="20"/>
              </w:rPr>
              <w:t xml:space="preserve">Partenariat REDR-Australie : l’expert en place depuis novembre 2023 pour une durée de 6mois. </w:t>
            </w:r>
            <w:r w:rsidR="182F979C" w:rsidRPr="23285676">
              <w:rPr>
                <w:rFonts w:ascii="Verdana" w:hAnsi="Verdana"/>
                <w:sz w:val="20"/>
                <w:szCs w:val="20"/>
              </w:rPr>
              <w:t xml:space="preserve">Une demande de renouvellement de ce poste auprès de RedR est recherchée </w:t>
            </w:r>
          </w:p>
          <w:p w14:paraId="5111C006" w14:textId="58EAD585" w:rsidR="00934F28" w:rsidRPr="00B76BE0" w:rsidRDefault="182F979C" w:rsidP="23285676">
            <w:pPr>
              <w:pStyle w:val="Paragraphedeliste"/>
              <w:numPr>
                <w:ilvl w:val="0"/>
                <w:numId w:val="1"/>
              </w:numPr>
              <w:rPr>
                <w:rFonts w:ascii="Verdana" w:hAnsi="Verdana"/>
                <w:sz w:val="20"/>
                <w:szCs w:val="20"/>
              </w:rPr>
            </w:pPr>
            <w:r w:rsidRPr="23285676">
              <w:rPr>
                <w:rFonts w:ascii="Verdana" w:hAnsi="Verdana"/>
                <w:sz w:val="20"/>
                <w:szCs w:val="20"/>
              </w:rPr>
              <w:t xml:space="preserve">Partenariat UNESCO : </w:t>
            </w:r>
            <w:r w:rsidR="3EBC2491" w:rsidRPr="23285676">
              <w:rPr>
                <w:rFonts w:ascii="Verdana" w:hAnsi="Verdana"/>
                <w:sz w:val="20"/>
                <w:szCs w:val="20"/>
              </w:rPr>
              <w:t>Une révision du protocol entre la COI et l’UNESCO est proposé à la fiche 2.11</w:t>
            </w:r>
            <w:r w:rsidR="77693C08" w:rsidRPr="23285676">
              <w:rPr>
                <w:rFonts w:ascii="Verdana" w:hAnsi="Verdana"/>
                <w:sz w:val="20"/>
                <w:szCs w:val="20"/>
              </w:rPr>
              <w:t xml:space="preserve"> qui permettra à la COI d’établir d’autre MoU spécifique ou lettre d’entente avec les organes subsidiaire de </w:t>
            </w:r>
            <w:r w:rsidR="41E85336" w:rsidRPr="23285676">
              <w:rPr>
                <w:rFonts w:ascii="Verdana" w:hAnsi="Verdana"/>
                <w:sz w:val="20"/>
                <w:szCs w:val="20"/>
              </w:rPr>
              <w:t>l'UNESCO</w:t>
            </w:r>
            <w:r w:rsidR="77693C08" w:rsidRPr="23285676">
              <w:rPr>
                <w:rFonts w:ascii="Verdana" w:hAnsi="Verdana"/>
                <w:sz w:val="20"/>
                <w:szCs w:val="20"/>
              </w:rPr>
              <w:t xml:space="preserve"> </w:t>
            </w:r>
          </w:p>
          <w:p w14:paraId="5F74B4D0" w14:textId="269E2DC9" w:rsidR="00934F28" w:rsidRPr="00B76BE0" w:rsidRDefault="6DC1EB15" w:rsidP="23285676">
            <w:pPr>
              <w:rPr>
                <w:rFonts w:ascii="Verdana" w:hAnsi="Verdana"/>
                <w:sz w:val="20"/>
                <w:szCs w:val="20"/>
              </w:rPr>
            </w:pPr>
            <w:r w:rsidRPr="23285676">
              <w:rPr>
                <w:rFonts w:ascii="Verdana" w:hAnsi="Verdana"/>
                <w:sz w:val="20"/>
                <w:szCs w:val="20"/>
              </w:rPr>
              <w:t>9c) Réf Fiche 2.10: L</w:t>
            </w:r>
            <w:r w:rsidR="156093D3" w:rsidRPr="23285676">
              <w:rPr>
                <w:rFonts w:ascii="Verdana" w:hAnsi="Verdana"/>
                <w:sz w:val="20"/>
                <w:szCs w:val="20"/>
              </w:rPr>
              <w:t xml:space="preserve">’équipe d’assistance technique est mobilisée et les experts se déplace dans les Etats pour </w:t>
            </w:r>
            <w:r w:rsidR="54057904" w:rsidRPr="23285676">
              <w:rPr>
                <w:rFonts w:ascii="Verdana" w:hAnsi="Verdana"/>
                <w:sz w:val="20"/>
                <w:szCs w:val="20"/>
              </w:rPr>
              <w:t xml:space="preserve">préciser les besoins en équipement et les activités à mener. Des webinaires sont </w:t>
            </w:r>
            <w:r w:rsidR="6F5F9C30" w:rsidRPr="23285676">
              <w:rPr>
                <w:rFonts w:ascii="Verdana" w:hAnsi="Verdana"/>
                <w:sz w:val="20"/>
                <w:szCs w:val="20"/>
              </w:rPr>
              <w:t>organisés</w:t>
            </w:r>
            <w:r w:rsidR="54057904" w:rsidRPr="23285676">
              <w:rPr>
                <w:rFonts w:ascii="Verdana" w:hAnsi="Verdana"/>
                <w:sz w:val="20"/>
                <w:szCs w:val="20"/>
              </w:rPr>
              <w:t xml:space="preserve"> </w:t>
            </w:r>
            <w:r w:rsidR="31B696D5" w:rsidRPr="23285676">
              <w:rPr>
                <w:rFonts w:ascii="Verdana" w:hAnsi="Verdana"/>
                <w:sz w:val="20"/>
                <w:szCs w:val="20"/>
              </w:rPr>
              <w:t xml:space="preserve">en collaboration avec l OMM, le projets CREWS et SOFF pour assurer la coordination. </w:t>
            </w:r>
          </w:p>
          <w:p w14:paraId="611D1FBF" w14:textId="6B4C3C12" w:rsidR="00934F28" w:rsidRPr="00B76BE0" w:rsidRDefault="00934F28" w:rsidP="23285676">
            <w:pPr>
              <w:rPr>
                <w:rFonts w:ascii="Verdana" w:hAnsi="Verdana"/>
                <w:sz w:val="20"/>
                <w:szCs w:val="20"/>
              </w:rPr>
            </w:pPr>
          </w:p>
          <w:p w14:paraId="2BC8DD8B" w14:textId="58A231F1" w:rsidR="00934F28" w:rsidRPr="00B76BE0" w:rsidRDefault="7C2CC8F8" w:rsidP="23285676">
            <w:pPr>
              <w:rPr>
                <w:rFonts w:ascii="Verdana" w:hAnsi="Verdana"/>
                <w:sz w:val="20"/>
                <w:szCs w:val="20"/>
              </w:rPr>
            </w:pPr>
            <w:r w:rsidRPr="23285676">
              <w:rPr>
                <w:rFonts w:ascii="Verdana" w:hAnsi="Verdana"/>
                <w:sz w:val="20"/>
                <w:szCs w:val="20"/>
              </w:rPr>
              <w:t xml:space="preserve">9d) Réf Fiche 2.10 prochaine rencontre se tiendra au seychelles en marge du comité de pilotage en </w:t>
            </w:r>
            <w:r w:rsidR="5B7F3B91" w:rsidRPr="23285676">
              <w:rPr>
                <w:rFonts w:ascii="Verdana" w:hAnsi="Verdana"/>
                <w:sz w:val="20"/>
                <w:szCs w:val="20"/>
              </w:rPr>
              <w:t>début</w:t>
            </w:r>
            <w:r w:rsidRPr="23285676">
              <w:rPr>
                <w:rFonts w:ascii="Verdana" w:hAnsi="Verdana"/>
                <w:sz w:val="20"/>
                <w:szCs w:val="20"/>
              </w:rPr>
              <w:t xml:space="preserve"> du mois de mai. </w:t>
            </w:r>
          </w:p>
          <w:p w14:paraId="6B48032C" w14:textId="0B89EEE8" w:rsidR="00934F28" w:rsidRPr="00B76BE0" w:rsidRDefault="00934F28" w:rsidP="23285676">
            <w:pPr>
              <w:rPr>
                <w:rFonts w:ascii="Verdana" w:hAnsi="Verdana"/>
                <w:sz w:val="20"/>
                <w:szCs w:val="20"/>
              </w:rPr>
            </w:pPr>
          </w:p>
          <w:p w14:paraId="15D4DD77" w14:textId="508C76A7" w:rsidR="00934F28" w:rsidRPr="00B76BE0" w:rsidRDefault="5EAB6A36" w:rsidP="23285676">
            <w:pPr>
              <w:rPr>
                <w:rFonts w:ascii="Verdana" w:hAnsi="Verdana"/>
                <w:sz w:val="20"/>
                <w:szCs w:val="20"/>
              </w:rPr>
            </w:pPr>
            <w:r w:rsidRPr="23285676">
              <w:rPr>
                <w:rFonts w:ascii="Verdana" w:hAnsi="Verdana"/>
                <w:sz w:val="20"/>
                <w:szCs w:val="20"/>
              </w:rPr>
              <w:t xml:space="preserve">9e) </w:t>
            </w:r>
            <w:r w:rsidR="56FE9AC5" w:rsidRPr="23285676">
              <w:rPr>
                <w:rFonts w:ascii="Verdana" w:hAnsi="Verdana"/>
                <w:sz w:val="20"/>
                <w:szCs w:val="20"/>
              </w:rPr>
              <w:t xml:space="preserve">Réf Fiche 2.10 - Activité sur le volet marin et côtière avec le consortium CSRI </w:t>
            </w:r>
            <w:r w:rsidR="76C05DBE" w:rsidRPr="23285676">
              <w:rPr>
                <w:rFonts w:ascii="Verdana" w:hAnsi="Verdana"/>
                <w:sz w:val="20"/>
                <w:szCs w:val="20"/>
              </w:rPr>
              <w:t xml:space="preserve">impliquant l’ONG “Reef Conservation” de Maurice. </w:t>
            </w:r>
            <w:r w:rsidR="56FE9AC5" w:rsidRPr="23285676">
              <w:rPr>
                <w:rFonts w:ascii="Verdana" w:hAnsi="Verdana"/>
                <w:sz w:val="20"/>
                <w:szCs w:val="20"/>
              </w:rPr>
              <w:t xml:space="preserve"> </w:t>
            </w:r>
          </w:p>
        </w:tc>
        <w:tc>
          <w:tcPr>
            <w:tcW w:w="1978" w:type="dxa"/>
          </w:tcPr>
          <w:p w14:paraId="2240EB2F" w14:textId="77777777" w:rsidR="00934F28" w:rsidRPr="00B76BE0" w:rsidRDefault="00934F28">
            <w:pPr>
              <w:rPr>
                <w:rFonts w:ascii="Verdana" w:hAnsi="Verdana"/>
                <w:sz w:val="20"/>
                <w:szCs w:val="20"/>
              </w:rPr>
            </w:pPr>
          </w:p>
        </w:tc>
        <w:tc>
          <w:tcPr>
            <w:tcW w:w="2037" w:type="dxa"/>
          </w:tcPr>
          <w:p w14:paraId="2F8B3275" w14:textId="77777777" w:rsidR="00934F28" w:rsidRPr="00B76BE0" w:rsidRDefault="00934F28">
            <w:pPr>
              <w:rPr>
                <w:rFonts w:ascii="Verdana" w:hAnsi="Verdana"/>
                <w:sz w:val="20"/>
                <w:szCs w:val="20"/>
              </w:rPr>
            </w:pPr>
          </w:p>
        </w:tc>
      </w:tr>
      <w:tr w:rsidR="00934F28" w:rsidRPr="00B76BE0" w14:paraId="6C4F87A9" w14:textId="77777777" w:rsidTr="23285676">
        <w:tc>
          <w:tcPr>
            <w:tcW w:w="5474" w:type="dxa"/>
          </w:tcPr>
          <w:p w14:paraId="23069CB9" w14:textId="77777777" w:rsidR="00B75B8C" w:rsidRPr="00244145" w:rsidRDefault="00B75B8C" w:rsidP="00B75B8C">
            <w:pPr>
              <w:spacing w:after="120" w:line="276" w:lineRule="auto"/>
              <w:jc w:val="center"/>
              <w:rPr>
                <w:rFonts w:ascii="Verdana" w:hAnsi="Verdana"/>
                <w:spacing w:val="6"/>
                <w:sz w:val="20"/>
                <w:szCs w:val="20"/>
              </w:rPr>
            </w:pPr>
            <w:r w:rsidRPr="00244145">
              <w:rPr>
                <w:rFonts w:ascii="Verdana" w:hAnsi="Verdana"/>
                <w:b/>
                <w:bCs/>
                <w:sz w:val="20"/>
                <w:szCs w:val="20"/>
              </w:rPr>
              <w:t xml:space="preserve">Décision 10. </w:t>
            </w:r>
            <w:r>
              <w:rPr>
                <w:rFonts w:ascii="Verdana" w:hAnsi="Verdana"/>
                <w:b/>
                <w:bCs/>
                <w:sz w:val="20"/>
                <w:szCs w:val="20"/>
              </w:rPr>
              <w:t>Partenariats techniques dans les domaines du climat et de l’environnement</w:t>
            </w:r>
          </w:p>
          <w:p w14:paraId="4FB71E87" w14:textId="77777777" w:rsidR="00B75B8C" w:rsidRPr="004F5C4B" w:rsidRDefault="00B75B8C" w:rsidP="00B75B8C">
            <w:pPr>
              <w:pStyle w:val="Paragraphe"/>
            </w:pPr>
            <w:r w:rsidRPr="004F5C4B">
              <w:t>Le Comité des OPL</w:t>
            </w:r>
            <w:r>
              <w:t> :</w:t>
            </w:r>
          </w:p>
          <w:p w14:paraId="3F1AF929" w14:textId="77777777" w:rsidR="00B75B8C" w:rsidRPr="007A4D0B" w:rsidRDefault="00B75B8C" w:rsidP="00B75B8C">
            <w:pPr>
              <w:pStyle w:val="Paragraphe"/>
              <w:numPr>
                <w:ilvl w:val="0"/>
                <w:numId w:val="35"/>
              </w:numPr>
            </w:pPr>
            <w:r w:rsidRPr="007A4D0B">
              <w:t xml:space="preserve">Prend note </w:t>
            </w:r>
            <w:r>
              <w:t xml:space="preserve">de la diversité des partenariats et de leurs apports dans les domaines du climat et de l’environnement ; </w:t>
            </w:r>
          </w:p>
          <w:p w14:paraId="08D564C0" w14:textId="77777777" w:rsidR="00B75B8C" w:rsidRDefault="00B75B8C" w:rsidP="00B75B8C">
            <w:pPr>
              <w:pStyle w:val="Paragraphe"/>
              <w:numPr>
                <w:ilvl w:val="0"/>
                <w:numId w:val="35"/>
              </w:numPr>
            </w:pPr>
            <w:r w:rsidRPr="007A4D0B">
              <w:t>Demande au Secréta</w:t>
            </w:r>
            <w:r>
              <w:t>riat</w:t>
            </w:r>
            <w:r w:rsidRPr="007A4D0B">
              <w:t xml:space="preserve"> général</w:t>
            </w:r>
            <w:r>
              <w:t> :</w:t>
            </w:r>
          </w:p>
          <w:p w14:paraId="7D86DED5" w14:textId="77777777" w:rsidR="00B75B8C" w:rsidRDefault="00B75B8C" w:rsidP="00B75B8C">
            <w:pPr>
              <w:pStyle w:val="Paragraphe"/>
              <w:numPr>
                <w:ilvl w:val="0"/>
                <w:numId w:val="34"/>
              </w:numPr>
            </w:pPr>
            <w:r>
              <w:t xml:space="preserve">De poursuivre le dialogue avec la Commission océanographique intergouvernementale de l’UNESCO ainsi que les institutions spécialisées de l’Inde en vue d’établir en cadre de travail dans les domaines de la recherche et de la formation en sciences marines ;  </w:t>
            </w:r>
          </w:p>
          <w:p w14:paraId="3A1F7D5A" w14:textId="77777777" w:rsidR="00B75B8C" w:rsidRDefault="00B75B8C" w:rsidP="00B75B8C">
            <w:pPr>
              <w:pStyle w:val="Paragraphe"/>
              <w:numPr>
                <w:ilvl w:val="0"/>
                <w:numId w:val="34"/>
              </w:numPr>
            </w:pPr>
            <w:r>
              <w:t xml:space="preserve">De poursuivre le dialogue et les relations de travail avec les partenaires, dont l’IORA et l’Ordre souverain de Malte sur la thématique de la réduction et la </w:t>
            </w:r>
            <w:r>
              <w:lastRenderedPageBreak/>
              <w:t xml:space="preserve">gestion des risques de catastrophes ; </w:t>
            </w:r>
          </w:p>
          <w:p w14:paraId="6518B5CB" w14:textId="77777777" w:rsidR="00B75B8C" w:rsidRPr="00620B90" w:rsidRDefault="00B75B8C" w:rsidP="00B75B8C">
            <w:pPr>
              <w:pStyle w:val="Paragraphe"/>
              <w:numPr>
                <w:ilvl w:val="0"/>
                <w:numId w:val="35"/>
              </w:numPr>
            </w:pPr>
            <w:r>
              <w:t xml:space="preserve"> De présenter au prochain Conseil, un bilan de la coopération entre la COI et l’Agence Humanitaire d’Australie - ReDR Australia.  </w:t>
            </w:r>
          </w:p>
          <w:p w14:paraId="3249FD1D" w14:textId="29A7BCE6" w:rsidR="006C0034" w:rsidRPr="00B76BE0" w:rsidRDefault="006C0034" w:rsidP="00B75B8C">
            <w:pPr>
              <w:pBdr>
                <w:top w:val="nil"/>
                <w:left w:val="nil"/>
                <w:bottom w:val="nil"/>
                <w:right w:val="nil"/>
                <w:between w:val="nil"/>
              </w:pBdr>
              <w:spacing w:line="249" w:lineRule="auto"/>
              <w:ind w:left="465"/>
              <w:jc w:val="both"/>
              <w:rPr>
                <w:rFonts w:ascii="Verdana" w:eastAsia="Verdana" w:hAnsi="Verdana" w:cs="Verdana"/>
                <w:color w:val="000000"/>
                <w:sz w:val="20"/>
                <w:szCs w:val="20"/>
              </w:rPr>
            </w:pPr>
          </w:p>
        </w:tc>
        <w:tc>
          <w:tcPr>
            <w:tcW w:w="5031" w:type="dxa"/>
          </w:tcPr>
          <w:p w14:paraId="2EB5E31D" w14:textId="21D7F14E" w:rsidR="00934F28" w:rsidRPr="00B76BE0" w:rsidRDefault="3B47A732" w:rsidP="23285676">
            <w:pPr>
              <w:rPr>
                <w:rFonts w:ascii="Verdana" w:hAnsi="Verdana"/>
                <w:sz w:val="20"/>
                <w:szCs w:val="20"/>
              </w:rPr>
            </w:pPr>
            <w:r w:rsidRPr="23285676">
              <w:rPr>
                <w:rFonts w:ascii="Verdana" w:hAnsi="Verdana"/>
                <w:sz w:val="20"/>
                <w:szCs w:val="20"/>
              </w:rPr>
              <w:lastRenderedPageBreak/>
              <w:t xml:space="preserve">Décision 10 </w:t>
            </w:r>
            <w:r w:rsidR="10473114" w:rsidRPr="23285676">
              <w:rPr>
                <w:rFonts w:ascii="Verdana" w:hAnsi="Verdana"/>
                <w:sz w:val="20"/>
                <w:szCs w:val="20"/>
              </w:rPr>
              <w:t>b) i.</w:t>
            </w:r>
            <w:r w:rsidR="4171DDC1" w:rsidRPr="23285676">
              <w:rPr>
                <w:rFonts w:ascii="Verdana" w:hAnsi="Verdana"/>
                <w:sz w:val="20"/>
                <w:szCs w:val="20"/>
              </w:rPr>
              <w:t xml:space="preserve"> </w:t>
            </w:r>
            <w:r w:rsidRPr="23285676">
              <w:rPr>
                <w:rFonts w:ascii="Verdana" w:hAnsi="Verdana"/>
                <w:sz w:val="20"/>
                <w:szCs w:val="20"/>
              </w:rPr>
              <w:t xml:space="preserve"> Réf fiche 2.11</w:t>
            </w:r>
            <w:r w:rsidR="0CFBF19A" w:rsidRPr="23285676">
              <w:rPr>
                <w:rFonts w:ascii="Verdana" w:hAnsi="Verdana"/>
                <w:sz w:val="20"/>
                <w:szCs w:val="20"/>
              </w:rPr>
              <w:t xml:space="preserve">- Ebauche de L’accord de </w:t>
            </w:r>
            <w:r w:rsidR="2E375880" w:rsidRPr="23285676">
              <w:rPr>
                <w:rFonts w:ascii="Verdana" w:hAnsi="Verdana"/>
                <w:sz w:val="20"/>
                <w:szCs w:val="20"/>
              </w:rPr>
              <w:t>coopération</w:t>
            </w:r>
            <w:r w:rsidR="0CFBF19A" w:rsidRPr="23285676">
              <w:rPr>
                <w:rFonts w:ascii="Verdana" w:hAnsi="Verdana"/>
                <w:sz w:val="20"/>
                <w:szCs w:val="20"/>
              </w:rPr>
              <w:t xml:space="preserve"> avec </w:t>
            </w:r>
            <w:r w:rsidR="16D4A5A7" w:rsidRPr="23285676">
              <w:rPr>
                <w:rFonts w:ascii="Verdana" w:hAnsi="Verdana"/>
                <w:sz w:val="20"/>
                <w:szCs w:val="20"/>
              </w:rPr>
              <w:t>UNESCO révisé</w:t>
            </w:r>
            <w:r w:rsidR="0CFBF19A" w:rsidRPr="23285676">
              <w:rPr>
                <w:rFonts w:ascii="Verdana" w:hAnsi="Verdana"/>
                <w:sz w:val="20"/>
                <w:szCs w:val="20"/>
              </w:rPr>
              <w:t xml:space="preserve"> </w:t>
            </w:r>
            <w:r w:rsidR="6C6D7507" w:rsidRPr="23285676">
              <w:rPr>
                <w:rFonts w:ascii="Verdana" w:hAnsi="Verdana"/>
                <w:sz w:val="20"/>
                <w:szCs w:val="20"/>
              </w:rPr>
              <w:t xml:space="preserve">qui servira de base pour établir des accords spécifiques avec les agences subsidiaires de l'UNESCO </w:t>
            </w:r>
          </w:p>
          <w:p w14:paraId="2A815C6B" w14:textId="10BE406B" w:rsidR="00934F28" w:rsidRPr="00B76BE0" w:rsidRDefault="3B47A732" w:rsidP="23285676">
            <w:pPr>
              <w:rPr>
                <w:rFonts w:ascii="Verdana" w:hAnsi="Verdana"/>
                <w:sz w:val="20"/>
                <w:szCs w:val="20"/>
              </w:rPr>
            </w:pPr>
            <w:r w:rsidRPr="23285676">
              <w:rPr>
                <w:rFonts w:ascii="Verdana" w:hAnsi="Verdana"/>
                <w:sz w:val="20"/>
                <w:szCs w:val="20"/>
              </w:rPr>
              <w:t>10</w:t>
            </w:r>
            <w:r w:rsidR="4C393329" w:rsidRPr="23285676">
              <w:rPr>
                <w:rFonts w:ascii="Verdana" w:hAnsi="Verdana"/>
                <w:sz w:val="20"/>
                <w:szCs w:val="20"/>
              </w:rPr>
              <w:t>b) ii.</w:t>
            </w:r>
            <w:r w:rsidR="09B16D05" w:rsidRPr="23285676">
              <w:rPr>
                <w:rFonts w:ascii="Verdana" w:hAnsi="Verdana"/>
                <w:sz w:val="20"/>
                <w:szCs w:val="20"/>
              </w:rPr>
              <w:t xml:space="preserve"> </w:t>
            </w:r>
            <w:r w:rsidR="3D5D9BB8" w:rsidRPr="23285676">
              <w:rPr>
                <w:rFonts w:ascii="Verdana" w:hAnsi="Verdana"/>
                <w:sz w:val="20"/>
                <w:szCs w:val="20"/>
              </w:rPr>
              <w:t>Des échanges ont été entretenus entre l’Expert DRR mise à disposition par RedR Australia et l’Ordre</w:t>
            </w:r>
            <w:r w:rsidR="16ADC778" w:rsidRPr="23285676">
              <w:rPr>
                <w:rFonts w:ascii="Verdana" w:hAnsi="Verdana"/>
                <w:sz w:val="20"/>
                <w:szCs w:val="20"/>
              </w:rPr>
              <w:t xml:space="preserve"> de Malte </w:t>
            </w:r>
            <w:r w:rsidR="3542039D" w:rsidRPr="23285676">
              <w:rPr>
                <w:rFonts w:ascii="Verdana" w:hAnsi="Verdana"/>
                <w:sz w:val="20"/>
                <w:szCs w:val="20"/>
              </w:rPr>
              <w:t xml:space="preserve">pour identifier les pistes de collaboration sur la formation de la protection civile. </w:t>
            </w:r>
          </w:p>
          <w:p w14:paraId="09EF375C" w14:textId="218D6E6D" w:rsidR="00934F28" w:rsidRPr="00B76BE0" w:rsidRDefault="00934F28" w:rsidP="23285676">
            <w:pPr>
              <w:rPr>
                <w:rFonts w:ascii="Verdana" w:hAnsi="Verdana"/>
                <w:sz w:val="20"/>
                <w:szCs w:val="20"/>
              </w:rPr>
            </w:pPr>
          </w:p>
          <w:p w14:paraId="5B800AD0" w14:textId="53F5CB75" w:rsidR="00934F28" w:rsidRPr="00B76BE0" w:rsidRDefault="5B54F382" w:rsidP="23285676">
            <w:pPr>
              <w:rPr>
                <w:rFonts w:ascii="Verdana" w:hAnsi="Verdana"/>
                <w:sz w:val="20"/>
                <w:szCs w:val="20"/>
              </w:rPr>
            </w:pPr>
            <w:r w:rsidRPr="23285676">
              <w:rPr>
                <w:rFonts w:ascii="Verdana" w:hAnsi="Verdana"/>
                <w:sz w:val="20"/>
                <w:szCs w:val="20"/>
              </w:rPr>
              <w:t xml:space="preserve">10c) Réf fiche 2.10 sur l’implication du RedR Australie. </w:t>
            </w:r>
          </w:p>
        </w:tc>
        <w:tc>
          <w:tcPr>
            <w:tcW w:w="1978" w:type="dxa"/>
          </w:tcPr>
          <w:p w14:paraId="5A2BC020" w14:textId="77777777" w:rsidR="00934F28" w:rsidRPr="00B76BE0" w:rsidRDefault="00934F28">
            <w:pPr>
              <w:rPr>
                <w:rFonts w:ascii="Verdana" w:hAnsi="Verdana"/>
                <w:sz w:val="20"/>
                <w:szCs w:val="20"/>
              </w:rPr>
            </w:pPr>
          </w:p>
        </w:tc>
        <w:tc>
          <w:tcPr>
            <w:tcW w:w="2037" w:type="dxa"/>
          </w:tcPr>
          <w:p w14:paraId="5B768169" w14:textId="77777777" w:rsidR="00934F28" w:rsidRPr="00B76BE0" w:rsidRDefault="00934F28">
            <w:pPr>
              <w:rPr>
                <w:rFonts w:ascii="Verdana" w:hAnsi="Verdana"/>
                <w:sz w:val="20"/>
                <w:szCs w:val="20"/>
              </w:rPr>
            </w:pPr>
          </w:p>
        </w:tc>
      </w:tr>
      <w:tr w:rsidR="00934F28" w:rsidRPr="00B76BE0" w14:paraId="337B3AE3" w14:textId="77777777" w:rsidTr="23285676">
        <w:tc>
          <w:tcPr>
            <w:tcW w:w="5474" w:type="dxa"/>
          </w:tcPr>
          <w:p w14:paraId="4FF55ABD" w14:textId="77777777" w:rsidR="008912E0" w:rsidRPr="00244145" w:rsidRDefault="008912E0" w:rsidP="008912E0">
            <w:pPr>
              <w:spacing w:after="120" w:line="276" w:lineRule="auto"/>
              <w:jc w:val="center"/>
              <w:rPr>
                <w:rFonts w:ascii="Verdana" w:hAnsi="Verdana"/>
                <w:spacing w:val="6"/>
                <w:sz w:val="20"/>
                <w:szCs w:val="20"/>
              </w:rPr>
            </w:pPr>
            <w:r w:rsidRPr="00244145">
              <w:rPr>
                <w:rFonts w:ascii="Verdana" w:hAnsi="Verdana"/>
                <w:b/>
                <w:bCs/>
                <w:sz w:val="20"/>
                <w:szCs w:val="20"/>
              </w:rPr>
              <w:t xml:space="preserve">Décision 11. </w:t>
            </w:r>
            <w:r>
              <w:rPr>
                <w:rFonts w:ascii="Verdana" w:hAnsi="Verdana"/>
                <w:b/>
                <w:bCs/>
                <w:sz w:val="20"/>
                <w:szCs w:val="20"/>
              </w:rPr>
              <w:t>Santé</w:t>
            </w:r>
          </w:p>
          <w:p w14:paraId="12A6F4E8" w14:textId="77777777" w:rsidR="008912E0" w:rsidRDefault="008912E0" w:rsidP="008912E0">
            <w:pPr>
              <w:pStyle w:val="Sansinterligne"/>
              <w:jc w:val="both"/>
              <w:rPr>
                <w:rFonts w:ascii="Verdana" w:hAnsi="Verdana"/>
                <w:sz w:val="20"/>
                <w:szCs w:val="20"/>
              </w:rPr>
            </w:pPr>
            <w:r w:rsidRPr="00975A8B">
              <w:rPr>
                <w:rFonts w:ascii="Verdana" w:hAnsi="Verdana"/>
                <w:sz w:val="20"/>
                <w:szCs w:val="20"/>
              </w:rPr>
              <w:t xml:space="preserve">Le </w:t>
            </w:r>
            <w:r>
              <w:rPr>
                <w:rFonts w:ascii="Verdana" w:hAnsi="Verdana"/>
                <w:sz w:val="20"/>
                <w:szCs w:val="20"/>
              </w:rPr>
              <w:t>C</w:t>
            </w:r>
            <w:r w:rsidRPr="00975A8B">
              <w:rPr>
                <w:rFonts w:ascii="Verdana" w:hAnsi="Verdana"/>
                <w:sz w:val="20"/>
                <w:szCs w:val="20"/>
              </w:rPr>
              <w:t>omité des OPL</w:t>
            </w:r>
            <w:r>
              <w:rPr>
                <w:rFonts w:ascii="Verdana" w:hAnsi="Verdana"/>
                <w:sz w:val="20"/>
                <w:szCs w:val="20"/>
              </w:rPr>
              <w:t xml:space="preserve"> : </w:t>
            </w:r>
          </w:p>
          <w:p w14:paraId="2A0E1F81" w14:textId="77777777" w:rsidR="008912E0" w:rsidRPr="00B452CF" w:rsidRDefault="008912E0" w:rsidP="008912E0">
            <w:pPr>
              <w:pStyle w:val="Sansinterligne"/>
              <w:numPr>
                <w:ilvl w:val="0"/>
                <w:numId w:val="16"/>
              </w:numPr>
              <w:spacing w:after="80"/>
              <w:ind w:left="567"/>
              <w:jc w:val="both"/>
              <w:rPr>
                <w:rFonts w:ascii="Verdana" w:hAnsi="Verdana" w:cs="Verdana"/>
                <w:bCs/>
                <w:color w:val="000000" w:themeColor="text1"/>
                <w:sz w:val="20"/>
                <w:szCs w:val="20"/>
              </w:rPr>
            </w:pPr>
            <w:r>
              <w:rPr>
                <w:rFonts w:ascii="Verdana" w:hAnsi="Verdana" w:cs="Verdana"/>
                <w:bCs/>
                <w:color w:val="000000" w:themeColor="text1"/>
                <w:sz w:val="20"/>
                <w:szCs w:val="20"/>
              </w:rPr>
              <w:t>Prend note de la Déclaration adoptée par la Conférence ministérielle sur la sécurité sanitaire dans l’océan Indien et félicite le Secrétariat général pour son organisation ;</w:t>
            </w:r>
          </w:p>
          <w:p w14:paraId="7ADB6CAE" w14:textId="77777777" w:rsidR="008912E0" w:rsidRDefault="008912E0" w:rsidP="008912E0">
            <w:pPr>
              <w:pStyle w:val="Sansinterligne"/>
              <w:numPr>
                <w:ilvl w:val="0"/>
                <w:numId w:val="16"/>
              </w:numPr>
              <w:spacing w:before="120" w:after="8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Prend note de l’avancement du programme FETP</w:t>
            </w:r>
            <w:r>
              <w:rPr>
                <w:rFonts w:ascii="Verdana" w:hAnsi="Verdana" w:cs="Verdana"/>
                <w:bCs/>
                <w:color w:val="000000" w:themeColor="text1"/>
                <w:sz w:val="20"/>
                <w:szCs w:val="20"/>
              </w:rPr>
              <w:t xml:space="preserve"> (formation en épidémiologie de terrain)</w:t>
            </w:r>
            <w:r w:rsidRPr="00E53C32">
              <w:rPr>
                <w:rFonts w:ascii="Verdana" w:hAnsi="Verdana" w:cs="Verdana"/>
                <w:bCs/>
                <w:color w:val="000000" w:themeColor="text1"/>
                <w:sz w:val="20"/>
                <w:szCs w:val="20"/>
              </w:rPr>
              <w:t>, et demande</w:t>
            </w:r>
            <w:r>
              <w:rPr>
                <w:rFonts w:ascii="Verdana" w:hAnsi="Verdana" w:cs="Verdana"/>
                <w:bCs/>
                <w:color w:val="000000" w:themeColor="text1"/>
                <w:sz w:val="20"/>
                <w:szCs w:val="20"/>
              </w:rPr>
              <w:t xml:space="preserve"> </w:t>
            </w:r>
            <w:r w:rsidRPr="00E53C32">
              <w:rPr>
                <w:rFonts w:ascii="Verdana" w:hAnsi="Verdana" w:cs="Verdana"/>
                <w:bCs/>
                <w:color w:val="000000" w:themeColor="text1"/>
                <w:sz w:val="20"/>
                <w:szCs w:val="20"/>
              </w:rPr>
              <w:t xml:space="preserve">au Secrétariat général de </w:t>
            </w:r>
            <w:r>
              <w:rPr>
                <w:rFonts w:ascii="Verdana" w:hAnsi="Verdana" w:cs="Verdana"/>
                <w:bCs/>
                <w:color w:val="000000" w:themeColor="text1"/>
                <w:sz w:val="20"/>
                <w:szCs w:val="20"/>
              </w:rPr>
              <w:t>poursuivre les efforts pour soumettre les conventions opérationnelles restantes et pour mener les actions de plaidoyer nécessaires pour obtenir l’accréditation du master FETP ;</w:t>
            </w:r>
          </w:p>
          <w:p w14:paraId="4EE540BA" w14:textId="77777777" w:rsidR="008912E0" w:rsidRDefault="008912E0" w:rsidP="008912E0">
            <w:pPr>
              <w:pStyle w:val="Sansinterligne"/>
              <w:numPr>
                <w:ilvl w:val="0"/>
                <w:numId w:val="16"/>
              </w:numPr>
              <w:spacing w:before="120" w:after="8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Demande au Secrétariat général d’évaluer, avec l’Agence française de développement, la possibilité d’augmenter le nombre de cohortes du programme FETP Frontline à Madagascar ;</w:t>
            </w:r>
          </w:p>
          <w:p w14:paraId="4BF1009A" w14:textId="77777777" w:rsidR="008912E0" w:rsidRDefault="008912E0" w:rsidP="008912E0">
            <w:pPr>
              <w:pStyle w:val="Sansinterligne"/>
              <w:numPr>
                <w:ilvl w:val="0"/>
                <w:numId w:val="16"/>
              </w:numPr>
              <w:spacing w:before="120" w:after="8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 xml:space="preserve">Encourage le Secrétariat général à explorer d’autres financements pour assurer la poursuite du programme santé conformément à la Stratégie régionale récemment validée lors de la Conférence ministérielle, </w:t>
            </w:r>
            <w:r>
              <w:rPr>
                <w:rFonts w:ascii="Verdana" w:hAnsi="Verdana" w:cs="Verdana"/>
                <w:bCs/>
                <w:color w:val="000000" w:themeColor="text1"/>
                <w:sz w:val="20"/>
                <w:szCs w:val="20"/>
              </w:rPr>
              <w:lastRenderedPageBreak/>
              <w:t>après approbation par le Conseil des ministres ;</w:t>
            </w:r>
            <w:r w:rsidRPr="00E53C32">
              <w:rPr>
                <w:rFonts w:ascii="Verdana" w:hAnsi="Verdana" w:cs="Verdana"/>
                <w:bCs/>
                <w:color w:val="000000" w:themeColor="text1"/>
                <w:sz w:val="20"/>
                <w:szCs w:val="20"/>
              </w:rPr>
              <w:t xml:space="preserve"> </w:t>
            </w:r>
          </w:p>
          <w:p w14:paraId="77B0F666" w14:textId="77777777" w:rsidR="008912E0" w:rsidRPr="002B7723" w:rsidRDefault="008912E0" w:rsidP="008912E0">
            <w:pPr>
              <w:pStyle w:val="Sansinterligne"/>
              <w:numPr>
                <w:ilvl w:val="0"/>
                <w:numId w:val="16"/>
              </w:numPr>
              <w:spacing w:before="120" w:after="80"/>
              <w:ind w:left="567" w:hanging="35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 xml:space="preserve">Prend </w:t>
            </w:r>
            <w:r>
              <w:rPr>
                <w:rFonts w:ascii="Verdana" w:hAnsi="Verdana" w:cs="Verdana"/>
                <w:bCs/>
                <w:color w:val="000000" w:themeColor="text1"/>
                <w:sz w:val="20"/>
                <w:szCs w:val="20"/>
              </w:rPr>
              <w:t xml:space="preserve">note des avancées du rapprochement avec l’Africa-CDC et de la soumission prochaine d’un projet de convention pour validation ; </w:t>
            </w:r>
          </w:p>
          <w:p w14:paraId="5AE99AD1" w14:textId="77777777" w:rsidR="008912E0" w:rsidRDefault="008912E0" w:rsidP="008912E0">
            <w:pPr>
              <w:pStyle w:val="Sansinterligne"/>
              <w:numPr>
                <w:ilvl w:val="0"/>
                <w:numId w:val="16"/>
              </w:numPr>
              <w:spacing w:after="80"/>
              <w:ind w:left="567"/>
              <w:jc w:val="both"/>
              <w:rPr>
                <w:rFonts w:ascii="Verdana" w:hAnsi="Verdana" w:cs="Verdana"/>
                <w:bCs/>
                <w:color w:val="000000" w:themeColor="text1"/>
                <w:sz w:val="20"/>
                <w:szCs w:val="20"/>
              </w:rPr>
            </w:pPr>
            <w:r w:rsidRPr="00E53C32">
              <w:rPr>
                <w:rFonts w:ascii="Verdana" w:hAnsi="Verdana" w:cs="Verdana"/>
                <w:bCs/>
                <w:color w:val="000000" w:themeColor="text1"/>
                <w:sz w:val="20"/>
                <w:szCs w:val="20"/>
              </w:rPr>
              <w:t>Remercie l’Agence franç</w:t>
            </w:r>
            <w:r w:rsidRPr="00E53C32">
              <w:rPr>
                <w:rFonts w:ascii="Verdana" w:hAnsi="Verdana" w:cs="Arial"/>
                <w:bCs/>
                <w:color w:val="000000" w:themeColor="text1"/>
                <w:sz w:val="20"/>
                <w:szCs w:val="20"/>
              </w:rPr>
              <w:t>a</w:t>
            </w:r>
            <w:r w:rsidRPr="00E53C32">
              <w:rPr>
                <w:rFonts w:ascii="Verdana" w:hAnsi="Verdana" w:cs="Verdana"/>
                <w:bCs/>
                <w:color w:val="000000" w:themeColor="text1"/>
                <w:sz w:val="20"/>
                <w:szCs w:val="20"/>
              </w:rPr>
              <w:t xml:space="preserve">ise de développement (AFD) </w:t>
            </w:r>
            <w:r>
              <w:rPr>
                <w:rFonts w:ascii="Verdana" w:hAnsi="Verdana" w:cs="Verdana"/>
                <w:bCs/>
                <w:color w:val="000000" w:themeColor="text1"/>
                <w:sz w:val="20"/>
                <w:szCs w:val="20"/>
              </w:rPr>
              <w:t>pour son soutien continu depuis la création du réseau SEGA - One Health et prend note de son accord pour la prorogation des projets RSIE3 et 4, et de l’annonce d’un nouveau financement impliquant l’appui aux activités socles du réseau SEGA - One Health ainsi que la collaboration avec d’autres réseaux en Asie du Sud-Est et dans le Pacifique ;</w:t>
            </w:r>
          </w:p>
          <w:p w14:paraId="4EE53631" w14:textId="77777777" w:rsidR="008912E0" w:rsidRDefault="008912E0" w:rsidP="008912E0">
            <w:pPr>
              <w:pStyle w:val="Sansinterligne"/>
              <w:numPr>
                <w:ilvl w:val="0"/>
                <w:numId w:val="16"/>
              </w:numPr>
              <w:spacing w:after="80"/>
              <w:ind w:left="567"/>
              <w:jc w:val="both"/>
              <w:rPr>
                <w:rFonts w:ascii="Verdana" w:hAnsi="Verdana" w:cs="Verdana"/>
                <w:bCs/>
                <w:color w:val="000000" w:themeColor="text1"/>
                <w:sz w:val="20"/>
                <w:szCs w:val="20"/>
              </w:rPr>
            </w:pPr>
            <w:r>
              <w:rPr>
                <w:rFonts w:ascii="Verdana" w:hAnsi="Verdana" w:cs="Verdana"/>
                <w:bCs/>
                <w:color w:val="000000" w:themeColor="text1"/>
                <w:sz w:val="20"/>
                <w:szCs w:val="20"/>
              </w:rPr>
              <w:t>Demande au</w:t>
            </w:r>
            <w:r w:rsidRPr="00E53C32">
              <w:rPr>
                <w:rFonts w:ascii="Verdana" w:hAnsi="Verdana" w:cs="Verdana"/>
                <w:bCs/>
                <w:color w:val="000000" w:themeColor="text1"/>
                <w:sz w:val="20"/>
                <w:szCs w:val="20"/>
              </w:rPr>
              <w:t xml:space="preserve"> Secrétariat </w:t>
            </w:r>
            <w:r>
              <w:rPr>
                <w:rFonts w:ascii="Verdana" w:hAnsi="Verdana" w:cs="Verdana"/>
                <w:bCs/>
                <w:color w:val="000000" w:themeColor="text1"/>
                <w:sz w:val="20"/>
                <w:szCs w:val="20"/>
              </w:rPr>
              <w:t>g</w:t>
            </w:r>
            <w:r w:rsidRPr="00E53C32">
              <w:rPr>
                <w:rFonts w:ascii="Verdana" w:hAnsi="Verdana" w:cs="Verdana"/>
                <w:bCs/>
                <w:color w:val="000000" w:themeColor="text1"/>
                <w:sz w:val="20"/>
                <w:szCs w:val="20"/>
              </w:rPr>
              <w:t xml:space="preserve">énéral de la COI </w:t>
            </w:r>
            <w:r>
              <w:rPr>
                <w:rFonts w:ascii="Verdana" w:hAnsi="Verdana" w:cs="Verdana"/>
                <w:bCs/>
                <w:color w:val="000000" w:themeColor="text1"/>
                <w:sz w:val="20"/>
                <w:szCs w:val="20"/>
              </w:rPr>
              <w:t xml:space="preserve">de circuler aux Etats membres la documentation relative au nouveau projet de sécurité sanitaire en Indopacifique financé par l’AFD en vue d’une approbation permettant la finalisation de l’instruction et la signature de la convention de financement dans les meilleurs délais  </w:t>
            </w:r>
          </w:p>
          <w:p w14:paraId="42145B86" w14:textId="59014F4D" w:rsidR="006C0034" w:rsidRPr="008912E0" w:rsidRDefault="008912E0" w:rsidP="008912E0">
            <w:pPr>
              <w:pStyle w:val="Sansinterligne"/>
              <w:numPr>
                <w:ilvl w:val="0"/>
                <w:numId w:val="16"/>
              </w:numPr>
              <w:spacing w:after="80"/>
              <w:ind w:left="567"/>
              <w:jc w:val="both"/>
              <w:rPr>
                <w:rFonts w:ascii="Verdana" w:hAnsi="Verdana" w:cs="Verdana"/>
                <w:bCs/>
                <w:color w:val="000000" w:themeColor="text1"/>
                <w:sz w:val="20"/>
                <w:szCs w:val="20"/>
              </w:rPr>
            </w:pPr>
            <w:r w:rsidRPr="0038639E">
              <w:rPr>
                <w:rFonts w:ascii="Verdana" w:hAnsi="Verdana" w:cs="Verdana"/>
                <w:bCs/>
                <w:color w:val="000000" w:themeColor="text1"/>
                <w:sz w:val="20"/>
                <w:szCs w:val="20"/>
              </w:rPr>
              <w:t>Remercie l’Union européenne (UE) pour son soutien au réseau SEGA - One Health et prend note de son accord pour la prorogation de la durée de mise en œuvre du projet RSIE4, et de sa volonté de poursuivre cet appui aux activités du réseau.</w:t>
            </w:r>
          </w:p>
        </w:tc>
        <w:tc>
          <w:tcPr>
            <w:tcW w:w="5031" w:type="dxa"/>
          </w:tcPr>
          <w:p w14:paraId="60194212" w14:textId="77777777" w:rsidR="00934F28" w:rsidRDefault="00934F28">
            <w:pPr>
              <w:rPr>
                <w:rFonts w:ascii="Verdana" w:hAnsi="Verdana"/>
                <w:sz w:val="20"/>
                <w:szCs w:val="20"/>
              </w:rPr>
            </w:pPr>
          </w:p>
          <w:p w14:paraId="18AD2B2B" w14:textId="77777777" w:rsidR="00500BEB" w:rsidRDefault="00500BEB">
            <w:pPr>
              <w:rPr>
                <w:rFonts w:ascii="Verdana" w:hAnsi="Verdana"/>
                <w:sz w:val="20"/>
                <w:szCs w:val="20"/>
              </w:rPr>
            </w:pPr>
          </w:p>
          <w:p w14:paraId="17D6B222" w14:textId="77777777" w:rsidR="00500BEB" w:rsidRDefault="00500BEB">
            <w:pPr>
              <w:rPr>
                <w:rFonts w:ascii="Verdana" w:hAnsi="Verdana"/>
                <w:sz w:val="20"/>
                <w:szCs w:val="20"/>
              </w:rPr>
            </w:pPr>
          </w:p>
          <w:p w14:paraId="6C0E669E" w14:textId="12C57B38" w:rsidR="00500BEB" w:rsidRDefault="73152B5A" w:rsidP="14736B62">
            <w:pPr>
              <w:spacing w:line="257" w:lineRule="auto"/>
              <w:ind w:left="720"/>
              <w:jc w:val="both"/>
              <w:rPr>
                <w:rFonts w:ascii="Verdana" w:eastAsia="Verdana" w:hAnsi="Verdana" w:cs="Verdana"/>
                <w:sz w:val="20"/>
                <w:szCs w:val="20"/>
              </w:rPr>
            </w:pPr>
            <w:r w:rsidRPr="14736B62">
              <w:rPr>
                <w:rFonts w:ascii="Verdana" w:eastAsia="Verdana" w:hAnsi="Verdana" w:cs="Verdana"/>
                <w:sz w:val="20"/>
                <w:szCs w:val="20"/>
              </w:rPr>
              <w:t>b) Le Master FETP a été accrédité en février 2024 par le High Education Committee</w:t>
            </w:r>
          </w:p>
          <w:p w14:paraId="25E6E4E6" w14:textId="13986137" w:rsidR="00500BEB" w:rsidRDefault="73152B5A" w:rsidP="14736B62">
            <w:pPr>
              <w:spacing w:line="257" w:lineRule="auto"/>
              <w:ind w:left="720"/>
              <w:jc w:val="both"/>
              <w:rPr>
                <w:rFonts w:ascii="Verdana" w:eastAsia="Verdana" w:hAnsi="Verdana" w:cs="Verdana"/>
                <w:sz w:val="20"/>
                <w:szCs w:val="20"/>
              </w:rPr>
            </w:pPr>
            <w:r w:rsidRPr="14736B62">
              <w:rPr>
                <w:rFonts w:ascii="Verdana" w:eastAsia="Verdana" w:hAnsi="Verdana" w:cs="Verdana"/>
                <w:sz w:val="20"/>
                <w:szCs w:val="20"/>
              </w:rPr>
              <w:t xml:space="preserve"> </w:t>
            </w:r>
          </w:p>
          <w:p w14:paraId="1923CE59" w14:textId="7954D771" w:rsidR="00500BEB" w:rsidRDefault="73152B5A" w:rsidP="14736B62">
            <w:pPr>
              <w:spacing w:line="257" w:lineRule="auto"/>
              <w:ind w:left="720"/>
              <w:jc w:val="both"/>
              <w:rPr>
                <w:rFonts w:ascii="Verdana" w:eastAsia="Verdana" w:hAnsi="Verdana" w:cs="Verdana"/>
                <w:sz w:val="20"/>
                <w:szCs w:val="20"/>
              </w:rPr>
            </w:pPr>
            <w:r w:rsidRPr="14736B62">
              <w:rPr>
                <w:rFonts w:ascii="Verdana" w:eastAsia="Verdana" w:hAnsi="Verdana" w:cs="Verdana"/>
                <w:sz w:val="20"/>
                <w:szCs w:val="20"/>
              </w:rPr>
              <w:t>c) Deux nouvelles cohortes FETP-Frontline (4et5) accordées pour Madagascar. Le contrat de mise en œuvre avec l’Institut Nationale de Santé Publique et Communuautaire est en cours de signature. Une sixième cohorte est aussi prévue dans le cadre du nouveau projet SSIP signé avec l’AFD</w:t>
            </w:r>
          </w:p>
          <w:p w14:paraId="74D40CB7" w14:textId="07FD7FC8" w:rsidR="00500BEB" w:rsidRDefault="00500BEB" w:rsidP="14736B62">
            <w:pPr>
              <w:spacing w:line="257" w:lineRule="auto"/>
              <w:ind w:left="720"/>
              <w:jc w:val="both"/>
              <w:rPr>
                <w:rFonts w:ascii="Verdana" w:eastAsia="Verdana" w:hAnsi="Verdana" w:cs="Verdana"/>
                <w:sz w:val="20"/>
                <w:szCs w:val="20"/>
              </w:rPr>
            </w:pPr>
          </w:p>
          <w:p w14:paraId="5B3EDCEF" w14:textId="6717B1DA" w:rsidR="00500BEB" w:rsidRDefault="3D5A30F8" w:rsidP="14736B62">
            <w:pPr>
              <w:spacing w:line="257" w:lineRule="auto"/>
              <w:ind w:left="720"/>
              <w:jc w:val="both"/>
              <w:rPr>
                <w:rFonts w:ascii="Verdana" w:eastAsia="Verdana" w:hAnsi="Verdana" w:cs="Verdana"/>
                <w:sz w:val="20"/>
                <w:szCs w:val="20"/>
              </w:rPr>
            </w:pPr>
            <w:r w:rsidRPr="14736B62">
              <w:rPr>
                <w:rFonts w:ascii="Verdana" w:eastAsia="Verdana" w:hAnsi="Verdana" w:cs="Verdana"/>
                <w:sz w:val="20"/>
                <w:szCs w:val="20"/>
              </w:rPr>
              <w:t>d</w:t>
            </w:r>
            <w:r w:rsidR="73152B5A" w:rsidRPr="14736B62">
              <w:rPr>
                <w:rFonts w:ascii="Verdana" w:eastAsia="Verdana" w:hAnsi="Verdana" w:cs="Verdana"/>
                <w:sz w:val="20"/>
                <w:szCs w:val="20"/>
              </w:rPr>
              <w:t>) Soumission de propositions dans le cadre de la programmation NDICI de l’UE, avec des retours favorables. Exploration des autres possibilités de financement mais nécessite que l’équipe de coordination du Fonds SEGA-One Health soit en place pour que cette activité soit optimale.</w:t>
            </w:r>
          </w:p>
          <w:p w14:paraId="4CBAD103" w14:textId="59943AD6" w:rsidR="00500BEB" w:rsidRDefault="73152B5A" w:rsidP="14736B62">
            <w:pPr>
              <w:spacing w:line="257" w:lineRule="auto"/>
              <w:ind w:left="720"/>
              <w:jc w:val="both"/>
              <w:rPr>
                <w:rFonts w:ascii="Verdana" w:eastAsia="Verdana" w:hAnsi="Verdana" w:cs="Verdana"/>
                <w:sz w:val="20"/>
                <w:szCs w:val="20"/>
              </w:rPr>
            </w:pPr>
            <w:r w:rsidRPr="14736B62">
              <w:rPr>
                <w:rFonts w:ascii="Verdana" w:eastAsia="Verdana" w:hAnsi="Verdana" w:cs="Verdana"/>
                <w:sz w:val="20"/>
                <w:szCs w:val="20"/>
              </w:rPr>
              <w:lastRenderedPageBreak/>
              <w:t xml:space="preserve"> </w:t>
            </w:r>
          </w:p>
          <w:p w14:paraId="2170E1F9" w14:textId="3ACAE14C" w:rsidR="00500BEB" w:rsidRDefault="537CB023" w:rsidP="14736B62">
            <w:pPr>
              <w:spacing w:line="257" w:lineRule="auto"/>
              <w:jc w:val="both"/>
              <w:rPr>
                <w:rFonts w:ascii="Verdana" w:eastAsia="Verdana" w:hAnsi="Verdana" w:cs="Verdana"/>
                <w:sz w:val="20"/>
                <w:szCs w:val="20"/>
              </w:rPr>
            </w:pPr>
            <w:r w:rsidRPr="14736B62">
              <w:rPr>
                <w:rFonts w:ascii="Verdana" w:eastAsia="Verdana" w:hAnsi="Verdana" w:cs="Verdana"/>
                <w:sz w:val="20"/>
                <w:szCs w:val="20"/>
              </w:rPr>
              <w:t>e</w:t>
            </w:r>
            <w:r w:rsidR="73152B5A" w:rsidRPr="14736B62">
              <w:rPr>
                <w:rFonts w:ascii="Verdana" w:eastAsia="Verdana" w:hAnsi="Verdana" w:cs="Verdana"/>
                <w:sz w:val="20"/>
                <w:szCs w:val="20"/>
              </w:rPr>
              <w:t>) Invitation de Africa-CDC au dernier comité de pilotage du réseau SEGA-One Health en décembre 2023. Annonce d’une mission prochaine de Africa-CDC au siège de la COI pour discuter d’un MoU.</w:t>
            </w:r>
          </w:p>
          <w:p w14:paraId="4BEEC77C" w14:textId="082565E4" w:rsidR="00500BEB" w:rsidRDefault="00500BEB" w:rsidP="14736B62">
            <w:pPr>
              <w:spacing w:line="257" w:lineRule="auto"/>
              <w:jc w:val="both"/>
              <w:rPr>
                <w:rFonts w:ascii="Verdana" w:eastAsia="Verdana" w:hAnsi="Verdana" w:cs="Verdana"/>
                <w:sz w:val="20"/>
                <w:szCs w:val="20"/>
              </w:rPr>
            </w:pPr>
          </w:p>
          <w:p w14:paraId="106F42F5" w14:textId="7E41D282" w:rsidR="006C7982" w:rsidRDefault="345A72CC" w:rsidP="00B20C08">
            <w:pPr>
              <w:spacing w:after="160" w:line="257" w:lineRule="auto"/>
              <w:ind w:left="720"/>
              <w:jc w:val="both"/>
              <w:rPr>
                <w:rFonts w:ascii="Verdana" w:hAnsi="Verdana"/>
                <w:sz w:val="20"/>
                <w:szCs w:val="20"/>
              </w:rPr>
            </w:pPr>
            <w:r w:rsidRPr="14736B62">
              <w:rPr>
                <w:rFonts w:ascii="Verdana" w:eastAsia="Verdana" w:hAnsi="Verdana" w:cs="Verdana"/>
                <w:sz w:val="20"/>
                <w:szCs w:val="20"/>
              </w:rPr>
              <w:t>g)</w:t>
            </w:r>
            <w:r w:rsidR="73152B5A" w:rsidRPr="14736B62">
              <w:rPr>
                <w:rFonts w:ascii="Verdana" w:eastAsia="Verdana" w:hAnsi="Verdana" w:cs="Verdana"/>
                <w:sz w:val="20"/>
                <w:szCs w:val="20"/>
              </w:rPr>
              <w:t>La convention du projet de renforcement de la sécurité sanitaire dans la région Indopacifique a été partagée aux États membres</w:t>
            </w:r>
            <w:r w:rsidR="678CCA96" w:rsidRPr="14736B62">
              <w:rPr>
                <w:rFonts w:ascii="Verdana" w:eastAsia="Verdana" w:hAnsi="Verdana" w:cs="Verdana"/>
                <w:sz w:val="20"/>
                <w:szCs w:val="20"/>
              </w:rPr>
              <w:t xml:space="preserve"> et la</w:t>
            </w:r>
            <w:r w:rsidR="73152B5A" w:rsidRPr="14736B62">
              <w:rPr>
                <w:rFonts w:ascii="Verdana" w:eastAsia="Verdana" w:hAnsi="Verdana" w:cs="Verdana"/>
                <w:sz w:val="20"/>
                <w:szCs w:val="20"/>
              </w:rPr>
              <w:t xml:space="preserve"> signature de la convention de financement a été effectuée, en présence du Directeur général de l’AFD,  le 26 février 2024</w:t>
            </w:r>
          </w:p>
          <w:p w14:paraId="1A53DAD3" w14:textId="77777777" w:rsidR="006C7982" w:rsidRDefault="006C7982">
            <w:pPr>
              <w:rPr>
                <w:rFonts w:ascii="Verdana" w:hAnsi="Verdana"/>
                <w:sz w:val="20"/>
                <w:szCs w:val="20"/>
              </w:rPr>
            </w:pPr>
          </w:p>
          <w:p w14:paraId="4A309FDD" w14:textId="77777777" w:rsidR="006C7982" w:rsidRDefault="006C7982">
            <w:pPr>
              <w:rPr>
                <w:rFonts w:ascii="Verdana" w:hAnsi="Verdana"/>
                <w:sz w:val="20"/>
                <w:szCs w:val="20"/>
              </w:rPr>
            </w:pPr>
          </w:p>
          <w:p w14:paraId="156C3D8E" w14:textId="77777777" w:rsidR="006C7982" w:rsidRDefault="006C7982">
            <w:pPr>
              <w:rPr>
                <w:rFonts w:ascii="Verdana" w:hAnsi="Verdana"/>
                <w:sz w:val="20"/>
                <w:szCs w:val="20"/>
              </w:rPr>
            </w:pPr>
          </w:p>
          <w:p w14:paraId="43F29A57" w14:textId="77777777" w:rsidR="006C7982" w:rsidRDefault="006C7982">
            <w:pPr>
              <w:rPr>
                <w:rFonts w:ascii="Verdana" w:hAnsi="Verdana"/>
                <w:sz w:val="20"/>
                <w:szCs w:val="20"/>
              </w:rPr>
            </w:pPr>
          </w:p>
          <w:p w14:paraId="27613CB5" w14:textId="77777777" w:rsidR="006C7982" w:rsidRDefault="006C7982">
            <w:pPr>
              <w:rPr>
                <w:rFonts w:ascii="Verdana" w:hAnsi="Verdana"/>
                <w:sz w:val="20"/>
                <w:szCs w:val="20"/>
              </w:rPr>
            </w:pPr>
          </w:p>
          <w:p w14:paraId="5D9708AB" w14:textId="77777777" w:rsidR="006C7982" w:rsidRDefault="006C7982">
            <w:pPr>
              <w:rPr>
                <w:rFonts w:ascii="Verdana" w:hAnsi="Verdana"/>
                <w:sz w:val="20"/>
                <w:szCs w:val="20"/>
              </w:rPr>
            </w:pPr>
          </w:p>
          <w:p w14:paraId="25CF4750" w14:textId="77777777" w:rsidR="006C7982" w:rsidRDefault="006C7982">
            <w:pPr>
              <w:rPr>
                <w:rFonts w:ascii="Verdana" w:hAnsi="Verdana"/>
                <w:sz w:val="20"/>
                <w:szCs w:val="20"/>
              </w:rPr>
            </w:pPr>
          </w:p>
          <w:p w14:paraId="50264EFD" w14:textId="77777777" w:rsidR="006C7982" w:rsidRDefault="006C7982">
            <w:pPr>
              <w:rPr>
                <w:rFonts w:ascii="Verdana" w:hAnsi="Verdana"/>
                <w:sz w:val="20"/>
                <w:szCs w:val="20"/>
              </w:rPr>
            </w:pPr>
          </w:p>
          <w:p w14:paraId="7071872C" w14:textId="77777777" w:rsidR="006C7982" w:rsidRDefault="006C7982">
            <w:pPr>
              <w:rPr>
                <w:rFonts w:ascii="Verdana" w:hAnsi="Verdana"/>
                <w:sz w:val="20"/>
                <w:szCs w:val="20"/>
              </w:rPr>
            </w:pPr>
          </w:p>
          <w:p w14:paraId="509BFDB2" w14:textId="77777777" w:rsidR="006C7982" w:rsidRDefault="006C7982">
            <w:pPr>
              <w:rPr>
                <w:rFonts w:ascii="Verdana" w:hAnsi="Verdana"/>
                <w:sz w:val="20"/>
                <w:szCs w:val="20"/>
              </w:rPr>
            </w:pPr>
          </w:p>
          <w:p w14:paraId="0B56D07B" w14:textId="77777777" w:rsidR="00B20C08" w:rsidRDefault="00B20C08">
            <w:pPr>
              <w:rPr>
                <w:rFonts w:ascii="Verdana" w:hAnsi="Verdana"/>
                <w:sz w:val="20"/>
                <w:szCs w:val="20"/>
              </w:rPr>
            </w:pPr>
          </w:p>
          <w:p w14:paraId="4116B85D" w14:textId="77777777" w:rsidR="00B20C08" w:rsidRDefault="00B20C08">
            <w:pPr>
              <w:rPr>
                <w:rFonts w:ascii="Verdana" w:hAnsi="Verdana"/>
                <w:sz w:val="20"/>
                <w:szCs w:val="20"/>
              </w:rPr>
            </w:pPr>
          </w:p>
          <w:p w14:paraId="14FA1918" w14:textId="77777777" w:rsidR="00B20C08" w:rsidRDefault="00B20C08">
            <w:pPr>
              <w:rPr>
                <w:rFonts w:ascii="Verdana" w:hAnsi="Verdana"/>
                <w:sz w:val="20"/>
                <w:szCs w:val="20"/>
              </w:rPr>
            </w:pPr>
          </w:p>
          <w:p w14:paraId="22080AB5" w14:textId="472B0161" w:rsidR="00D50E17" w:rsidRPr="00B76BE0" w:rsidRDefault="00D50E17">
            <w:pPr>
              <w:rPr>
                <w:rFonts w:ascii="Verdana" w:hAnsi="Verdana"/>
                <w:sz w:val="20"/>
                <w:szCs w:val="20"/>
              </w:rPr>
            </w:pPr>
          </w:p>
        </w:tc>
        <w:tc>
          <w:tcPr>
            <w:tcW w:w="1978" w:type="dxa"/>
          </w:tcPr>
          <w:p w14:paraId="298F923B" w14:textId="77777777" w:rsidR="00934F28" w:rsidRPr="00B76BE0" w:rsidRDefault="00934F28">
            <w:pPr>
              <w:rPr>
                <w:rFonts w:ascii="Verdana" w:hAnsi="Verdana"/>
                <w:sz w:val="20"/>
                <w:szCs w:val="20"/>
              </w:rPr>
            </w:pPr>
          </w:p>
        </w:tc>
        <w:tc>
          <w:tcPr>
            <w:tcW w:w="2037" w:type="dxa"/>
          </w:tcPr>
          <w:p w14:paraId="03E9980F" w14:textId="77777777" w:rsidR="00934F28" w:rsidRPr="00B76BE0" w:rsidRDefault="00934F28">
            <w:pPr>
              <w:rPr>
                <w:rFonts w:ascii="Verdana" w:hAnsi="Verdana"/>
                <w:sz w:val="20"/>
                <w:szCs w:val="20"/>
              </w:rPr>
            </w:pPr>
          </w:p>
        </w:tc>
      </w:tr>
      <w:tr w:rsidR="00934F28" w:rsidRPr="00B76BE0" w14:paraId="1114697D" w14:textId="77777777" w:rsidTr="23285676">
        <w:tc>
          <w:tcPr>
            <w:tcW w:w="5474" w:type="dxa"/>
          </w:tcPr>
          <w:p w14:paraId="72688B3A" w14:textId="77777777" w:rsidR="00CD42E5" w:rsidRPr="00244145" w:rsidRDefault="00CD42E5" w:rsidP="00CD42E5">
            <w:pPr>
              <w:spacing w:after="120" w:line="276" w:lineRule="auto"/>
              <w:jc w:val="center"/>
              <w:rPr>
                <w:rFonts w:ascii="Verdana" w:hAnsi="Verdana"/>
                <w:spacing w:val="6"/>
                <w:sz w:val="20"/>
                <w:szCs w:val="20"/>
              </w:rPr>
            </w:pPr>
            <w:r w:rsidRPr="00244145">
              <w:rPr>
                <w:rFonts w:ascii="Verdana" w:hAnsi="Verdana"/>
                <w:b/>
                <w:bCs/>
                <w:sz w:val="20"/>
                <w:szCs w:val="20"/>
              </w:rPr>
              <w:lastRenderedPageBreak/>
              <w:t xml:space="preserve">Décision 12. </w:t>
            </w:r>
            <w:r>
              <w:rPr>
                <w:rFonts w:ascii="Verdana" w:hAnsi="Verdana"/>
                <w:b/>
                <w:bCs/>
                <w:sz w:val="20"/>
                <w:szCs w:val="20"/>
              </w:rPr>
              <w:t>Formation professionnelle</w:t>
            </w:r>
          </w:p>
          <w:p w14:paraId="2FB21274" w14:textId="77777777" w:rsidR="00CD42E5" w:rsidRPr="00AC36E7" w:rsidRDefault="00CD42E5" w:rsidP="00CD42E5">
            <w:pPr>
              <w:pStyle w:val="Paragraphe"/>
            </w:pPr>
            <w:r w:rsidRPr="00AC36E7">
              <w:t xml:space="preserve">Le Comité des OPL : </w:t>
            </w:r>
          </w:p>
          <w:p w14:paraId="5D7AB2A6" w14:textId="77777777" w:rsidR="00CD42E5" w:rsidRPr="00AC36E7" w:rsidRDefault="00CD42E5" w:rsidP="00CD42E5">
            <w:pPr>
              <w:pStyle w:val="Paragraphe"/>
              <w:numPr>
                <w:ilvl w:val="0"/>
                <w:numId w:val="36"/>
              </w:numPr>
            </w:pPr>
            <w:r w:rsidRPr="00AC36E7">
              <w:t>Demande au Secrétariat général d</w:t>
            </w:r>
            <w:r>
              <w:t>e solliciter par procédure écrite les membres du Conseil des ministres pour obtenir leur accord afin d’</w:t>
            </w:r>
            <w:r w:rsidRPr="00AC36E7">
              <w:t>organiser un atelier de validation au niveau technique, et non ministériel, du projet de programme de formation professionnelle et mobilité avec la participation des référents décisionnels et techniques des Etats membres, et de finaliser le programme pour son instruction auprès des bailleurs d’ici fin février 2024 ;</w:t>
            </w:r>
          </w:p>
          <w:p w14:paraId="47246139" w14:textId="77777777" w:rsidR="00CD42E5" w:rsidRPr="00AC36E7" w:rsidRDefault="00CD42E5" w:rsidP="00CD42E5">
            <w:pPr>
              <w:pStyle w:val="Paragraphe"/>
              <w:numPr>
                <w:ilvl w:val="0"/>
                <w:numId w:val="36"/>
              </w:numPr>
            </w:pPr>
            <w:r w:rsidRPr="00AC36E7">
              <w:t>Autorise le Secrétariat général à solliciter des ressources d</w:t>
            </w:r>
            <w:r>
              <w:t>e l’outil</w:t>
            </w:r>
            <w:r w:rsidRPr="00AC36E7">
              <w:t xml:space="preserve"> </w:t>
            </w:r>
            <w:r>
              <w:t>« </w:t>
            </w:r>
            <w:r w:rsidRPr="00AC36E7">
              <w:t>Fonds de solidarité pour les projets innovants</w:t>
            </w:r>
            <w:r>
              <w:t> »</w:t>
            </w:r>
            <w:r w:rsidRPr="00AC36E7">
              <w:t xml:space="preserve"> (FSPI)</w:t>
            </w:r>
            <w:r>
              <w:t xml:space="preserve"> déployé par le ministère français de l’Europe et des Affaires étrangères</w:t>
            </w:r>
            <w:r w:rsidRPr="00AC36E7">
              <w:t xml:space="preserve"> d’ici fin novembre 2023, afin de permettre le lancement des premières activités en formation professionnelle et mobilité dès le premier semestre 2024 après approbation formelle du programme par les Etats membres, à l’issue de l’atelier de validation technique ;  </w:t>
            </w:r>
          </w:p>
          <w:p w14:paraId="59B29628" w14:textId="77777777" w:rsidR="00CD42E5" w:rsidRPr="00AC36E7" w:rsidRDefault="00CD42E5" w:rsidP="00CD42E5">
            <w:pPr>
              <w:pStyle w:val="Paragraphe"/>
              <w:numPr>
                <w:ilvl w:val="0"/>
                <w:numId w:val="36"/>
              </w:numPr>
            </w:pPr>
            <w:r w:rsidRPr="00AC36E7">
              <w:t>Demande au Secrétariat général de soumettre le projet de programme finalisé pour approbation finale au 38</w:t>
            </w:r>
            <w:r w:rsidRPr="00AC36E7">
              <w:rPr>
                <w:vertAlign w:val="superscript"/>
              </w:rPr>
              <w:t>ème</w:t>
            </w:r>
            <w:r w:rsidRPr="00AC36E7">
              <w:t xml:space="preserve"> Conseil des ministres et pour mandat de signature au Secrétariat général des conventions de financement qui en découleront ; </w:t>
            </w:r>
          </w:p>
          <w:p w14:paraId="33375D31" w14:textId="77777777" w:rsidR="00CD42E5" w:rsidRPr="00AC36E7" w:rsidRDefault="00CD42E5" w:rsidP="00CD42E5">
            <w:pPr>
              <w:pStyle w:val="Paragraphe"/>
              <w:numPr>
                <w:ilvl w:val="0"/>
                <w:numId w:val="36"/>
              </w:numPr>
            </w:pPr>
            <w:r w:rsidRPr="00AC36E7">
              <w:lastRenderedPageBreak/>
              <w:t xml:space="preserve">Encourage le Secrétariat général à explorer toutes les opportunités de financement auprès des bailleurs et autres partenaires ; </w:t>
            </w:r>
          </w:p>
          <w:p w14:paraId="6DFEE06A" w14:textId="77777777" w:rsidR="00CD42E5" w:rsidRDefault="00CD42E5" w:rsidP="00CD42E5">
            <w:pPr>
              <w:pStyle w:val="Paragraphe"/>
              <w:numPr>
                <w:ilvl w:val="0"/>
                <w:numId w:val="36"/>
              </w:numPr>
            </w:pPr>
            <w:r w:rsidRPr="00A86B6A">
              <w:t>Demande au Secrétariat général de proposer au 38</w:t>
            </w:r>
            <w:r>
              <w:rPr>
                <w:vertAlign w:val="superscript"/>
              </w:rPr>
              <w:t>ème</w:t>
            </w:r>
            <w:r w:rsidRPr="00A86B6A">
              <w:t xml:space="preserve"> Conseil des ministres un projet d’accord-cadre avec l’Agence universitaire de la Francophonie pour examen et approbation</w:t>
            </w:r>
            <w:r>
              <w:t xml:space="preserve"> ; </w:t>
            </w:r>
          </w:p>
          <w:p w14:paraId="198EDC3A" w14:textId="26962CF6" w:rsidR="006C0034" w:rsidRPr="00CD42E5" w:rsidRDefault="00CD42E5" w:rsidP="00CD42E5">
            <w:pPr>
              <w:pStyle w:val="Paragraphe"/>
              <w:numPr>
                <w:ilvl w:val="0"/>
                <w:numId w:val="36"/>
              </w:numPr>
            </w:pPr>
            <w:r>
              <w:t>Prend note de la sollicitation du Secrétariat général aux Etats membres pour la confirmation ou la désignation des Points focaux nationaux pour la formation professionnelle</w:t>
            </w:r>
            <w:r w:rsidRPr="00A86B6A">
              <w:t>.</w:t>
            </w:r>
          </w:p>
        </w:tc>
        <w:tc>
          <w:tcPr>
            <w:tcW w:w="5031" w:type="dxa"/>
          </w:tcPr>
          <w:p w14:paraId="656D4799" w14:textId="69CCF85A" w:rsidR="00934F28" w:rsidRPr="00B76BE0" w:rsidRDefault="00934F28" w:rsidP="14736B62">
            <w:pPr>
              <w:rPr>
                <w:rFonts w:ascii="Verdana" w:hAnsi="Verdana"/>
                <w:sz w:val="20"/>
                <w:szCs w:val="20"/>
              </w:rPr>
            </w:pPr>
          </w:p>
          <w:p w14:paraId="0E2A8401" w14:textId="2F9A384A" w:rsidR="00934F28" w:rsidRPr="00B76BE0" w:rsidRDefault="00934F28" w:rsidP="14736B62">
            <w:pPr>
              <w:rPr>
                <w:rFonts w:ascii="Verdana" w:hAnsi="Verdana"/>
                <w:sz w:val="20"/>
                <w:szCs w:val="20"/>
              </w:rPr>
            </w:pPr>
          </w:p>
          <w:p w14:paraId="6E85E7B5" w14:textId="5F344A0D" w:rsidR="00934F28" w:rsidRPr="00B76BE0" w:rsidRDefault="45379658" w:rsidP="14736B62">
            <w:pPr>
              <w:pStyle w:val="Paragraphedeliste"/>
              <w:numPr>
                <w:ilvl w:val="0"/>
                <w:numId w:val="7"/>
              </w:numPr>
              <w:spacing w:line="257" w:lineRule="auto"/>
              <w:ind w:left="570"/>
              <w:rPr>
                <w:rFonts w:ascii="Verdana" w:eastAsia="Verdana" w:hAnsi="Verdana" w:cs="Verdana"/>
                <w:sz w:val="20"/>
                <w:szCs w:val="20"/>
              </w:rPr>
            </w:pPr>
            <w:r w:rsidRPr="14736B62">
              <w:rPr>
                <w:rFonts w:ascii="Verdana" w:eastAsia="Verdana" w:hAnsi="Verdana" w:cs="Verdana"/>
                <w:sz w:val="20"/>
                <w:szCs w:val="20"/>
              </w:rPr>
              <w:t xml:space="preserve">Un atelier régional de validation technique du programme s’est tenu lieu du 5 au 7 mars en présence des directeurs généraux et des référent décisionnaires en charge de la formation technique, technologique et professionnelle. Les participants ont été encouragés à faire remonter à leurs autorités respectives les résultats et les échanges ayant eu lieu pendant l’atelier. </w:t>
            </w:r>
          </w:p>
          <w:p w14:paraId="4CB96958" w14:textId="620021C9" w:rsidR="00934F28" w:rsidRPr="00B76BE0" w:rsidRDefault="45379658" w:rsidP="14736B62">
            <w:pPr>
              <w:spacing w:after="160" w:line="257" w:lineRule="auto"/>
              <w:rPr>
                <w:rFonts w:ascii="Verdana" w:eastAsia="Verdana" w:hAnsi="Verdana" w:cs="Verdana"/>
                <w:sz w:val="20"/>
                <w:szCs w:val="20"/>
              </w:rPr>
            </w:pPr>
            <w:r w:rsidRPr="14736B62">
              <w:rPr>
                <w:rFonts w:ascii="Verdana" w:eastAsia="Verdana" w:hAnsi="Verdana" w:cs="Verdana"/>
                <w:sz w:val="20"/>
                <w:szCs w:val="20"/>
              </w:rPr>
              <w:t xml:space="preserve"> </w:t>
            </w:r>
          </w:p>
          <w:p w14:paraId="2C3CF948" w14:textId="3088D4D4" w:rsidR="00934F28" w:rsidRPr="00B76BE0" w:rsidRDefault="45379658" w:rsidP="14736B62">
            <w:pPr>
              <w:pStyle w:val="Paragraphedeliste"/>
              <w:numPr>
                <w:ilvl w:val="0"/>
                <w:numId w:val="35"/>
              </w:numPr>
              <w:spacing w:line="257" w:lineRule="auto"/>
              <w:rPr>
                <w:rFonts w:ascii="Verdana" w:eastAsia="Verdana" w:hAnsi="Verdana" w:cs="Verdana"/>
                <w:sz w:val="20"/>
                <w:szCs w:val="20"/>
              </w:rPr>
            </w:pPr>
            <w:r w:rsidRPr="14736B62">
              <w:rPr>
                <w:rFonts w:ascii="Verdana" w:eastAsia="Verdana" w:hAnsi="Verdana" w:cs="Verdana"/>
                <w:sz w:val="20"/>
                <w:szCs w:val="20"/>
              </w:rPr>
              <w:t>deux requêtes ont été adressées à l’AFD afin de solliciter leur appui pour :</w:t>
            </w:r>
          </w:p>
          <w:p w14:paraId="36BF1EC1" w14:textId="45205A13" w:rsidR="00934F28" w:rsidRPr="00B76BE0" w:rsidRDefault="45379658" w:rsidP="14736B62">
            <w:pPr>
              <w:pStyle w:val="Paragraphedeliste"/>
              <w:numPr>
                <w:ilvl w:val="0"/>
                <w:numId w:val="5"/>
              </w:numPr>
              <w:spacing w:line="257" w:lineRule="auto"/>
              <w:rPr>
                <w:rFonts w:ascii="Verdana" w:eastAsia="Verdana" w:hAnsi="Verdana" w:cs="Verdana"/>
                <w:sz w:val="20"/>
                <w:szCs w:val="20"/>
              </w:rPr>
            </w:pPr>
            <w:r w:rsidRPr="14736B62">
              <w:rPr>
                <w:rFonts w:ascii="Verdana" w:eastAsia="Verdana" w:hAnsi="Verdana" w:cs="Verdana"/>
                <w:sz w:val="20"/>
                <w:szCs w:val="20"/>
              </w:rPr>
              <w:t>une évaluation et des conseils sur le mécanisme de financement</w:t>
            </w:r>
          </w:p>
          <w:p w14:paraId="4A3F2312" w14:textId="678D7EE0" w:rsidR="00934F28" w:rsidRPr="00B76BE0" w:rsidRDefault="45379658" w:rsidP="14736B62">
            <w:pPr>
              <w:pStyle w:val="Paragraphedeliste"/>
              <w:numPr>
                <w:ilvl w:val="0"/>
                <w:numId w:val="5"/>
              </w:numPr>
              <w:spacing w:line="257" w:lineRule="auto"/>
              <w:rPr>
                <w:rFonts w:ascii="Verdana" w:eastAsia="Verdana" w:hAnsi="Verdana" w:cs="Verdana"/>
                <w:sz w:val="20"/>
                <w:szCs w:val="20"/>
              </w:rPr>
            </w:pPr>
            <w:r w:rsidRPr="14736B62">
              <w:rPr>
                <w:rFonts w:ascii="Verdana" w:eastAsia="Verdana" w:hAnsi="Verdana" w:cs="Verdana"/>
                <w:sz w:val="20"/>
                <w:szCs w:val="20"/>
              </w:rPr>
              <w:t>une requête de financement</w:t>
            </w:r>
            <w:r w:rsidR="158BBCC7" w:rsidRPr="14736B62">
              <w:rPr>
                <w:rFonts w:ascii="Verdana" w:eastAsia="Verdana" w:hAnsi="Verdana" w:cs="Verdana"/>
                <w:sz w:val="20"/>
                <w:szCs w:val="20"/>
              </w:rPr>
              <w:t xml:space="preserve"> du programme</w:t>
            </w:r>
          </w:p>
          <w:p w14:paraId="62D69089" w14:textId="105C68AE" w:rsidR="00934F28" w:rsidRPr="00B76BE0" w:rsidRDefault="45379658" w:rsidP="14736B62">
            <w:pPr>
              <w:spacing w:after="160" w:line="257" w:lineRule="auto"/>
              <w:rPr>
                <w:rFonts w:ascii="Verdana" w:eastAsia="Verdana" w:hAnsi="Verdana" w:cs="Verdana"/>
                <w:sz w:val="20"/>
                <w:szCs w:val="20"/>
              </w:rPr>
            </w:pPr>
            <w:r w:rsidRPr="14736B62">
              <w:rPr>
                <w:rFonts w:ascii="Verdana" w:eastAsia="Verdana" w:hAnsi="Verdana" w:cs="Verdana"/>
                <w:sz w:val="20"/>
                <w:szCs w:val="20"/>
              </w:rPr>
              <w:t>La mission de configuration de l’AFD</w:t>
            </w:r>
            <w:r w:rsidR="68CD4739" w:rsidRPr="14736B62">
              <w:rPr>
                <w:rFonts w:ascii="Verdana" w:eastAsia="Verdana" w:hAnsi="Verdana" w:cs="Verdana"/>
                <w:sz w:val="20"/>
                <w:szCs w:val="20"/>
              </w:rPr>
              <w:t xml:space="preserve">, qui répond à la requête d’évaluation et de conseils </w:t>
            </w:r>
            <w:r w:rsidRPr="14736B62">
              <w:rPr>
                <w:rFonts w:ascii="Verdana" w:eastAsia="Verdana" w:hAnsi="Verdana" w:cs="Verdana"/>
                <w:sz w:val="20"/>
                <w:szCs w:val="20"/>
              </w:rPr>
              <w:t xml:space="preserve">devrait commencer en avril 2024. </w:t>
            </w:r>
          </w:p>
          <w:p w14:paraId="4D49B2F1" w14:textId="3C6219F9" w:rsidR="00934F28" w:rsidRPr="00B76BE0" w:rsidRDefault="45379658" w:rsidP="14736B62">
            <w:pPr>
              <w:spacing w:after="160" w:line="257" w:lineRule="auto"/>
              <w:rPr>
                <w:rFonts w:ascii="Verdana" w:eastAsia="Verdana" w:hAnsi="Verdana" w:cs="Verdana"/>
                <w:sz w:val="20"/>
                <w:szCs w:val="20"/>
              </w:rPr>
            </w:pPr>
            <w:r w:rsidRPr="14736B62">
              <w:rPr>
                <w:rFonts w:ascii="Verdana" w:eastAsia="Verdana" w:hAnsi="Verdana" w:cs="Verdana"/>
                <w:sz w:val="20"/>
                <w:szCs w:val="20"/>
              </w:rPr>
              <w:t xml:space="preserve"> Par ailleurs, un consultant de la DUE </w:t>
            </w:r>
            <w:r w:rsidR="52E38093" w:rsidRPr="14736B62">
              <w:rPr>
                <w:rFonts w:ascii="Verdana" w:eastAsia="Verdana" w:hAnsi="Verdana" w:cs="Verdana"/>
                <w:sz w:val="20"/>
                <w:szCs w:val="20"/>
              </w:rPr>
              <w:t xml:space="preserve">est mis à la disposition de la COI au cours du mois d’avil pour remplir le document d’action prioritaire, document permettant l’instruction du programme auprès de l’UE </w:t>
            </w:r>
          </w:p>
          <w:p w14:paraId="7FBDEE97" w14:textId="10B70551" w:rsidR="00934F28" w:rsidRPr="00B76BE0" w:rsidRDefault="52E38093" w:rsidP="14736B62">
            <w:pPr>
              <w:spacing w:after="160" w:line="257" w:lineRule="auto"/>
              <w:rPr>
                <w:rFonts w:ascii="Verdana" w:eastAsia="Verdana" w:hAnsi="Verdana" w:cs="Verdana"/>
                <w:sz w:val="20"/>
                <w:szCs w:val="20"/>
              </w:rPr>
            </w:pPr>
            <w:r w:rsidRPr="14736B62">
              <w:rPr>
                <w:rFonts w:ascii="Verdana" w:eastAsia="Verdana" w:hAnsi="Verdana" w:cs="Verdana"/>
                <w:sz w:val="20"/>
                <w:szCs w:val="20"/>
              </w:rPr>
              <w:lastRenderedPageBreak/>
              <w:t xml:space="preserve">e) </w:t>
            </w:r>
            <w:r w:rsidR="45379658" w:rsidRPr="14736B62">
              <w:rPr>
                <w:rFonts w:ascii="Verdana" w:eastAsia="Verdana" w:hAnsi="Verdana" w:cs="Verdana"/>
                <w:sz w:val="20"/>
                <w:szCs w:val="20"/>
              </w:rPr>
              <w:t>Un projet d’accord-cadre a été envoyé aux OPL. Nous sommes dans l’attente d’un retour de leur part pour transmission au Conseil et validation.</w:t>
            </w:r>
          </w:p>
          <w:p w14:paraId="18A354AB" w14:textId="423087E3" w:rsidR="00934F28" w:rsidRPr="00B76BE0" w:rsidRDefault="00934F28" w:rsidP="14736B62">
            <w:pPr>
              <w:rPr>
                <w:rFonts w:ascii="Verdana" w:hAnsi="Verdana"/>
                <w:sz w:val="20"/>
                <w:szCs w:val="20"/>
              </w:rPr>
            </w:pPr>
          </w:p>
        </w:tc>
        <w:tc>
          <w:tcPr>
            <w:tcW w:w="1978" w:type="dxa"/>
          </w:tcPr>
          <w:p w14:paraId="4CF3F56B" w14:textId="77777777" w:rsidR="00934F28" w:rsidRPr="00B76BE0" w:rsidRDefault="00934F28">
            <w:pPr>
              <w:rPr>
                <w:rFonts w:ascii="Verdana" w:hAnsi="Verdana"/>
                <w:sz w:val="20"/>
                <w:szCs w:val="20"/>
              </w:rPr>
            </w:pPr>
          </w:p>
        </w:tc>
        <w:tc>
          <w:tcPr>
            <w:tcW w:w="2037" w:type="dxa"/>
          </w:tcPr>
          <w:p w14:paraId="461AE6C8" w14:textId="77777777" w:rsidR="00934F28" w:rsidRPr="00B76BE0" w:rsidRDefault="00934F28">
            <w:pPr>
              <w:rPr>
                <w:rFonts w:ascii="Verdana" w:hAnsi="Verdana"/>
                <w:sz w:val="20"/>
                <w:szCs w:val="20"/>
              </w:rPr>
            </w:pPr>
          </w:p>
        </w:tc>
      </w:tr>
      <w:tr w:rsidR="00EA69C4" w:rsidRPr="00B76BE0" w14:paraId="6957EB59" w14:textId="77777777" w:rsidTr="23285676">
        <w:tc>
          <w:tcPr>
            <w:tcW w:w="14520" w:type="dxa"/>
            <w:gridSpan w:val="4"/>
            <w:shd w:val="clear" w:color="auto" w:fill="C45911" w:themeFill="accent2" w:themeFillShade="BF"/>
          </w:tcPr>
          <w:p w14:paraId="178F23AA" w14:textId="78A71B6F" w:rsidR="00EA69C4" w:rsidRPr="00EA69C4" w:rsidRDefault="00EA69C4">
            <w:pPr>
              <w:rPr>
                <w:rFonts w:ascii="Verdana" w:hAnsi="Verdana"/>
                <w:b/>
                <w:bCs/>
                <w:sz w:val="20"/>
                <w:szCs w:val="20"/>
              </w:rPr>
            </w:pPr>
            <w:r w:rsidRPr="00EA69C4">
              <w:rPr>
                <w:rFonts w:ascii="Verdana" w:hAnsi="Verdana"/>
                <w:b/>
                <w:bCs/>
                <w:color w:val="FFFFFF" w:themeColor="background1"/>
                <w:sz w:val="20"/>
                <w:szCs w:val="20"/>
              </w:rPr>
              <w:t>Administration et finance</w:t>
            </w:r>
          </w:p>
        </w:tc>
      </w:tr>
      <w:tr w:rsidR="00934F28" w:rsidRPr="00B76BE0" w14:paraId="73B42701" w14:textId="77777777" w:rsidTr="23285676">
        <w:tc>
          <w:tcPr>
            <w:tcW w:w="5474" w:type="dxa"/>
          </w:tcPr>
          <w:p w14:paraId="60C941E1" w14:textId="77777777" w:rsidR="00A858D5" w:rsidRPr="00A858D5" w:rsidRDefault="00A858D5" w:rsidP="00A858D5">
            <w:pPr>
              <w:spacing w:after="120" w:line="276" w:lineRule="auto"/>
              <w:rPr>
                <w:rFonts w:ascii="Verdana" w:hAnsi="Verdana"/>
                <w:b/>
                <w:bCs/>
                <w:sz w:val="20"/>
                <w:szCs w:val="20"/>
              </w:rPr>
            </w:pPr>
            <w:r w:rsidRPr="00A858D5">
              <w:rPr>
                <w:rFonts w:ascii="Verdana" w:hAnsi="Verdana"/>
                <w:b/>
                <w:bCs/>
                <w:sz w:val="20"/>
                <w:szCs w:val="20"/>
              </w:rPr>
              <w:t xml:space="preserve">Décision 13. </w:t>
            </w:r>
            <w:r w:rsidRPr="00A858D5">
              <w:rPr>
                <w:rFonts w:ascii="Verdana" w:eastAsia="Times New Roman" w:hAnsi="Verdana"/>
                <w:b/>
                <w:bCs/>
                <w:sz w:val="20"/>
                <w:szCs w:val="20"/>
              </w:rPr>
              <w:t>Accréditation auprès du Fonds vert pour le climat et l’Union européenne</w:t>
            </w:r>
          </w:p>
          <w:p w14:paraId="23F14E34" w14:textId="77777777" w:rsidR="00A858D5" w:rsidRPr="00680E87" w:rsidRDefault="00A858D5" w:rsidP="00A858D5">
            <w:pPr>
              <w:rPr>
                <w:rFonts w:ascii="Verdana" w:hAnsi="Verdana"/>
                <w:sz w:val="20"/>
                <w:szCs w:val="20"/>
              </w:rPr>
            </w:pPr>
            <w:r w:rsidRPr="00680E87">
              <w:rPr>
                <w:rFonts w:ascii="Verdana" w:hAnsi="Verdana"/>
                <w:sz w:val="20"/>
                <w:szCs w:val="20"/>
              </w:rPr>
              <w:t xml:space="preserve">Le Comité des OPL : </w:t>
            </w:r>
          </w:p>
          <w:p w14:paraId="7B51D5DD" w14:textId="6F88F571" w:rsidR="00A858D5" w:rsidRPr="00A858D5" w:rsidRDefault="00A858D5" w:rsidP="00A858D5">
            <w:pPr>
              <w:pStyle w:val="Paragraphedeliste"/>
              <w:numPr>
                <w:ilvl w:val="0"/>
                <w:numId w:val="38"/>
              </w:numPr>
              <w:suppressAutoHyphens/>
              <w:autoSpaceDN w:val="0"/>
              <w:spacing w:line="254" w:lineRule="auto"/>
              <w:jc w:val="both"/>
              <w:rPr>
                <w:rFonts w:ascii="Verdana" w:hAnsi="Verdana"/>
                <w:sz w:val="20"/>
                <w:szCs w:val="20"/>
              </w:rPr>
            </w:pPr>
            <w:r w:rsidRPr="00A858D5">
              <w:rPr>
                <w:rFonts w:ascii="Verdana" w:hAnsi="Verdana"/>
                <w:sz w:val="20"/>
                <w:szCs w:val="20"/>
              </w:rPr>
              <w:t>Prend note de</w:t>
            </w:r>
            <w:r w:rsidRPr="00A858D5">
              <w:rPr>
                <w:rFonts w:ascii="Verdana" w:hAnsi="Verdana"/>
                <w:spacing w:val="-1"/>
                <w:sz w:val="20"/>
                <w:szCs w:val="20"/>
              </w:rPr>
              <w:t xml:space="preserve"> l’état d’avancement du processus d’accréditation de la COI auprès du Fonds vert pour le climat (FVC) et aux 9 piliers de UE </w:t>
            </w:r>
            <w:r w:rsidRPr="00A858D5">
              <w:rPr>
                <w:rFonts w:ascii="Verdana" w:hAnsi="Verdana"/>
                <w:sz w:val="20"/>
                <w:szCs w:val="20"/>
              </w:rPr>
              <w:t>;</w:t>
            </w:r>
          </w:p>
          <w:p w14:paraId="0D86693D" w14:textId="7EF4F514" w:rsidR="00A858D5" w:rsidRPr="00A858D5" w:rsidRDefault="00A858D5" w:rsidP="00A858D5">
            <w:pPr>
              <w:pStyle w:val="Paragraphedeliste"/>
              <w:numPr>
                <w:ilvl w:val="0"/>
                <w:numId w:val="38"/>
              </w:numPr>
              <w:suppressAutoHyphens/>
              <w:autoSpaceDN w:val="0"/>
              <w:spacing w:before="120" w:line="247" w:lineRule="auto"/>
              <w:jc w:val="both"/>
              <w:rPr>
                <w:rFonts w:ascii="Verdana" w:hAnsi="Verdana"/>
                <w:color w:val="000000" w:themeColor="text1"/>
                <w:sz w:val="20"/>
                <w:szCs w:val="20"/>
              </w:rPr>
            </w:pPr>
            <w:r w:rsidRPr="00A858D5">
              <w:rPr>
                <w:rFonts w:ascii="Verdana" w:hAnsi="Verdana"/>
                <w:color w:val="000000" w:themeColor="text1"/>
                <w:sz w:val="20"/>
                <w:szCs w:val="20"/>
                <w:lang w:eastAsia="fr-FR"/>
              </w:rPr>
              <w:t>Prend note de la nécessité de renforcer les capacités du Secrétariat général, notamment en termes de ressources humaines et de compétences, pour mener à bien ces processus d’accréditation</w:t>
            </w:r>
            <w:r w:rsidRPr="00A858D5">
              <w:rPr>
                <w:rFonts w:ascii="Verdana" w:hAnsi="Verdana"/>
                <w:sz w:val="20"/>
                <w:szCs w:val="20"/>
              </w:rPr>
              <w:t xml:space="preserve"> et, corollairement, afin de répondre aux préoccupations d’une gestion saine et efficace et de se conformer aux meilleures pratiques internationales</w:t>
            </w:r>
            <w:r w:rsidRPr="00A858D5">
              <w:rPr>
                <w:rFonts w:ascii="Verdana" w:hAnsi="Verdana"/>
                <w:color w:val="000000" w:themeColor="text1"/>
                <w:sz w:val="20"/>
                <w:szCs w:val="20"/>
                <w:lang w:eastAsia="fr-FR"/>
              </w:rPr>
              <w:t>.</w:t>
            </w:r>
          </w:p>
          <w:p w14:paraId="2A1124AA" w14:textId="01E8F345" w:rsidR="006C0034" w:rsidRPr="00B76BE0" w:rsidRDefault="006C0034" w:rsidP="00A858D5">
            <w:pPr>
              <w:pStyle w:val="Sansinterligne"/>
              <w:spacing w:after="120" w:line="276" w:lineRule="auto"/>
              <w:ind w:left="720"/>
              <w:jc w:val="both"/>
              <w:rPr>
                <w:rFonts w:ascii="Verdana" w:hAnsi="Verdana"/>
                <w:sz w:val="20"/>
                <w:szCs w:val="20"/>
              </w:rPr>
            </w:pPr>
          </w:p>
        </w:tc>
        <w:tc>
          <w:tcPr>
            <w:tcW w:w="5031" w:type="dxa"/>
          </w:tcPr>
          <w:p w14:paraId="403D5D1F" w14:textId="25099E24" w:rsidR="00934F28" w:rsidRPr="00B76BE0" w:rsidRDefault="3D1FAF20" w:rsidP="7E45190E">
            <w:pPr>
              <w:rPr>
                <w:rFonts w:ascii="Verdana" w:hAnsi="Verdana"/>
                <w:sz w:val="20"/>
                <w:szCs w:val="20"/>
              </w:rPr>
            </w:pPr>
            <w:r w:rsidRPr="23285676">
              <w:rPr>
                <w:rFonts w:ascii="Verdana" w:hAnsi="Verdana"/>
                <w:sz w:val="20"/>
                <w:szCs w:val="20"/>
              </w:rPr>
              <w:t xml:space="preserve">Etat </w:t>
            </w:r>
            <w:r w:rsidR="6A5B5423" w:rsidRPr="23285676">
              <w:rPr>
                <w:rFonts w:ascii="Verdana" w:hAnsi="Verdana"/>
                <w:sz w:val="20"/>
                <w:szCs w:val="20"/>
              </w:rPr>
              <w:t>d’avancement :</w:t>
            </w:r>
            <w:r w:rsidRPr="23285676">
              <w:rPr>
                <w:rFonts w:ascii="Verdana" w:hAnsi="Verdana"/>
                <w:sz w:val="20"/>
                <w:szCs w:val="20"/>
              </w:rPr>
              <w:t xml:space="preserve"> rapport prévu </w:t>
            </w:r>
            <w:r w:rsidR="0673AAF3" w:rsidRPr="23285676">
              <w:rPr>
                <w:rFonts w:ascii="Verdana" w:hAnsi="Verdana"/>
                <w:sz w:val="20"/>
                <w:szCs w:val="20"/>
              </w:rPr>
              <w:t>aux instances</w:t>
            </w:r>
            <w:r w:rsidRPr="23285676">
              <w:rPr>
                <w:rFonts w:ascii="Verdana" w:hAnsi="Verdana"/>
                <w:sz w:val="20"/>
                <w:szCs w:val="20"/>
              </w:rPr>
              <w:t xml:space="preserve"> sur les processus en cours et les </w:t>
            </w:r>
            <w:r w:rsidR="38F24C95" w:rsidRPr="23285676">
              <w:rPr>
                <w:rFonts w:ascii="Verdana" w:hAnsi="Verdana"/>
                <w:sz w:val="20"/>
                <w:szCs w:val="20"/>
              </w:rPr>
              <w:t>avancées.</w:t>
            </w:r>
          </w:p>
          <w:p w14:paraId="240627C2" w14:textId="0ACE5FA3" w:rsidR="00934F28" w:rsidRPr="00B76BE0" w:rsidRDefault="00934F28" w:rsidP="7E45190E">
            <w:pPr>
              <w:rPr>
                <w:rFonts w:ascii="Verdana" w:hAnsi="Verdana"/>
                <w:sz w:val="20"/>
                <w:szCs w:val="20"/>
              </w:rPr>
            </w:pPr>
          </w:p>
          <w:p w14:paraId="5192F194" w14:textId="4D8FE1E4" w:rsidR="00934F28" w:rsidRPr="00B76BE0" w:rsidRDefault="38F24C95" w:rsidP="7E45190E">
            <w:pPr>
              <w:rPr>
                <w:rFonts w:ascii="Verdana" w:hAnsi="Verdana"/>
                <w:sz w:val="20"/>
                <w:szCs w:val="20"/>
              </w:rPr>
            </w:pPr>
            <w:r w:rsidRPr="23285676">
              <w:rPr>
                <w:rFonts w:ascii="Verdana" w:hAnsi="Verdana"/>
                <w:sz w:val="20"/>
                <w:szCs w:val="20"/>
              </w:rPr>
              <w:t xml:space="preserve">Renforcement de capacités et </w:t>
            </w:r>
            <w:r w:rsidR="34C4FA28" w:rsidRPr="23285676">
              <w:rPr>
                <w:rFonts w:ascii="Verdana" w:hAnsi="Verdana"/>
                <w:sz w:val="20"/>
                <w:szCs w:val="20"/>
              </w:rPr>
              <w:t>recrutement :</w:t>
            </w:r>
            <w:r w:rsidRPr="23285676">
              <w:rPr>
                <w:rFonts w:ascii="Verdana" w:hAnsi="Verdana"/>
                <w:sz w:val="20"/>
                <w:szCs w:val="20"/>
              </w:rPr>
              <w:t xml:space="preserve"> dans l’attente de la communication officielle des </w:t>
            </w:r>
            <w:r w:rsidR="21618B2F" w:rsidRPr="23285676">
              <w:rPr>
                <w:rFonts w:ascii="Verdana" w:hAnsi="Verdana"/>
                <w:sz w:val="20"/>
                <w:szCs w:val="20"/>
              </w:rPr>
              <w:t>décisions des instances sur les recrutements. Planning préétabli pour le processus de recrutement avec des priorisations faites suivant les objectifs piliers</w:t>
            </w:r>
            <w:r w:rsidR="63D6E233" w:rsidRPr="23285676">
              <w:rPr>
                <w:rFonts w:ascii="Verdana" w:hAnsi="Verdana"/>
                <w:sz w:val="20"/>
                <w:szCs w:val="20"/>
              </w:rPr>
              <w:t xml:space="preserve"> de </w:t>
            </w:r>
            <w:r w:rsidR="59229486" w:rsidRPr="23285676">
              <w:rPr>
                <w:rFonts w:ascii="Verdana" w:hAnsi="Verdana"/>
                <w:sz w:val="20"/>
                <w:szCs w:val="20"/>
              </w:rPr>
              <w:t>l’UE (</w:t>
            </w:r>
            <w:r w:rsidR="04846F9B" w:rsidRPr="23285676">
              <w:rPr>
                <w:rFonts w:ascii="Verdana" w:hAnsi="Verdana"/>
                <w:sz w:val="20"/>
                <w:szCs w:val="20"/>
              </w:rPr>
              <w:t xml:space="preserve">accent mis sur le renforcement de capacités concernant le </w:t>
            </w:r>
            <w:r w:rsidR="21618B2F" w:rsidRPr="23285676">
              <w:rPr>
                <w:rFonts w:ascii="Verdana" w:hAnsi="Verdana"/>
                <w:sz w:val="20"/>
                <w:szCs w:val="20"/>
              </w:rPr>
              <w:t xml:space="preserve">contrôle, </w:t>
            </w:r>
            <w:r w:rsidR="1F11E256" w:rsidRPr="23285676">
              <w:rPr>
                <w:rFonts w:ascii="Verdana" w:hAnsi="Verdana"/>
                <w:sz w:val="20"/>
                <w:szCs w:val="20"/>
              </w:rPr>
              <w:t xml:space="preserve">le </w:t>
            </w:r>
            <w:r w:rsidR="21618B2F" w:rsidRPr="23285676">
              <w:rPr>
                <w:rFonts w:ascii="Verdana" w:hAnsi="Verdana"/>
                <w:sz w:val="20"/>
                <w:szCs w:val="20"/>
              </w:rPr>
              <w:t>suivi</w:t>
            </w:r>
            <w:r w:rsidR="6194C34D" w:rsidRPr="23285676">
              <w:rPr>
                <w:rFonts w:ascii="Verdana" w:hAnsi="Verdana"/>
                <w:sz w:val="20"/>
                <w:szCs w:val="20"/>
              </w:rPr>
              <w:t>-</w:t>
            </w:r>
            <w:r w:rsidR="21618B2F" w:rsidRPr="23285676">
              <w:rPr>
                <w:rFonts w:ascii="Verdana" w:hAnsi="Verdana"/>
                <w:sz w:val="20"/>
                <w:szCs w:val="20"/>
              </w:rPr>
              <w:t>é</w:t>
            </w:r>
            <w:r w:rsidR="6AD83E18" w:rsidRPr="23285676">
              <w:rPr>
                <w:rFonts w:ascii="Verdana" w:hAnsi="Verdana"/>
                <w:sz w:val="20"/>
                <w:szCs w:val="20"/>
              </w:rPr>
              <w:t xml:space="preserve">valuation, </w:t>
            </w:r>
            <w:r w:rsidR="17F6C62E" w:rsidRPr="23285676">
              <w:rPr>
                <w:rFonts w:ascii="Verdana" w:hAnsi="Verdana"/>
                <w:sz w:val="20"/>
                <w:szCs w:val="20"/>
              </w:rPr>
              <w:t>la gestion</w:t>
            </w:r>
            <w:r w:rsidR="6AD83E18" w:rsidRPr="23285676">
              <w:rPr>
                <w:rFonts w:ascii="Verdana" w:hAnsi="Verdana"/>
                <w:sz w:val="20"/>
                <w:szCs w:val="20"/>
              </w:rPr>
              <w:t xml:space="preserve"> des risques</w:t>
            </w:r>
            <w:r w:rsidR="265A578C" w:rsidRPr="23285676">
              <w:rPr>
                <w:rFonts w:ascii="Verdana" w:hAnsi="Verdana"/>
                <w:sz w:val="20"/>
                <w:szCs w:val="20"/>
              </w:rPr>
              <w:t>)</w:t>
            </w:r>
          </w:p>
          <w:p w14:paraId="6EB860C7" w14:textId="66AFD0EB" w:rsidR="00934F28" w:rsidRPr="00B76BE0" w:rsidRDefault="00934F28" w:rsidP="7E45190E">
            <w:pPr>
              <w:rPr>
                <w:rFonts w:ascii="Verdana" w:hAnsi="Verdana"/>
                <w:sz w:val="20"/>
                <w:szCs w:val="20"/>
              </w:rPr>
            </w:pPr>
          </w:p>
        </w:tc>
        <w:tc>
          <w:tcPr>
            <w:tcW w:w="1978" w:type="dxa"/>
          </w:tcPr>
          <w:p w14:paraId="32659606" w14:textId="77777777" w:rsidR="00934F28" w:rsidRPr="00B76BE0" w:rsidRDefault="00934F28">
            <w:pPr>
              <w:rPr>
                <w:rFonts w:ascii="Verdana" w:hAnsi="Verdana"/>
                <w:sz w:val="20"/>
                <w:szCs w:val="20"/>
              </w:rPr>
            </w:pPr>
          </w:p>
        </w:tc>
        <w:tc>
          <w:tcPr>
            <w:tcW w:w="2037" w:type="dxa"/>
          </w:tcPr>
          <w:p w14:paraId="7E393506" w14:textId="77777777" w:rsidR="00934F28" w:rsidRPr="00B76BE0" w:rsidRDefault="00934F28">
            <w:pPr>
              <w:rPr>
                <w:rFonts w:ascii="Verdana" w:hAnsi="Verdana"/>
                <w:sz w:val="20"/>
                <w:szCs w:val="20"/>
              </w:rPr>
            </w:pPr>
          </w:p>
        </w:tc>
      </w:tr>
      <w:tr w:rsidR="00934F28" w:rsidRPr="00B76BE0" w14:paraId="153B1325" w14:textId="77777777" w:rsidTr="23285676">
        <w:tc>
          <w:tcPr>
            <w:tcW w:w="5474" w:type="dxa"/>
          </w:tcPr>
          <w:p w14:paraId="2F19455F" w14:textId="77777777" w:rsidR="00A4715D" w:rsidRPr="00E01DD5" w:rsidRDefault="00A4715D" w:rsidP="00A4715D">
            <w:pPr>
              <w:pStyle w:val="Paragraphedeliste"/>
              <w:spacing w:after="120" w:line="276" w:lineRule="auto"/>
              <w:contextualSpacing w:val="0"/>
              <w:jc w:val="center"/>
              <w:rPr>
                <w:rFonts w:ascii="Verdana" w:hAnsi="Verdana"/>
                <w:b/>
                <w:bCs/>
                <w:sz w:val="20"/>
                <w:szCs w:val="20"/>
              </w:rPr>
            </w:pPr>
            <w:r w:rsidRPr="00E01DD5">
              <w:rPr>
                <w:rFonts w:ascii="Verdana" w:hAnsi="Verdana"/>
                <w:b/>
                <w:bCs/>
                <w:sz w:val="20"/>
                <w:szCs w:val="20"/>
              </w:rPr>
              <w:lastRenderedPageBreak/>
              <w:t>Décision 1</w:t>
            </w:r>
            <w:r>
              <w:rPr>
                <w:rFonts w:ascii="Verdana" w:hAnsi="Verdana"/>
                <w:b/>
                <w:bCs/>
                <w:sz w:val="20"/>
                <w:szCs w:val="20"/>
              </w:rPr>
              <w:t>4</w:t>
            </w:r>
            <w:r w:rsidRPr="00E01DD5">
              <w:rPr>
                <w:rFonts w:ascii="Verdana" w:hAnsi="Verdana"/>
                <w:b/>
                <w:bCs/>
                <w:sz w:val="20"/>
                <w:szCs w:val="20"/>
              </w:rPr>
              <w:t xml:space="preserve">. </w:t>
            </w:r>
            <w:r w:rsidRPr="0079737E">
              <w:rPr>
                <w:rFonts w:ascii="Verdana" w:eastAsia="Times New Roman" w:hAnsi="Verdana"/>
                <w:b/>
                <w:bCs/>
                <w:sz w:val="20"/>
                <w:szCs w:val="20"/>
              </w:rPr>
              <w:t>Renforcement du personnel – comité des ressources humaines</w:t>
            </w:r>
          </w:p>
          <w:p w14:paraId="77872BC5" w14:textId="77777777" w:rsidR="00A4715D" w:rsidRDefault="00A4715D" w:rsidP="00A4715D">
            <w:pPr>
              <w:pStyle w:val="Paragraphe"/>
              <w:spacing w:after="120" w:line="276" w:lineRule="auto"/>
            </w:pPr>
            <w:r w:rsidRPr="00E01DD5">
              <w:t>Le Comité des OPL :</w:t>
            </w:r>
          </w:p>
          <w:p w14:paraId="17A711BD" w14:textId="77777777" w:rsidR="00A4715D" w:rsidRPr="00584C27" w:rsidRDefault="00A4715D" w:rsidP="00A4715D">
            <w:pPr>
              <w:pStyle w:val="Paragraphedeliste"/>
              <w:numPr>
                <w:ilvl w:val="0"/>
                <w:numId w:val="39"/>
              </w:numPr>
              <w:spacing w:after="120"/>
              <w:contextualSpacing w:val="0"/>
              <w:jc w:val="both"/>
              <w:rPr>
                <w:rFonts w:ascii="Verdana" w:hAnsi="Verdana" w:cs="Arial"/>
                <w:bCs/>
                <w:sz w:val="20"/>
                <w:szCs w:val="20"/>
              </w:rPr>
            </w:pPr>
            <w:r w:rsidRPr="00584C27">
              <w:rPr>
                <w:rFonts w:ascii="Verdana" w:hAnsi="Verdana" w:cs="Arial"/>
                <w:bCs/>
                <w:sz w:val="20"/>
                <w:szCs w:val="20"/>
              </w:rPr>
              <w:t>Prend note des recommandations du Comité Ressources humaines et du Comité budgétaire concernant le recrutement de 12 nouveaux postes au sein du Secrétariat général ;</w:t>
            </w:r>
          </w:p>
          <w:p w14:paraId="7F604C29" w14:textId="77777777" w:rsidR="00A4715D" w:rsidRPr="00584C27" w:rsidRDefault="00A4715D" w:rsidP="00A4715D">
            <w:pPr>
              <w:pStyle w:val="Paragraphedeliste"/>
              <w:numPr>
                <w:ilvl w:val="0"/>
                <w:numId w:val="39"/>
              </w:numPr>
              <w:spacing w:after="120"/>
              <w:contextualSpacing w:val="0"/>
              <w:jc w:val="both"/>
              <w:rPr>
                <w:rFonts w:ascii="Verdana" w:hAnsi="Verdana" w:cs="Arial"/>
                <w:bCs/>
                <w:sz w:val="20"/>
                <w:szCs w:val="20"/>
              </w:rPr>
            </w:pPr>
            <w:r w:rsidRPr="00584C27">
              <w:rPr>
                <w:rFonts w:ascii="Verdana" w:hAnsi="Verdana" w:cs="Arial"/>
                <w:bCs/>
                <w:sz w:val="20"/>
                <w:szCs w:val="20"/>
              </w:rPr>
              <w:t>Soumet à l’approbation du Conseil des ministres, par procédure écrite, le recrutement des 12 postes ci-après :</w:t>
            </w:r>
          </w:p>
          <w:p w14:paraId="2C56AC32"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Spécialiste Passation de Marchés</w:t>
            </w:r>
            <w:r>
              <w:rPr>
                <w:rFonts w:ascii="Verdana" w:hAnsi="Verdana" w:cs="Arial"/>
                <w:sz w:val="20"/>
                <w:szCs w:val="20"/>
                <w:lang w:val="fr-MA"/>
              </w:rPr>
              <w:t xml:space="preserve"> (CI)</w:t>
            </w:r>
          </w:p>
          <w:p w14:paraId="1418B1D7"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Agent administratif – Passation de Marchés (PB)</w:t>
            </w:r>
          </w:p>
          <w:p w14:paraId="126B3703"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Spécialiste en Gestion des Risques et conformité</w:t>
            </w:r>
            <w:r>
              <w:rPr>
                <w:rFonts w:ascii="Verdana" w:hAnsi="Verdana" w:cs="Arial"/>
                <w:sz w:val="20"/>
                <w:szCs w:val="20"/>
                <w:lang w:val="fr-MA"/>
              </w:rPr>
              <w:t xml:space="preserve"> (CI)</w:t>
            </w:r>
          </w:p>
          <w:p w14:paraId="362A2084"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rPr>
              <w:t>Agent administratif – Audit Interne (PB)</w:t>
            </w:r>
          </w:p>
          <w:p w14:paraId="092E4B29"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Assistant Budget et Finance</w:t>
            </w:r>
            <w:r>
              <w:rPr>
                <w:rFonts w:ascii="Verdana" w:hAnsi="Verdana" w:cs="Arial"/>
                <w:sz w:val="20"/>
                <w:szCs w:val="20"/>
                <w:lang w:val="fr-MA"/>
              </w:rPr>
              <w:t xml:space="preserve"> </w:t>
            </w:r>
            <w:r w:rsidRPr="00584C27">
              <w:rPr>
                <w:rFonts w:ascii="Verdana" w:hAnsi="Verdana" w:cs="Arial"/>
                <w:sz w:val="20"/>
                <w:szCs w:val="20"/>
                <w:lang w:val="fr-MA"/>
              </w:rPr>
              <w:t>(CI)</w:t>
            </w:r>
          </w:p>
          <w:p w14:paraId="50062A40"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rPr>
              <w:t>Agent administratif – Budget et Finances (PB)</w:t>
            </w:r>
          </w:p>
          <w:p w14:paraId="178FC899"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Responsable de la gestion administrative et logistique</w:t>
            </w:r>
            <w:r>
              <w:rPr>
                <w:rFonts w:ascii="Verdana" w:hAnsi="Verdana" w:cs="Arial"/>
                <w:sz w:val="20"/>
                <w:szCs w:val="20"/>
                <w:lang w:val="fr-MA"/>
              </w:rPr>
              <w:t xml:space="preserve"> (CI)</w:t>
            </w:r>
          </w:p>
          <w:p w14:paraId="020F45EA"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lang w:val="fr-MA"/>
              </w:rPr>
              <w:t xml:space="preserve">Spécialiste </w:t>
            </w:r>
            <w:r>
              <w:rPr>
                <w:rFonts w:ascii="Verdana" w:hAnsi="Verdana" w:cs="Arial"/>
                <w:sz w:val="20"/>
                <w:szCs w:val="20"/>
                <w:lang w:val="fr-MA"/>
              </w:rPr>
              <w:t>en</w:t>
            </w:r>
            <w:r w:rsidRPr="00584C27">
              <w:rPr>
                <w:rFonts w:ascii="Verdana" w:hAnsi="Verdana" w:cs="Arial"/>
                <w:sz w:val="20"/>
                <w:szCs w:val="20"/>
                <w:lang w:val="fr-MA"/>
              </w:rPr>
              <w:t xml:space="preserve"> Mobilisation des Ressources</w:t>
            </w:r>
            <w:r>
              <w:rPr>
                <w:rFonts w:ascii="Verdana" w:hAnsi="Verdana" w:cs="Arial"/>
                <w:sz w:val="20"/>
                <w:szCs w:val="20"/>
                <w:lang w:val="fr-MA"/>
              </w:rPr>
              <w:t xml:space="preserve"> (CI)</w:t>
            </w:r>
          </w:p>
          <w:p w14:paraId="1EF9DB8E"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rPr>
              <w:t>Assistant Ressources Humaines</w:t>
            </w:r>
            <w:r>
              <w:rPr>
                <w:rFonts w:ascii="Verdana" w:hAnsi="Verdana" w:cs="Arial"/>
                <w:sz w:val="20"/>
                <w:szCs w:val="20"/>
              </w:rPr>
              <w:t xml:space="preserve"> (CI)</w:t>
            </w:r>
          </w:p>
          <w:p w14:paraId="72689D3E"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sidRPr="00584C27">
              <w:rPr>
                <w:rFonts w:ascii="Verdana" w:hAnsi="Verdana" w:cs="Arial"/>
                <w:sz w:val="20"/>
                <w:szCs w:val="20"/>
              </w:rPr>
              <w:lastRenderedPageBreak/>
              <w:t xml:space="preserve">Secrétaire </w:t>
            </w:r>
            <w:r>
              <w:rPr>
                <w:rFonts w:ascii="Verdana" w:hAnsi="Verdana" w:cs="Arial"/>
                <w:sz w:val="20"/>
                <w:szCs w:val="20"/>
              </w:rPr>
              <w:t>auprès de la direction (PB)</w:t>
            </w:r>
          </w:p>
          <w:p w14:paraId="32654F62" w14:textId="77777777" w:rsidR="00A4715D" w:rsidRPr="00584C27" w:rsidRDefault="00A4715D" w:rsidP="00A4715D">
            <w:pPr>
              <w:pStyle w:val="Paragraphedeliste"/>
              <w:numPr>
                <w:ilvl w:val="0"/>
                <w:numId w:val="40"/>
              </w:numPr>
              <w:spacing w:after="40"/>
              <w:ind w:left="1417" w:hanging="357"/>
              <w:contextualSpacing w:val="0"/>
              <w:jc w:val="both"/>
              <w:rPr>
                <w:rFonts w:ascii="Verdana" w:hAnsi="Verdana" w:cs="Arial"/>
                <w:bCs/>
                <w:sz w:val="20"/>
                <w:szCs w:val="20"/>
              </w:rPr>
            </w:pPr>
            <w:r>
              <w:rPr>
                <w:rFonts w:ascii="Verdana" w:hAnsi="Verdana" w:cs="Arial"/>
                <w:sz w:val="20"/>
                <w:szCs w:val="20"/>
                <w:lang w:val="fr-MA"/>
              </w:rPr>
              <w:t>Adjoint au</w:t>
            </w:r>
            <w:r w:rsidRPr="00584C27">
              <w:rPr>
                <w:rFonts w:ascii="Verdana" w:hAnsi="Verdana" w:cs="Arial"/>
                <w:sz w:val="20"/>
                <w:szCs w:val="20"/>
                <w:lang w:val="fr-MA"/>
              </w:rPr>
              <w:t xml:space="preserve"> responsable de Communication</w:t>
            </w:r>
            <w:r>
              <w:rPr>
                <w:rFonts w:ascii="Verdana" w:hAnsi="Verdana" w:cs="Arial"/>
                <w:sz w:val="20"/>
                <w:szCs w:val="20"/>
                <w:lang w:val="fr-MA"/>
              </w:rPr>
              <w:t xml:space="preserve"> (CI)</w:t>
            </w:r>
          </w:p>
          <w:p w14:paraId="73A31FD1" w14:textId="77777777" w:rsidR="00A4715D" w:rsidRPr="00584C27" w:rsidRDefault="00A4715D" w:rsidP="00A4715D">
            <w:pPr>
              <w:pStyle w:val="Paragraphedeliste"/>
              <w:numPr>
                <w:ilvl w:val="0"/>
                <w:numId w:val="40"/>
              </w:numPr>
              <w:spacing w:after="120"/>
              <w:ind w:left="1417" w:hanging="357"/>
              <w:contextualSpacing w:val="0"/>
              <w:jc w:val="both"/>
              <w:rPr>
                <w:rFonts w:ascii="Verdana" w:hAnsi="Verdana" w:cs="Arial"/>
                <w:bCs/>
                <w:sz w:val="20"/>
                <w:szCs w:val="20"/>
              </w:rPr>
            </w:pPr>
            <w:r w:rsidRPr="00584C27">
              <w:rPr>
                <w:rFonts w:ascii="Verdana" w:hAnsi="Verdana" w:cs="Arial"/>
                <w:sz w:val="20"/>
                <w:szCs w:val="20"/>
              </w:rPr>
              <w:t>Spécialiste en planification, suivi évaluation et rapport</w:t>
            </w:r>
            <w:r>
              <w:rPr>
                <w:rFonts w:ascii="Verdana" w:hAnsi="Verdana" w:cs="Arial"/>
                <w:sz w:val="20"/>
                <w:szCs w:val="20"/>
              </w:rPr>
              <w:t xml:space="preserve"> (CI)</w:t>
            </w:r>
          </w:p>
          <w:p w14:paraId="54087E20" w14:textId="77777777" w:rsidR="00A4715D" w:rsidRPr="00584C27" w:rsidRDefault="00A4715D" w:rsidP="00A4715D">
            <w:pPr>
              <w:pStyle w:val="Paragraphedeliste"/>
              <w:numPr>
                <w:ilvl w:val="0"/>
                <w:numId w:val="39"/>
              </w:numPr>
              <w:spacing w:after="120"/>
              <w:contextualSpacing w:val="0"/>
              <w:jc w:val="both"/>
              <w:rPr>
                <w:rFonts w:ascii="Verdana" w:hAnsi="Verdana" w:cs="Arial"/>
                <w:bCs/>
                <w:sz w:val="20"/>
                <w:szCs w:val="20"/>
              </w:rPr>
            </w:pPr>
            <w:r w:rsidRPr="00584C27">
              <w:rPr>
                <w:rFonts w:ascii="Verdana" w:hAnsi="Verdana" w:cs="Arial"/>
                <w:bCs/>
                <w:sz w:val="20"/>
                <w:szCs w:val="20"/>
              </w:rPr>
              <w:t xml:space="preserve">Soumet à l’approbation du Conseil des ministres, par procédure écrite, le nouveau projet d’organigramme du Secrétariat général de la COI, lequel tient compte de ces nouveaux recrutements ainsi que de la scission du Service administratif et </w:t>
            </w:r>
            <w:r>
              <w:rPr>
                <w:rFonts w:ascii="Verdana" w:hAnsi="Verdana" w:cs="Arial"/>
                <w:bCs/>
                <w:sz w:val="20"/>
                <w:szCs w:val="20"/>
              </w:rPr>
              <w:t>f</w:t>
            </w:r>
            <w:r w:rsidRPr="00584C27">
              <w:rPr>
                <w:rFonts w:ascii="Verdana" w:hAnsi="Verdana" w:cs="Arial"/>
                <w:bCs/>
                <w:sz w:val="20"/>
                <w:szCs w:val="20"/>
              </w:rPr>
              <w:t xml:space="preserve">inancier en </w:t>
            </w:r>
            <w:r>
              <w:rPr>
                <w:rFonts w:ascii="Verdana" w:hAnsi="Verdana" w:cs="Arial"/>
                <w:bCs/>
                <w:sz w:val="20"/>
                <w:szCs w:val="20"/>
              </w:rPr>
              <w:t>deux (</w:t>
            </w:r>
            <w:r w:rsidRPr="00584C27">
              <w:rPr>
                <w:rFonts w:ascii="Verdana" w:hAnsi="Verdana" w:cs="Arial"/>
                <w:bCs/>
                <w:sz w:val="20"/>
                <w:szCs w:val="20"/>
              </w:rPr>
              <w:t>02</w:t>
            </w:r>
            <w:r>
              <w:rPr>
                <w:rFonts w:ascii="Verdana" w:hAnsi="Verdana" w:cs="Arial"/>
                <w:bCs/>
                <w:sz w:val="20"/>
                <w:szCs w:val="20"/>
              </w:rPr>
              <w:t>)</w:t>
            </w:r>
            <w:r w:rsidRPr="00584C27">
              <w:rPr>
                <w:rFonts w:ascii="Verdana" w:hAnsi="Verdana" w:cs="Arial"/>
                <w:bCs/>
                <w:sz w:val="20"/>
                <w:szCs w:val="20"/>
              </w:rPr>
              <w:t xml:space="preserve"> services « Administratif » et « Budget et Finance »</w:t>
            </w:r>
          </w:p>
          <w:p w14:paraId="64DB6C5C" w14:textId="77777777" w:rsidR="00A4715D" w:rsidRPr="00584C27" w:rsidRDefault="00A4715D" w:rsidP="00A4715D">
            <w:pPr>
              <w:pStyle w:val="Paragraphedeliste"/>
              <w:numPr>
                <w:ilvl w:val="0"/>
                <w:numId w:val="39"/>
              </w:numPr>
              <w:spacing w:after="120"/>
              <w:contextualSpacing w:val="0"/>
              <w:jc w:val="both"/>
              <w:rPr>
                <w:rFonts w:ascii="Verdana" w:hAnsi="Verdana" w:cs="Arial"/>
                <w:bCs/>
                <w:sz w:val="20"/>
                <w:szCs w:val="20"/>
              </w:rPr>
            </w:pPr>
            <w:r w:rsidRPr="00584C27">
              <w:rPr>
                <w:rFonts w:ascii="Verdana" w:hAnsi="Verdana" w:cs="Arial"/>
                <w:bCs/>
                <w:sz w:val="20"/>
                <w:szCs w:val="20"/>
              </w:rPr>
              <w:t>Approuve</w:t>
            </w:r>
            <w:r>
              <w:rPr>
                <w:rFonts w:ascii="Verdana" w:hAnsi="Verdana" w:cs="Arial"/>
                <w:bCs/>
                <w:sz w:val="20"/>
                <w:szCs w:val="20"/>
              </w:rPr>
              <w:t>, à titre exceptionnel,</w:t>
            </w:r>
            <w:r w:rsidRPr="00584C27">
              <w:rPr>
                <w:rFonts w:ascii="Verdana" w:hAnsi="Verdana" w:cs="Arial"/>
                <w:bCs/>
                <w:sz w:val="20"/>
                <w:szCs w:val="20"/>
              </w:rPr>
              <w:t xml:space="preserve"> </w:t>
            </w:r>
            <w:r>
              <w:rPr>
                <w:rFonts w:ascii="Verdana" w:hAnsi="Verdana" w:cs="Arial"/>
                <w:bCs/>
                <w:sz w:val="20"/>
                <w:szCs w:val="20"/>
              </w:rPr>
              <w:t>la révision du</w:t>
            </w:r>
            <w:r w:rsidRPr="00584C27">
              <w:rPr>
                <w:rFonts w:ascii="Verdana" w:hAnsi="Verdana" w:cs="Arial"/>
                <w:bCs/>
                <w:sz w:val="20"/>
                <w:szCs w:val="20"/>
              </w:rPr>
              <w:t xml:space="preserve"> délai d’approbation des candidats retenus dans le cadre de ces 12 recrutements, de 20 jours comme stipulé à l’article 3.4 (c)(vi) et 3.5(c)(vii) du statut du personnel</w:t>
            </w:r>
            <w:r>
              <w:rPr>
                <w:rFonts w:ascii="Verdana" w:hAnsi="Verdana" w:cs="Arial"/>
                <w:bCs/>
                <w:sz w:val="20"/>
                <w:szCs w:val="20"/>
              </w:rPr>
              <w:t>,</w:t>
            </w:r>
            <w:r w:rsidRPr="00584C27">
              <w:rPr>
                <w:rFonts w:ascii="Verdana" w:hAnsi="Verdana" w:cs="Arial"/>
                <w:bCs/>
                <w:sz w:val="20"/>
                <w:szCs w:val="20"/>
              </w:rPr>
              <w:t xml:space="preserve"> à </w:t>
            </w:r>
            <w:r>
              <w:rPr>
                <w:rFonts w:ascii="Verdana" w:hAnsi="Verdana" w:cs="Arial"/>
                <w:bCs/>
                <w:sz w:val="20"/>
                <w:szCs w:val="20"/>
              </w:rPr>
              <w:t>10</w:t>
            </w:r>
            <w:r w:rsidRPr="00584C27">
              <w:rPr>
                <w:rFonts w:ascii="Verdana" w:hAnsi="Verdana" w:cs="Arial"/>
                <w:bCs/>
                <w:sz w:val="20"/>
                <w:szCs w:val="20"/>
              </w:rPr>
              <w:t xml:space="preserve"> jours ;</w:t>
            </w:r>
          </w:p>
          <w:p w14:paraId="50D9045A" w14:textId="77777777" w:rsidR="00A4715D" w:rsidRPr="00584C27" w:rsidRDefault="00A4715D" w:rsidP="00A4715D">
            <w:pPr>
              <w:pStyle w:val="Paragraphedeliste"/>
              <w:numPr>
                <w:ilvl w:val="0"/>
                <w:numId w:val="39"/>
              </w:numPr>
              <w:spacing w:after="120"/>
              <w:contextualSpacing w:val="0"/>
              <w:jc w:val="both"/>
              <w:rPr>
                <w:rFonts w:ascii="Verdana" w:hAnsi="Verdana" w:cs="Arial"/>
                <w:bCs/>
                <w:sz w:val="20"/>
                <w:szCs w:val="20"/>
              </w:rPr>
            </w:pPr>
            <w:r w:rsidRPr="00584C27">
              <w:rPr>
                <w:rFonts w:ascii="Verdana" w:hAnsi="Verdana" w:cs="Arial"/>
                <w:bCs/>
                <w:sz w:val="20"/>
                <w:szCs w:val="20"/>
              </w:rPr>
              <w:t>Demande au Secrétariat général de revoir les dispositifs d’applications du statut du personnel et de</w:t>
            </w:r>
            <w:r>
              <w:rPr>
                <w:rFonts w:ascii="Verdana" w:hAnsi="Verdana" w:cs="Arial"/>
                <w:bCs/>
                <w:sz w:val="20"/>
                <w:szCs w:val="20"/>
              </w:rPr>
              <w:t xml:space="preserve"> soumettre une proposition des statuts révisés dans les meilleurs délais dans le cadre du processus de modernisation institutionnelle ; </w:t>
            </w:r>
            <w:r w:rsidRPr="00584C27">
              <w:rPr>
                <w:rFonts w:ascii="Verdana" w:hAnsi="Verdana" w:cs="Arial"/>
                <w:bCs/>
                <w:sz w:val="20"/>
                <w:szCs w:val="20"/>
              </w:rPr>
              <w:t xml:space="preserve"> </w:t>
            </w:r>
          </w:p>
          <w:p w14:paraId="3088BEFF" w14:textId="77777777" w:rsidR="00A4715D" w:rsidRPr="00B910C7" w:rsidRDefault="00A4715D" w:rsidP="00A4715D">
            <w:pPr>
              <w:pStyle w:val="Paragraphedeliste"/>
              <w:numPr>
                <w:ilvl w:val="0"/>
                <w:numId w:val="39"/>
              </w:numPr>
              <w:spacing w:after="120" w:line="276" w:lineRule="auto"/>
              <w:contextualSpacing w:val="0"/>
              <w:jc w:val="both"/>
            </w:pPr>
            <w:r w:rsidRPr="00B910C7">
              <w:rPr>
                <w:rFonts w:ascii="Verdana" w:hAnsi="Verdana"/>
                <w:sz w:val="20"/>
                <w:szCs w:val="20"/>
              </w:rPr>
              <w:t xml:space="preserve">Demande au Secrétariat général de soumettre aux prochaines instances, et dans une démarche de consultations préalables </w:t>
            </w:r>
            <w:r w:rsidRPr="00B910C7">
              <w:rPr>
                <w:rFonts w:ascii="Verdana" w:hAnsi="Verdana"/>
                <w:sz w:val="20"/>
                <w:szCs w:val="20"/>
              </w:rPr>
              <w:lastRenderedPageBreak/>
              <w:t>des Etats membres, le projet de cadrage des mises à disposition ;</w:t>
            </w:r>
          </w:p>
          <w:p w14:paraId="09140F5C" w14:textId="77777777" w:rsidR="00A4715D" w:rsidRPr="00E01DD5" w:rsidRDefault="00A4715D" w:rsidP="00A4715D">
            <w:pPr>
              <w:pStyle w:val="Paragraphedeliste"/>
              <w:numPr>
                <w:ilvl w:val="0"/>
                <w:numId w:val="39"/>
              </w:numPr>
              <w:spacing w:after="120" w:line="276" w:lineRule="auto"/>
              <w:contextualSpacing w:val="0"/>
              <w:jc w:val="both"/>
            </w:pPr>
            <w:r w:rsidRPr="00B910C7">
              <w:rPr>
                <w:rFonts w:ascii="Verdana" w:hAnsi="Verdana" w:cs="Arial"/>
                <w:bCs/>
                <w:sz w:val="20"/>
                <w:szCs w:val="20"/>
              </w:rPr>
              <w:t>Encourage le Secrétariat général dans la poursuite de la réforme institutionnelle de la COI.</w:t>
            </w:r>
            <w:r w:rsidRPr="00E01DD5">
              <w:t xml:space="preserve"> </w:t>
            </w:r>
          </w:p>
          <w:p w14:paraId="61494D11" w14:textId="16C56DFD" w:rsidR="00613B27" w:rsidRPr="00B76BE0" w:rsidRDefault="00613B27">
            <w:pPr>
              <w:rPr>
                <w:rFonts w:ascii="Verdana" w:hAnsi="Verdana"/>
                <w:sz w:val="20"/>
                <w:szCs w:val="20"/>
              </w:rPr>
            </w:pPr>
          </w:p>
        </w:tc>
        <w:tc>
          <w:tcPr>
            <w:tcW w:w="5031" w:type="dxa"/>
          </w:tcPr>
          <w:p w14:paraId="5EBDAA1C" w14:textId="7530A349" w:rsidR="00934F28" w:rsidRPr="00B76BE0" w:rsidRDefault="00934F28" w:rsidP="08973F31">
            <w:pPr>
              <w:rPr>
                <w:rFonts w:ascii="Verdana" w:hAnsi="Verdana"/>
                <w:sz w:val="20"/>
                <w:szCs w:val="20"/>
              </w:rPr>
            </w:pPr>
          </w:p>
          <w:p w14:paraId="667B8D88" w14:textId="60A820B4" w:rsidR="00934F28" w:rsidRPr="00B76BE0" w:rsidRDefault="00934F28" w:rsidP="08973F31">
            <w:pPr>
              <w:rPr>
                <w:rFonts w:ascii="Verdana" w:hAnsi="Verdana"/>
                <w:sz w:val="20"/>
                <w:szCs w:val="20"/>
              </w:rPr>
            </w:pPr>
          </w:p>
          <w:p w14:paraId="02C3C4EF" w14:textId="4C860D2C" w:rsidR="00934F28" w:rsidRPr="00B76BE0" w:rsidRDefault="28046F13" w:rsidP="08973F31">
            <w:pPr>
              <w:rPr>
                <w:rFonts w:ascii="Verdana" w:hAnsi="Verdana"/>
                <w:sz w:val="20"/>
                <w:szCs w:val="20"/>
              </w:rPr>
            </w:pPr>
            <w:r w:rsidRPr="08973F31">
              <w:rPr>
                <w:rFonts w:ascii="Verdana" w:hAnsi="Verdana"/>
                <w:sz w:val="20"/>
                <w:szCs w:val="20"/>
              </w:rPr>
              <w:t>Le comité des OPLs a soumis pour approbation par procédure écrite au Conseil des ministres :</w:t>
            </w:r>
          </w:p>
          <w:p w14:paraId="7B8D1F22" w14:textId="70F5E819" w:rsidR="00934F28" w:rsidRPr="00B76BE0" w:rsidRDefault="28046F13" w:rsidP="08973F31">
            <w:pPr>
              <w:pStyle w:val="Paragraphedeliste"/>
              <w:numPr>
                <w:ilvl w:val="0"/>
                <w:numId w:val="10"/>
              </w:numPr>
              <w:rPr>
                <w:rFonts w:ascii="Verdana" w:hAnsi="Verdana"/>
                <w:sz w:val="20"/>
                <w:szCs w:val="20"/>
              </w:rPr>
            </w:pPr>
            <w:r w:rsidRPr="08973F31">
              <w:rPr>
                <w:rFonts w:ascii="Verdana" w:hAnsi="Verdana"/>
                <w:sz w:val="20"/>
                <w:szCs w:val="20"/>
              </w:rPr>
              <w:t xml:space="preserve">Le recrutement des 12 postes </w:t>
            </w:r>
          </w:p>
          <w:p w14:paraId="3924A931" w14:textId="3AB9A40C" w:rsidR="00934F28" w:rsidRPr="00B76BE0" w:rsidRDefault="28046F13" w:rsidP="08973F31">
            <w:pPr>
              <w:pStyle w:val="Paragraphedeliste"/>
              <w:numPr>
                <w:ilvl w:val="0"/>
                <w:numId w:val="10"/>
              </w:numPr>
              <w:rPr>
                <w:rFonts w:ascii="Verdana" w:hAnsi="Verdana"/>
                <w:sz w:val="20"/>
                <w:szCs w:val="20"/>
              </w:rPr>
            </w:pPr>
            <w:r w:rsidRPr="08973F31">
              <w:rPr>
                <w:rFonts w:ascii="Verdana" w:hAnsi="Verdana"/>
                <w:sz w:val="20"/>
                <w:szCs w:val="20"/>
              </w:rPr>
              <w:t>La scission des services administratifs et financiers.</w:t>
            </w:r>
          </w:p>
          <w:p w14:paraId="7103C44E" w14:textId="4532F189" w:rsidR="00934F28" w:rsidRPr="00B76BE0" w:rsidRDefault="00934F28" w:rsidP="08973F31">
            <w:pPr>
              <w:rPr>
                <w:rFonts w:ascii="Verdana" w:hAnsi="Verdana"/>
                <w:sz w:val="20"/>
                <w:szCs w:val="20"/>
              </w:rPr>
            </w:pPr>
          </w:p>
          <w:p w14:paraId="32638B64" w14:textId="623A6CB8" w:rsidR="00934F28" w:rsidRPr="00B76BE0" w:rsidRDefault="28046F13" w:rsidP="08973F31">
            <w:pPr>
              <w:rPr>
                <w:rFonts w:ascii="Verdana" w:hAnsi="Verdana"/>
                <w:sz w:val="20"/>
                <w:szCs w:val="20"/>
              </w:rPr>
            </w:pPr>
            <w:r w:rsidRPr="08973F31">
              <w:rPr>
                <w:rFonts w:ascii="Verdana" w:hAnsi="Verdana"/>
                <w:sz w:val="20"/>
                <w:szCs w:val="20"/>
              </w:rPr>
              <w:t>Les statuts du personnel sont en cours de révision, un état des lieux sera présenté aux prochaines instances du mois de mai 2024.</w:t>
            </w:r>
          </w:p>
          <w:p w14:paraId="2E638ACB" w14:textId="40BE95B0" w:rsidR="00934F28" w:rsidRPr="00B76BE0" w:rsidRDefault="00934F28" w:rsidP="08973F31">
            <w:pPr>
              <w:rPr>
                <w:rFonts w:ascii="Verdana" w:hAnsi="Verdana"/>
                <w:sz w:val="20"/>
                <w:szCs w:val="20"/>
              </w:rPr>
            </w:pPr>
          </w:p>
          <w:p w14:paraId="541E812E" w14:textId="6653B88C" w:rsidR="00934F28" w:rsidRPr="00B76BE0" w:rsidRDefault="28046F13" w:rsidP="08973F31">
            <w:pPr>
              <w:rPr>
                <w:rFonts w:ascii="Verdana" w:hAnsi="Verdana"/>
                <w:sz w:val="20"/>
                <w:szCs w:val="20"/>
              </w:rPr>
            </w:pPr>
            <w:r w:rsidRPr="08973F31">
              <w:rPr>
                <w:rFonts w:ascii="Verdana" w:hAnsi="Verdana"/>
                <w:sz w:val="20"/>
                <w:szCs w:val="20"/>
              </w:rPr>
              <w:t>Le projet de cadre des processus de mise à disposition en actuellement en discussion au secrétariat général.</w:t>
            </w:r>
          </w:p>
        </w:tc>
        <w:tc>
          <w:tcPr>
            <w:tcW w:w="1978" w:type="dxa"/>
          </w:tcPr>
          <w:p w14:paraId="314EB327" w14:textId="77777777" w:rsidR="00934F28" w:rsidRPr="00B76BE0" w:rsidRDefault="00934F28">
            <w:pPr>
              <w:rPr>
                <w:rFonts w:ascii="Verdana" w:hAnsi="Verdana"/>
                <w:sz w:val="20"/>
                <w:szCs w:val="20"/>
              </w:rPr>
            </w:pPr>
          </w:p>
        </w:tc>
        <w:tc>
          <w:tcPr>
            <w:tcW w:w="2037" w:type="dxa"/>
          </w:tcPr>
          <w:p w14:paraId="333BB928" w14:textId="77777777" w:rsidR="00934F28" w:rsidRPr="00B76BE0" w:rsidRDefault="00934F28">
            <w:pPr>
              <w:rPr>
                <w:rFonts w:ascii="Verdana" w:hAnsi="Verdana"/>
                <w:sz w:val="20"/>
                <w:szCs w:val="20"/>
              </w:rPr>
            </w:pPr>
          </w:p>
        </w:tc>
      </w:tr>
      <w:tr w:rsidR="00934F28" w:rsidRPr="00B76BE0" w14:paraId="5F2D39C0" w14:textId="77777777" w:rsidTr="23285676">
        <w:tc>
          <w:tcPr>
            <w:tcW w:w="5474" w:type="dxa"/>
          </w:tcPr>
          <w:p w14:paraId="1F6F9BDE" w14:textId="77777777" w:rsidR="009D42E8" w:rsidRPr="009D42E8" w:rsidRDefault="009D42E8" w:rsidP="009D42E8">
            <w:pPr>
              <w:spacing w:after="120" w:line="276" w:lineRule="auto"/>
              <w:rPr>
                <w:rFonts w:ascii="Verdana" w:hAnsi="Verdana"/>
                <w:b/>
                <w:bCs/>
                <w:sz w:val="20"/>
                <w:szCs w:val="20"/>
              </w:rPr>
            </w:pPr>
            <w:r w:rsidRPr="009D42E8">
              <w:rPr>
                <w:rFonts w:ascii="Verdana" w:hAnsi="Verdana"/>
                <w:b/>
                <w:bCs/>
                <w:sz w:val="20"/>
                <w:szCs w:val="20"/>
              </w:rPr>
              <w:lastRenderedPageBreak/>
              <w:t>Décision 15. Mandat du Secrétaire général</w:t>
            </w:r>
          </w:p>
          <w:p w14:paraId="17BB6998" w14:textId="77777777" w:rsidR="009D42E8" w:rsidRDefault="009D42E8" w:rsidP="009D42E8">
            <w:pPr>
              <w:spacing w:after="120" w:line="276" w:lineRule="auto"/>
              <w:jc w:val="both"/>
              <w:rPr>
                <w:rFonts w:ascii="Verdana" w:hAnsi="Verdana"/>
                <w:sz w:val="20"/>
                <w:szCs w:val="20"/>
              </w:rPr>
            </w:pPr>
            <w:r>
              <w:rPr>
                <w:rFonts w:ascii="Verdana" w:hAnsi="Verdana"/>
                <w:sz w:val="20"/>
                <w:szCs w:val="20"/>
              </w:rPr>
              <w:t xml:space="preserve">Le Comité des OPL prend note des divergences exprimées sur la durée du mandat du Secrétaire général, notamment : </w:t>
            </w:r>
          </w:p>
          <w:p w14:paraId="0BCEACCF" w14:textId="77777777" w:rsidR="009D42E8" w:rsidRDefault="009D42E8" w:rsidP="009D42E8">
            <w:pPr>
              <w:pStyle w:val="Paragraphedeliste"/>
              <w:numPr>
                <w:ilvl w:val="0"/>
                <w:numId w:val="41"/>
              </w:numPr>
              <w:spacing w:after="120" w:line="276" w:lineRule="auto"/>
              <w:jc w:val="both"/>
              <w:rPr>
                <w:rFonts w:ascii="Verdana" w:hAnsi="Verdana"/>
                <w:sz w:val="20"/>
                <w:szCs w:val="20"/>
              </w:rPr>
            </w:pPr>
            <w:r>
              <w:rPr>
                <w:rFonts w:ascii="Verdana" w:hAnsi="Verdana"/>
                <w:sz w:val="20"/>
                <w:szCs w:val="20"/>
              </w:rPr>
              <w:t xml:space="preserve">Sur la nécessité de respecter les textes de la COI, notamment l’Accord de Victoria de 1984 en vigueur, tel que soutenu par Madagascar ; </w:t>
            </w:r>
          </w:p>
          <w:p w14:paraId="10FC4AD9" w14:textId="77777777" w:rsidR="009D42E8" w:rsidRDefault="009D42E8" w:rsidP="009D42E8">
            <w:pPr>
              <w:pStyle w:val="Paragraphedeliste"/>
              <w:numPr>
                <w:ilvl w:val="0"/>
                <w:numId w:val="41"/>
              </w:numPr>
              <w:spacing w:after="120" w:line="276" w:lineRule="auto"/>
              <w:jc w:val="both"/>
              <w:rPr>
                <w:rFonts w:ascii="Verdana" w:hAnsi="Verdana"/>
                <w:sz w:val="20"/>
                <w:szCs w:val="20"/>
              </w:rPr>
            </w:pPr>
            <w:r>
              <w:rPr>
                <w:rFonts w:ascii="Verdana" w:hAnsi="Verdana"/>
                <w:sz w:val="20"/>
                <w:szCs w:val="20"/>
              </w:rPr>
              <w:t>Sur la nécessité de respecter la décision n°17 du 34</w:t>
            </w:r>
            <w:r w:rsidRPr="00944EAC">
              <w:rPr>
                <w:rFonts w:ascii="Verdana" w:hAnsi="Verdana"/>
                <w:sz w:val="20"/>
                <w:szCs w:val="20"/>
                <w:vertAlign w:val="superscript"/>
              </w:rPr>
              <w:t>e</w:t>
            </w:r>
            <w:r>
              <w:rPr>
                <w:rFonts w:ascii="Verdana" w:hAnsi="Verdana"/>
                <w:sz w:val="20"/>
                <w:szCs w:val="20"/>
              </w:rPr>
              <w:t xml:space="preserve"> Conseil des ministres du 06 mars 2020, tel que soutenu par les Seychelles ;</w:t>
            </w:r>
          </w:p>
          <w:p w14:paraId="28E6BC80" w14:textId="6BA76C8D" w:rsidR="009D42E8" w:rsidRPr="009D42E8" w:rsidRDefault="009D42E8" w:rsidP="009D42E8">
            <w:pPr>
              <w:pStyle w:val="Paragraphedeliste"/>
              <w:numPr>
                <w:ilvl w:val="0"/>
                <w:numId w:val="41"/>
              </w:numPr>
              <w:spacing w:after="120" w:line="276" w:lineRule="auto"/>
              <w:jc w:val="both"/>
              <w:rPr>
                <w:rFonts w:ascii="Verdana" w:hAnsi="Verdana"/>
                <w:sz w:val="20"/>
                <w:szCs w:val="20"/>
              </w:rPr>
            </w:pPr>
            <w:r w:rsidRPr="009D42E8">
              <w:rPr>
                <w:rFonts w:ascii="Verdana" w:hAnsi="Verdana"/>
                <w:sz w:val="20"/>
                <w:szCs w:val="20"/>
              </w:rPr>
              <w:t xml:space="preserve">Le président du Comité des OPL s’engage à communiquer aux Etats membres la proposition de la présidence sur la marche à suivre dans la première semaine de décembre 2023.  </w:t>
            </w:r>
          </w:p>
          <w:p w14:paraId="165A1D3A" w14:textId="158160EA" w:rsidR="00613B27" w:rsidRPr="00B76BE0" w:rsidRDefault="00613B27">
            <w:pPr>
              <w:rPr>
                <w:rFonts w:ascii="Verdana" w:hAnsi="Verdana"/>
                <w:sz w:val="20"/>
                <w:szCs w:val="20"/>
              </w:rPr>
            </w:pPr>
          </w:p>
        </w:tc>
        <w:tc>
          <w:tcPr>
            <w:tcW w:w="5031" w:type="dxa"/>
          </w:tcPr>
          <w:p w14:paraId="221CEA2E" w14:textId="77777777" w:rsidR="00934F28" w:rsidRDefault="00934F28">
            <w:pPr>
              <w:rPr>
                <w:rFonts w:ascii="Verdana" w:hAnsi="Verdana"/>
                <w:sz w:val="20"/>
                <w:szCs w:val="20"/>
              </w:rPr>
            </w:pPr>
          </w:p>
          <w:p w14:paraId="125D27EC" w14:textId="77777777" w:rsidR="00B20C08" w:rsidRDefault="00B20C08">
            <w:pPr>
              <w:rPr>
                <w:rFonts w:ascii="Verdana" w:hAnsi="Verdana"/>
                <w:sz w:val="20"/>
                <w:szCs w:val="20"/>
              </w:rPr>
            </w:pPr>
          </w:p>
          <w:p w14:paraId="682DB338" w14:textId="77777777" w:rsidR="00B20C08" w:rsidRDefault="00B20C08">
            <w:pPr>
              <w:rPr>
                <w:rFonts w:ascii="Verdana" w:hAnsi="Verdana"/>
                <w:sz w:val="20"/>
                <w:szCs w:val="20"/>
              </w:rPr>
            </w:pPr>
          </w:p>
          <w:p w14:paraId="30949BE6" w14:textId="77777777" w:rsidR="00B20C08" w:rsidRDefault="00B20C08">
            <w:pPr>
              <w:rPr>
                <w:rFonts w:ascii="Verdana" w:hAnsi="Verdana"/>
                <w:sz w:val="20"/>
                <w:szCs w:val="20"/>
              </w:rPr>
            </w:pPr>
          </w:p>
          <w:p w14:paraId="02608981" w14:textId="77777777" w:rsidR="00B20C08" w:rsidRDefault="00B20C08">
            <w:pPr>
              <w:rPr>
                <w:rFonts w:ascii="Verdana" w:hAnsi="Verdana"/>
                <w:sz w:val="20"/>
                <w:szCs w:val="20"/>
              </w:rPr>
            </w:pPr>
          </w:p>
          <w:p w14:paraId="10A9969C" w14:textId="77777777" w:rsidR="00B20C08" w:rsidRDefault="00B20C08">
            <w:pPr>
              <w:rPr>
                <w:rFonts w:ascii="Verdana" w:hAnsi="Verdana"/>
                <w:sz w:val="20"/>
                <w:szCs w:val="20"/>
              </w:rPr>
            </w:pPr>
          </w:p>
          <w:p w14:paraId="080A0AF3" w14:textId="77777777" w:rsidR="00B20C08" w:rsidRDefault="00B20C08">
            <w:pPr>
              <w:rPr>
                <w:rFonts w:ascii="Verdana" w:hAnsi="Verdana"/>
                <w:sz w:val="20"/>
                <w:szCs w:val="20"/>
              </w:rPr>
            </w:pPr>
          </w:p>
          <w:p w14:paraId="77566C7A" w14:textId="77777777" w:rsidR="00B20C08" w:rsidRDefault="00B20C08">
            <w:pPr>
              <w:rPr>
                <w:rFonts w:ascii="Verdana" w:hAnsi="Verdana"/>
                <w:sz w:val="20"/>
                <w:szCs w:val="20"/>
              </w:rPr>
            </w:pPr>
          </w:p>
          <w:p w14:paraId="2F79F25B" w14:textId="77777777" w:rsidR="00B20C08" w:rsidRDefault="00B20C08">
            <w:pPr>
              <w:rPr>
                <w:rFonts w:ascii="Verdana" w:hAnsi="Verdana"/>
                <w:sz w:val="20"/>
                <w:szCs w:val="20"/>
              </w:rPr>
            </w:pPr>
          </w:p>
          <w:p w14:paraId="3C3B12C6" w14:textId="77777777" w:rsidR="00B20C08" w:rsidRDefault="00B20C08">
            <w:pPr>
              <w:rPr>
                <w:rFonts w:ascii="Verdana" w:hAnsi="Verdana"/>
                <w:sz w:val="20"/>
                <w:szCs w:val="20"/>
              </w:rPr>
            </w:pPr>
          </w:p>
          <w:p w14:paraId="1D4812C7" w14:textId="77777777" w:rsidR="00B20C08" w:rsidRDefault="00B20C08">
            <w:pPr>
              <w:rPr>
                <w:rFonts w:ascii="Verdana" w:hAnsi="Verdana"/>
                <w:sz w:val="20"/>
                <w:szCs w:val="20"/>
              </w:rPr>
            </w:pPr>
          </w:p>
          <w:p w14:paraId="6AADC510" w14:textId="77777777" w:rsidR="00B20C08" w:rsidRDefault="00B20C08">
            <w:pPr>
              <w:rPr>
                <w:rFonts w:ascii="Verdana" w:hAnsi="Verdana"/>
                <w:sz w:val="20"/>
                <w:szCs w:val="20"/>
              </w:rPr>
            </w:pPr>
          </w:p>
          <w:p w14:paraId="3EE9BA4D" w14:textId="77777777" w:rsidR="00B20C08" w:rsidRDefault="00B20C08">
            <w:pPr>
              <w:rPr>
                <w:rFonts w:ascii="Verdana" w:hAnsi="Verdana"/>
                <w:sz w:val="20"/>
                <w:szCs w:val="20"/>
              </w:rPr>
            </w:pPr>
          </w:p>
          <w:p w14:paraId="4A194F0C" w14:textId="77777777" w:rsidR="00B20C08" w:rsidRDefault="00B20C08">
            <w:pPr>
              <w:rPr>
                <w:rFonts w:ascii="Verdana" w:hAnsi="Verdana"/>
                <w:sz w:val="20"/>
                <w:szCs w:val="20"/>
              </w:rPr>
            </w:pPr>
          </w:p>
          <w:p w14:paraId="69F7CE4D" w14:textId="77777777" w:rsidR="00B20C08" w:rsidRDefault="00B20C08">
            <w:pPr>
              <w:rPr>
                <w:rFonts w:ascii="Verdana" w:hAnsi="Verdana"/>
                <w:sz w:val="20"/>
                <w:szCs w:val="20"/>
              </w:rPr>
            </w:pPr>
          </w:p>
          <w:p w14:paraId="6DA24CBA" w14:textId="77777777" w:rsidR="00B20C08" w:rsidRDefault="00B20C08">
            <w:pPr>
              <w:rPr>
                <w:rFonts w:ascii="Verdana" w:hAnsi="Verdana"/>
                <w:sz w:val="20"/>
                <w:szCs w:val="20"/>
              </w:rPr>
            </w:pPr>
          </w:p>
          <w:p w14:paraId="23B5B78B" w14:textId="77777777" w:rsidR="00B20C08" w:rsidRDefault="00B20C08">
            <w:pPr>
              <w:rPr>
                <w:rFonts w:ascii="Verdana" w:hAnsi="Verdana"/>
                <w:sz w:val="20"/>
                <w:szCs w:val="20"/>
              </w:rPr>
            </w:pPr>
          </w:p>
          <w:p w14:paraId="2C4E6F54" w14:textId="77777777" w:rsidR="00B20C08" w:rsidRDefault="00B20C08">
            <w:pPr>
              <w:rPr>
                <w:rFonts w:ascii="Verdana" w:hAnsi="Verdana"/>
                <w:sz w:val="20"/>
                <w:szCs w:val="20"/>
              </w:rPr>
            </w:pPr>
          </w:p>
          <w:p w14:paraId="38C8D68A" w14:textId="77777777" w:rsidR="00B20C08" w:rsidRDefault="00B20C08">
            <w:pPr>
              <w:rPr>
                <w:rFonts w:ascii="Verdana" w:hAnsi="Verdana"/>
                <w:sz w:val="20"/>
                <w:szCs w:val="20"/>
              </w:rPr>
            </w:pPr>
          </w:p>
          <w:p w14:paraId="737A7142" w14:textId="77777777" w:rsidR="00B20C08" w:rsidRDefault="00B20C08">
            <w:pPr>
              <w:rPr>
                <w:rFonts w:ascii="Verdana" w:hAnsi="Verdana"/>
                <w:sz w:val="20"/>
                <w:szCs w:val="20"/>
              </w:rPr>
            </w:pPr>
          </w:p>
          <w:p w14:paraId="37E62238" w14:textId="77777777" w:rsidR="00B20C08" w:rsidRDefault="00B20C08">
            <w:pPr>
              <w:rPr>
                <w:rFonts w:ascii="Verdana" w:hAnsi="Verdana"/>
                <w:sz w:val="20"/>
                <w:szCs w:val="20"/>
              </w:rPr>
            </w:pPr>
          </w:p>
          <w:p w14:paraId="1A20090C" w14:textId="77777777" w:rsidR="00B20C08" w:rsidRPr="00B76BE0" w:rsidRDefault="00B20C08">
            <w:pPr>
              <w:rPr>
                <w:rFonts w:ascii="Verdana" w:hAnsi="Verdana"/>
                <w:sz w:val="20"/>
                <w:szCs w:val="20"/>
              </w:rPr>
            </w:pPr>
          </w:p>
        </w:tc>
        <w:tc>
          <w:tcPr>
            <w:tcW w:w="1978" w:type="dxa"/>
          </w:tcPr>
          <w:p w14:paraId="5A07D611" w14:textId="77777777" w:rsidR="00934F28" w:rsidRPr="00B76BE0" w:rsidRDefault="00934F28">
            <w:pPr>
              <w:rPr>
                <w:rFonts w:ascii="Verdana" w:hAnsi="Verdana"/>
                <w:sz w:val="20"/>
                <w:szCs w:val="20"/>
              </w:rPr>
            </w:pPr>
          </w:p>
        </w:tc>
        <w:tc>
          <w:tcPr>
            <w:tcW w:w="2037" w:type="dxa"/>
          </w:tcPr>
          <w:p w14:paraId="79AC39AA" w14:textId="77777777" w:rsidR="00934F28" w:rsidRPr="00B76BE0" w:rsidRDefault="00934F28">
            <w:pPr>
              <w:rPr>
                <w:rFonts w:ascii="Verdana" w:hAnsi="Verdana"/>
                <w:sz w:val="20"/>
                <w:szCs w:val="20"/>
              </w:rPr>
            </w:pPr>
          </w:p>
        </w:tc>
      </w:tr>
      <w:tr w:rsidR="00613B27" w:rsidRPr="00B76BE0" w14:paraId="4A0790A5" w14:textId="77777777" w:rsidTr="23285676">
        <w:tc>
          <w:tcPr>
            <w:tcW w:w="14520" w:type="dxa"/>
            <w:gridSpan w:val="4"/>
            <w:shd w:val="clear" w:color="auto" w:fill="ED7D31" w:themeFill="accent2"/>
          </w:tcPr>
          <w:p w14:paraId="29A214E0" w14:textId="0EA30869" w:rsidR="00613B27" w:rsidRPr="00B76BE0" w:rsidRDefault="00613B27" w:rsidP="00B76BE0">
            <w:pPr>
              <w:pStyle w:val="Titre2"/>
              <w:rPr>
                <w:rFonts w:ascii="Verdana" w:hAnsi="Verdana"/>
                <w:b/>
                <w:bCs/>
                <w:sz w:val="20"/>
                <w:szCs w:val="20"/>
              </w:rPr>
            </w:pPr>
            <w:bookmarkStart w:id="1" w:name="_Toc148088052"/>
            <w:r w:rsidRPr="00B76BE0">
              <w:rPr>
                <w:rFonts w:ascii="Verdana" w:hAnsi="Verdana"/>
                <w:b/>
                <w:bCs/>
                <w:color w:val="FFFFFF" w:themeColor="background1"/>
                <w:sz w:val="20"/>
                <w:szCs w:val="20"/>
              </w:rPr>
              <w:lastRenderedPageBreak/>
              <w:t>Administration et finance</w:t>
            </w:r>
            <w:bookmarkEnd w:id="1"/>
          </w:p>
        </w:tc>
      </w:tr>
      <w:tr w:rsidR="00934F28" w:rsidRPr="00B76BE0" w14:paraId="6D36A890" w14:textId="77777777" w:rsidTr="23285676">
        <w:tc>
          <w:tcPr>
            <w:tcW w:w="5474" w:type="dxa"/>
          </w:tcPr>
          <w:p w14:paraId="2CE0C8E1" w14:textId="77777777" w:rsidR="005D5837" w:rsidRPr="005D5837" w:rsidRDefault="005D5837" w:rsidP="005D5837">
            <w:pPr>
              <w:spacing w:after="120" w:line="276" w:lineRule="auto"/>
              <w:rPr>
                <w:rFonts w:ascii="Verdana" w:hAnsi="Verdana"/>
                <w:b/>
                <w:bCs/>
                <w:sz w:val="20"/>
                <w:szCs w:val="20"/>
              </w:rPr>
            </w:pPr>
            <w:r w:rsidRPr="005D5837">
              <w:rPr>
                <w:rFonts w:ascii="Verdana" w:hAnsi="Verdana"/>
                <w:b/>
                <w:bCs/>
                <w:sz w:val="20"/>
                <w:szCs w:val="20"/>
              </w:rPr>
              <w:t xml:space="preserve">Décision 16. </w:t>
            </w:r>
            <w:r w:rsidRPr="005D5837">
              <w:rPr>
                <w:rFonts w:ascii="Verdana" w:eastAsia="Times New Roman" w:hAnsi="Verdana"/>
                <w:b/>
                <w:bCs/>
                <w:sz w:val="20"/>
                <w:szCs w:val="20"/>
              </w:rPr>
              <w:t>Situation financière des projets</w:t>
            </w:r>
          </w:p>
          <w:p w14:paraId="46871C5B" w14:textId="77777777" w:rsidR="005D5837" w:rsidRPr="0019168D" w:rsidRDefault="005D5837" w:rsidP="005D5837">
            <w:pPr>
              <w:spacing w:after="120" w:line="276" w:lineRule="auto"/>
              <w:jc w:val="both"/>
              <w:rPr>
                <w:rFonts w:ascii="Verdana" w:hAnsi="Verdana"/>
                <w:sz w:val="20"/>
                <w:szCs w:val="20"/>
              </w:rPr>
            </w:pPr>
            <w:r w:rsidRPr="0019168D">
              <w:rPr>
                <w:rFonts w:ascii="Verdana" w:hAnsi="Verdana"/>
                <w:sz w:val="20"/>
                <w:szCs w:val="20"/>
              </w:rPr>
              <w:t xml:space="preserve">Le Comité des OPL </w:t>
            </w:r>
            <w:r>
              <w:rPr>
                <w:rFonts w:ascii="Verdana" w:hAnsi="Verdana"/>
                <w:sz w:val="20"/>
                <w:szCs w:val="20"/>
              </w:rPr>
              <w:t xml:space="preserve">prend note de la situation financière des projets au 30 septembre 2023. </w:t>
            </w:r>
          </w:p>
          <w:p w14:paraId="368CED18" w14:textId="67D06CEF" w:rsidR="00613B27" w:rsidRPr="00B76BE0" w:rsidRDefault="00613B27" w:rsidP="00613B27">
            <w:pPr>
              <w:spacing w:after="120" w:line="276" w:lineRule="auto"/>
              <w:jc w:val="both"/>
              <w:rPr>
                <w:rFonts w:ascii="Verdana" w:hAnsi="Verdana"/>
                <w:bCs/>
                <w:sz w:val="20"/>
                <w:szCs w:val="20"/>
              </w:rPr>
            </w:pPr>
          </w:p>
        </w:tc>
        <w:tc>
          <w:tcPr>
            <w:tcW w:w="5031" w:type="dxa"/>
          </w:tcPr>
          <w:p w14:paraId="57709599" w14:textId="77777777" w:rsidR="00934F28" w:rsidRPr="00B76BE0" w:rsidRDefault="00934F28">
            <w:pPr>
              <w:rPr>
                <w:rFonts w:ascii="Verdana" w:hAnsi="Verdana"/>
                <w:sz w:val="20"/>
                <w:szCs w:val="20"/>
              </w:rPr>
            </w:pPr>
          </w:p>
        </w:tc>
        <w:tc>
          <w:tcPr>
            <w:tcW w:w="1978" w:type="dxa"/>
          </w:tcPr>
          <w:p w14:paraId="1527ED4B" w14:textId="77777777" w:rsidR="00934F28" w:rsidRPr="00B76BE0" w:rsidRDefault="00934F28">
            <w:pPr>
              <w:rPr>
                <w:rFonts w:ascii="Verdana" w:hAnsi="Verdana"/>
                <w:sz w:val="20"/>
                <w:szCs w:val="20"/>
              </w:rPr>
            </w:pPr>
          </w:p>
        </w:tc>
        <w:tc>
          <w:tcPr>
            <w:tcW w:w="2037" w:type="dxa"/>
          </w:tcPr>
          <w:p w14:paraId="37C72080" w14:textId="77777777" w:rsidR="00934F28" w:rsidRPr="00B76BE0" w:rsidRDefault="00934F28">
            <w:pPr>
              <w:rPr>
                <w:rFonts w:ascii="Verdana" w:hAnsi="Verdana"/>
                <w:sz w:val="20"/>
                <w:szCs w:val="20"/>
              </w:rPr>
            </w:pPr>
          </w:p>
        </w:tc>
      </w:tr>
      <w:tr w:rsidR="00934F28" w:rsidRPr="00B76BE0" w14:paraId="7B36CA77" w14:textId="77777777" w:rsidTr="23285676">
        <w:tc>
          <w:tcPr>
            <w:tcW w:w="5474" w:type="dxa"/>
          </w:tcPr>
          <w:p w14:paraId="187973B4" w14:textId="77777777" w:rsidR="000228B6" w:rsidRPr="00F946FD" w:rsidRDefault="000228B6" w:rsidP="000228B6">
            <w:pPr>
              <w:pStyle w:val="Paragraphedeliste"/>
              <w:spacing w:after="120" w:line="276" w:lineRule="auto"/>
              <w:contextualSpacing w:val="0"/>
              <w:jc w:val="center"/>
              <w:rPr>
                <w:rFonts w:ascii="Verdana" w:hAnsi="Verdana"/>
                <w:b/>
                <w:bCs/>
                <w:sz w:val="20"/>
                <w:szCs w:val="20"/>
              </w:rPr>
            </w:pPr>
            <w:r w:rsidRPr="0019168D">
              <w:rPr>
                <w:rFonts w:ascii="Verdana" w:hAnsi="Verdana"/>
                <w:b/>
                <w:bCs/>
                <w:sz w:val="20"/>
                <w:szCs w:val="20"/>
              </w:rPr>
              <w:t xml:space="preserve">Décision </w:t>
            </w:r>
            <w:r>
              <w:rPr>
                <w:rFonts w:ascii="Verdana" w:hAnsi="Verdana"/>
                <w:b/>
                <w:bCs/>
                <w:sz w:val="20"/>
                <w:szCs w:val="20"/>
              </w:rPr>
              <w:t>17</w:t>
            </w:r>
            <w:r w:rsidRPr="0019168D">
              <w:rPr>
                <w:rFonts w:ascii="Verdana" w:hAnsi="Verdana"/>
                <w:b/>
                <w:bCs/>
                <w:sz w:val="20"/>
                <w:szCs w:val="20"/>
              </w:rPr>
              <w:t>.</w:t>
            </w:r>
            <w:r w:rsidRPr="00F946FD">
              <w:rPr>
                <w:rFonts w:ascii="Verdana" w:hAnsi="Verdana"/>
                <w:b/>
                <w:bCs/>
                <w:sz w:val="20"/>
                <w:szCs w:val="20"/>
              </w:rPr>
              <w:t xml:space="preserve"> </w:t>
            </w:r>
            <w:r w:rsidRPr="00CD34F3">
              <w:rPr>
                <w:rFonts w:ascii="Verdana" w:eastAsia="Times New Roman" w:hAnsi="Verdana"/>
                <w:b/>
                <w:bCs/>
                <w:sz w:val="20"/>
                <w:szCs w:val="20"/>
              </w:rPr>
              <w:t>Situation sur l’exécution du budget 2023</w:t>
            </w:r>
          </w:p>
          <w:p w14:paraId="06586E07" w14:textId="77777777" w:rsidR="000228B6" w:rsidRPr="00F043F1" w:rsidRDefault="000228B6" w:rsidP="000228B6">
            <w:pPr>
              <w:jc w:val="both"/>
              <w:rPr>
                <w:rFonts w:ascii="Verdana" w:hAnsi="Verdana"/>
                <w:bCs/>
                <w:sz w:val="20"/>
                <w:szCs w:val="20"/>
              </w:rPr>
            </w:pPr>
            <w:r w:rsidRPr="00F043F1">
              <w:rPr>
                <w:rFonts w:ascii="Verdana" w:hAnsi="Verdana"/>
                <w:bCs/>
                <w:sz w:val="20"/>
                <w:szCs w:val="20"/>
              </w:rPr>
              <w:t>Le Comité des OPL :</w:t>
            </w:r>
          </w:p>
          <w:p w14:paraId="0981A769" w14:textId="77777777" w:rsidR="000228B6" w:rsidRPr="00F043F1" w:rsidRDefault="000228B6" w:rsidP="000228B6">
            <w:pPr>
              <w:pStyle w:val="Paragraphedeliste"/>
              <w:numPr>
                <w:ilvl w:val="0"/>
                <w:numId w:val="17"/>
              </w:numPr>
              <w:spacing w:after="200" w:line="276" w:lineRule="auto"/>
              <w:jc w:val="both"/>
              <w:rPr>
                <w:rFonts w:ascii="Verdana" w:hAnsi="Verdana"/>
                <w:bCs/>
                <w:sz w:val="20"/>
                <w:szCs w:val="20"/>
              </w:rPr>
            </w:pPr>
            <w:r>
              <w:rPr>
                <w:rFonts w:ascii="Verdana" w:hAnsi="Verdana"/>
                <w:bCs/>
                <w:sz w:val="20"/>
                <w:szCs w:val="20"/>
              </w:rPr>
              <w:t>P</w:t>
            </w:r>
            <w:r w:rsidRPr="00F043F1">
              <w:rPr>
                <w:rFonts w:ascii="Verdana" w:hAnsi="Verdana"/>
                <w:bCs/>
                <w:sz w:val="20"/>
                <w:szCs w:val="20"/>
              </w:rPr>
              <w:t xml:space="preserve">rend note de la situation financière du budget en cours </w:t>
            </w:r>
            <w:r>
              <w:rPr>
                <w:rFonts w:ascii="Verdana" w:hAnsi="Verdana"/>
                <w:bCs/>
                <w:sz w:val="20"/>
                <w:szCs w:val="20"/>
              </w:rPr>
              <w:t xml:space="preserve">au </w:t>
            </w:r>
            <w:r w:rsidRPr="00F043F1">
              <w:rPr>
                <w:rFonts w:ascii="Verdana" w:hAnsi="Verdana"/>
                <w:bCs/>
                <w:sz w:val="20"/>
                <w:szCs w:val="20"/>
              </w:rPr>
              <w:t>30 septembre 2023 ainsi que ses annexes ;</w:t>
            </w:r>
          </w:p>
          <w:p w14:paraId="64ED82E3" w14:textId="28AA3CD0" w:rsidR="00613B27" w:rsidRPr="000228B6" w:rsidRDefault="000228B6" w:rsidP="000228B6">
            <w:pPr>
              <w:pStyle w:val="Paragraphedeliste"/>
              <w:numPr>
                <w:ilvl w:val="0"/>
                <w:numId w:val="17"/>
              </w:numPr>
              <w:spacing w:after="200" w:line="276" w:lineRule="auto"/>
              <w:jc w:val="both"/>
              <w:rPr>
                <w:rFonts w:ascii="Verdana" w:hAnsi="Verdana"/>
                <w:bCs/>
                <w:sz w:val="20"/>
                <w:szCs w:val="20"/>
              </w:rPr>
            </w:pPr>
            <w:r>
              <w:rPr>
                <w:rFonts w:ascii="Verdana" w:hAnsi="Verdana"/>
                <w:bCs/>
                <w:sz w:val="20"/>
                <w:szCs w:val="20"/>
              </w:rPr>
              <w:t>R</w:t>
            </w:r>
            <w:r w:rsidRPr="00F043F1">
              <w:rPr>
                <w:rFonts w:ascii="Verdana" w:hAnsi="Verdana"/>
                <w:bCs/>
                <w:sz w:val="20"/>
                <w:szCs w:val="20"/>
              </w:rPr>
              <w:t>emercie tous les États membres d’être à jour de leur contribution en faveur du Secrétariat général.</w:t>
            </w:r>
          </w:p>
        </w:tc>
        <w:tc>
          <w:tcPr>
            <w:tcW w:w="5031" w:type="dxa"/>
          </w:tcPr>
          <w:p w14:paraId="06C331EF" w14:textId="77777777" w:rsidR="00934F28" w:rsidRPr="00B76BE0" w:rsidRDefault="00934F28">
            <w:pPr>
              <w:rPr>
                <w:rFonts w:ascii="Verdana" w:hAnsi="Verdana"/>
                <w:sz w:val="20"/>
                <w:szCs w:val="20"/>
              </w:rPr>
            </w:pPr>
          </w:p>
        </w:tc>
        <w:tc>
          <w:tcPr>
            <w:tcW w:w="1978" w:type="dxa"/>
          </w:tcPr>
          <w:p w14:paraId="095F4DC8" w14:textId="77777777" w:rsidR="00934F28" w:rsidRPr="00B76BE0" w:rsidRDefault="00934F28">
            <w:pPr>
              <w:rPr>
                <w:rFonts w:ascii="Verdana" w:hAnsi="Verdana"/>
                <w:sz w:val="20"/>
                <w:szCs w:val="20"/>
              </w:rPr>
            </w:pPr>
          </w:p>
        </w:tc>
        <w:tc>
          <w:tcPr>
            <w:tcW w:w="2037" w:type="dxa"/>
          </w:tcPr>
          <w:p w14:paraId="2837AEB9" w14:textId="77777777" w:rsidR="00934F28" w:rsidRPr="00B76BE0" w:rsidRDefault="00934F28">
            <w:pPr>
              <w:rPr>
                <w:rFonts w:ascii="Verdana" w:hAnsi="Verdana"/>
                <w:sz w:val="20"/>
                <w:szCs w:val="20"/>
              </w:rPr>
            </w:pPr>
          </w:p>
        </w:tc>
      </w:tr>
      <w:tr w:rsidR="00934F28" w:rsidRPr="00B76BE0" w14:paraId="41DAD47C" w14:textId="77777777" w:rsidTr="23285676">
        <w:tc>
          <w:tcPr>
            <w:tcW w:w="5474" w:type="dxa"/>
          </w:tcPr>
          <w:p w14:paraId="22C31613" w14:textId="77777777" w:rsidR="0081003A" w:rsidRPr="00F946FD" w:rsidRDefault="0081003A" w:rsidP="0081003A">
            <w:pPr>
              <w:pStyle w:val="Paragraphedeliste"/>
              <w:spacing w:after="120" w:line="276" w:lineRule="auto"/>
              <w:contextualSpacing w:val="0"/>
              <w:jc w:val="center"/>
              <w:rPr>
                <w:rFonts w:ascii="Verdana" w:hAnsi="Verdana"/>
                <w:b/>
                <w:bCs/>
                <w:sz w:val="20"/>
                <w:szCs w:val="20"/>
              </w:rPr>
            </w:pPr>
            <w:r w:rsidRPr="0019168D">
              <w:rPr>
                <w:rFonts w:ascii="Verdana" w:hAnsi="Verdana"/>
                <w:b/>
                <w:bCs/>
                <w:sz w:val="20"/>
                <w:szCs w:val="20"/>
              </w:rPr>
              <w:t xml:space="preserve">Décision </w:t>
            </w:r>
            <w:r>
              <w:rPr>
                <w:rFonts w:ascii="Verdana" w:hAnsi="Verdana"/>
                <w:b/>
                <w:bCs/>
                <w:sz w:val="20"/>
                <w:szCs w:val="20"/>
              </w:rPr>
              <w:t>18</w:t>
            </w:r>
            <w:r w:rsidRPr="0019168D">
              <w:rPr>
                <w:rFonts w:ascii="Verdana" w:hAnsi="Verdana"/>
                <w:b/>
                <w:bCs/>
                <w:sz w:val="20"/>
                <w:szCs w:val="20"/>
              </w:rPr>
              <w:t>.</w:t>
            </w:r>
            <w:r w:rsidRPr="00F946FD">
              <w:rPr>
                <w:rFonts w:ascii="Verdana" w:hAnsi="Verdana"/>
                <w:b/>
                <w:bCs/>
                <w:sz w:val="20"/>
                <w:szCs w:val="20"/>
              </w:rPr>
              <w:t xml:space="preserve"> </w:t>
            </w:r>
            <w:r w:rsidRPr="00E0258F">
              <w:rPr>
                <w:rFonts w:ascii="Verdana" w:eastAsia="Times New Roman" w:hAnsi="Verdana"/>
                <w:b/>
                <w:bCs/>
                <w:sz w:val="20"/>
                <w:szCs w:val="20"/>
              </w:rPr>
              <w:t>Projet de budget 2024</w:t>
            </w:r>
          </w:p>
          <w:p w14:paraId="31329877" w14:textId="77777777" w:rsidR="0081003A" w:rsidRPr="00781D0B" w:rsidRDefault="0081003A" w:rsidP="0081003A">
            <w:pPr>
              <w:tabs>
                <w:tab w:val="left" w:pos="1400"/>
              </w:tabs>
              <w:spacing w:line="0" w:lineRule="atLeast"/>
              <w:rPr>
                <w:rFonts w:ascii="Verdana" w:eastAsia="Calibri Light" w:hAnsi="Verdana" w:cs="Calibri"/>
                <w:iCs/>
                <w:sz w:val="20"/>
                <w:szCs w:val="20"/>
              </w:rPr>
            </w:pPr>
            <w:r w:rsidRPr="00781D0B">
              <w:rPr>
                <w:rFonts w:ascii="Verdana" w:eastAsia="Calibri Light" w:hAnsi="Verdana" w:cs="Calibri"/>
                <w:iCs/>
                <w:sz w:val="20"/>
                <w:szCs w:val="20"/>
              </w:rPr>
              <w:t>Le Comité des OPL :</w:t>
            </w:r>
          </w:p>
          <w:p w14:paraId="7D0FE498" w14:textId="0D02F7CC" w:rsidR="0081003A" w:rsidRPr="00781D0B" w:rsidRDefault="0081003A" w:rsidP="0081003A">
            <w:pPr>
              <w:numPr>
                <w:ilvl w:val="0"/>
                <w:numId w:val="43"/>
              </w:numPr>
              <w:tabs>
                <w:tab w:val="left" w:pos="1560"/>
              </w:tabs>
              <w:spacing w:after="120" w:line="0" w:lineRule="atLeast"/>
              <w:rPr>
                <w:rFonts w:ascii="Verdana" w:eastAsia="Calibri Light" w:hAnsi="Verdana" w:cs="Calibri"/>
                <w:iCs/>
                <w:sz w:val="20"/>
                <w:szCs w:val="20"/>
              </w:rPr>
            </w:pPr>
            <w:r w:rsidRPr="00781D0B">
              <w:rPr>
                <w:rFonts w:ascii="Verdana" w:eastAsia="Calibri Light" w:hAnsi="Verdana" w:cs="Calibri"/>
                <w:iCs/>
                <w:sz w:val="20"/>
                <w:szCs w:val="20"/>
              </w:rPr>
              <w:t>Prend note du projet de budget 2024</w:t>
            </w:r>
            <w:r w:rsidR="00C04424">
              <w:rPr>
                <w:rFonts w:ascii="Verdana" w:eastAsia="Calibri Light" w:hAnsi="Verdana" w:cs="Calibri"/>
                <w:iCs/>
                <w:sz w:val="20"/>
                <w:szCs w:val="20"/>
              </w:rPr>
              <w:t>,</w:t>
            </w:r>
            <w:r w:rsidRPr="00781D0B">
              <w:rPr>
                <w:rFonts w:ascii="Verdana" w:eastAsia="Calibri Light" w:hAnsi="Verdana" w:cs="Calibri"/>
                <w:iCs/>
                <w:sz w:val="20"/>
                <w:szCs w:val="20"/>
              </w:rPr>
              <w:t xml:space="preserve"> et ses annexes</w:t>
            </w:r>
            <w:r w:rsidR="00C04424">
              <w:rPr>
                <w:rFonts w:ascii="Verdana" w:eastAsia="Calibri Light" w:hAnsi="Verdana" w:cs="Calibri"/>
                <w:iCs/>
                <w:sz w:val="20"/>
                <w:szCs w:val="20"/>
              </w:rPr>
              <w:t>,</w:t>
            </w:r>
            <w:r w:rsidRPr="00781D0B">
              <w:rPr>
                <w:rFonts w:ascii="Verdana" w:eastAsia="Calibri Light" w:hAnsi="Verdana" w:cs="Calibri"/>
                <w:iCs/>
                <w:sz w:val="20"/>
                <w:szCs w:val="20"/>
              </w:rPr>
              <w:t xml:space="preserve"> présentés par le Secrétariat général de la COI ;</w:t>
            </w:r>
          </w:p>
          <w:p w14:paraId="65C1937A" w14:textId="77777777" w:rsidR="0081003A" w:rsidRPr="00781D0B" w:rsidRDefault="0081003A" w:rsidP="0081003A">
            <w:pPr>
              <w:numPr>
                <w:ilvl w:val="0"/>
                <w:numId w:val="43"/>
              </w:numPr>
              <w:tabs>
                <w:tab w:val="left" w:pos="1400"/>
              </w:tabs>
              <w:spacing w:after="120" w:line="0" w:lineRule="atLeast"/>
              <w:rPr>
                <w:rFonts w:ascii="Verdana" w:eastAsia="Calibri Light" w:hAnsi="Verdana" w:cs="Calibri"/>
                <w:iCs/>
                <w:sz w:val="20"/>
                <w:szCs w:val="20"/>
              </w:rPr>
            </w:pPr>
            <w:r w:rsidRPr="00781D0B">
              <w:rPr>
                <w:rFonts w:ascii="Verdana" w:eastAsia="Calibri Light" w:hAnsi="Verdana" w:cs="Calibri"/>
                <w:iCs/>
                <w:sz w:val="20"/>
                <w:szCs w:val="20"/>
              </w:rPr>
              <w:t xml:space="preserve">Approuve les recommandations du Comité budgétaire de la COI, à savoir : </w:t>
            </w:r>
          </w:p>
          <w:p w14:paraId="4E439DB0"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stheme="minorHAnsi"/>
                <w:color w:val="171717" w:themeColor="background2" w:themeShade="1A"/>
                <w:sz w:val="20"/>
                <w:szCs w:val="20"/>
              </w:rPr>
              <w:t xml:space="preserve">La soumission au Comité des OPL des 12 postes tels que recommandés par le Comité des </w:t>
            </w:r>
            <w:r w:rsidRPr="00781D0B">
              <w:rPr>
                <w:rFonts w:ascii="Verdana" w:hAnsi="Verdana" w:cstheme="minorHAnsi"/>
                <w:color w:val="171717" w:themeColor="background2" w:themeShade="1A"/>
                <w:sz w:val="20"/>
                <w:szCs w:val="20"/>
              </w:rPr>
              <w:lastRenderedPageBreak/>
              <w:t>ressources humaines réuni le 7 novembre 2023.</w:t>
            </w:r>
          </w:p>
          <w:p w14:paraId="13055822"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stheme="minorHAnsi"/>
                <w:sz w:val="20"/>
                <w:szCs w:val="20"/>
              </w:rPr>
              <w:t>Par souci de bonne gestion et de transparence, l’inclusion dans le budget de fonctionnement de la totalité de la contribution de la Chine et la création d’une ligne budgétaire dans la partie dépense pour les actions prioritaires imputables à cette subvention.</w:t>
            </w:r>
          </w:p>
          <w:p w14:paraId="4F12D91B"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stheme="minorHAnsi"/>
                <w:sz w:val="20"/>
                <w:szCs w:val="20"/>
              </w:rPr>
              <w:t>La préparation des budgets triennaux glissants pour permettre une meilleure appréhension de la croissance budgétaire par les États membres.</w:t>
            </w:r>
          </w:p>
          <w:p w14:paraId="211FC8F6"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olor w:val="171717" w:themeColor="background2" w:themeShade="1A"/>
                <w:sz w:val="20"/>
                <w:szCs w:val="20"/>
              </w:rPr>
              <w:t>L’envoi par le Secrétariat général des outils de base et hypothèses à utiliser dans la préparation du budget annuel pour validation par le Comité budgétaire avant la préparation et soumission du projet de budget et la convocation du Comité budgétaire.</w:t>
            </w:r>
          </w:p>
          <w:p w14:paraId="5B6D4B46"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stheme="minorHAnsi"/>
                <w:color w:val="171717" w:themeColor="background2" w:themeShade="1A"/>
                <w:sz w:val="20"/>
                <w:szCs w:val="20"/>
              </w:rPr>
              <w:t>L’établissement d’un calendrier permettant aux États membres de suivre le processus d’accréditation aux 9 piliers de l’Union européenne et auprès du Fonds vert pour le Climat.</w:t>
            </w:r>
          </w:p>
          <w:p w14:paraId="0AEDA854"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stheme="minorHAnsi"/>
                <w:color w:val="171717" w:themeColor="background2" w:themeShade="1A"/>
                <w:sz w:val="20"/>
                <w:szCs w:val="20"/>
              </w:rPr>
              <w:lastRenderedPageBreak/>
              <w:t>La validation des Termes de référence du Comité budgétaire de la COI.</w:t>
            </w:r>
          </w:p>
          <w:p w14:paraId="5A5F6792" w14:textId="77777777" w:rsidR="0081003A" w:rsidRPr="00781D0B" w:rsidRDefault="0081003A" w:rsidP="0081003A">
            <w:pPr>
              <w:pStyle w:val="Paragraphedeliste"/>
              <w:numPr>
                <w:ilvl w:val="0"/>
                <w:numId w:val="44"/>
              </w:numPr>
              <w:ind w:left="1843" w:hanging="283"/>
              <w:jc w:val="both"/>
              <w:rPr>
                <w:rFonts w:ascii="Verdana" w:hAnsi="Verdana" w:cstheme="minorHAnsi"/>
                <w:color w:val="171717" w:themeColor="background2" w:themeShade="1A"/>
                <w:sz w:val="20"/>
                <w:szCs w:val="20"/>
              </w:rPr>
            </w:pPr>
            <w:r w:rsidRPr="00781D0B">
              <w:rPr>
                <w:rFonts w:ascii="Verdana" w:hAnsi="Verdana"/>
                <w:color w:val="171717" w:themeColor="background2" w:themeShade="1A"/>
                <w:sz w:val="20"/>
                <w:szCs w:val="20"/>
              </w:rPr>
              <w:t>La transmission du modèle économique et financier actualisé comprenant l’outil de projection élaboré avec le soutien de BearingPoint.</w:t>
            </w:r>
          </w:p>
          <w:p w14:paraId="191529B4" w14:textId="77777777" w:rsidR="0081003A" w:rsidRPr="00781D0B" w:rsidRDefault="0081003A" w:rsidP="0081003A">
            <w:pPr>
              <w:pStyle w:val="Paragraphedeliste"/>
              <w:numPr>
                <w:ilvl w:val="0"/>
                <w:numId w:val="44"/>
              </w:numPr>
              <w:spacing w:after="120"/>
              <w:ind w:left="1843" w:hanging="283"/>
              <w:contextualSpacing w:val="0"/>
              <w:jc w:val="both"/>
              <w:rPr>
                <w:rFonts w:ascii="Verdana" w:hAnsi="Verdana" w:cstheme="minorHAnsi"/>
                <w:color w:val="171717" w:themeColor="background2" w:themeShade="1A"/>
                <w:sz w:val="20"/>
                <w:szCs w:val="20"/>
              </w:rPr>
            </w:pPr>
            <w:r w:rsidRPr="00781D0B">
              <w:rPr>
                <w:rFonts w:ascii="Verdana" w:hAnsi="Verdana"/>
                <w:color w:val="171717" w:themeColor="background2" w:themeShade="1A"/>
                <w:sz w:val="20"/>
                <w:szCs w:val="20"/>
              </w:rPr>
              <w:t xml:space="preserve">L’approbation par la présidence en exercice de la réallocation budgétaire sollicitée par le Secrétariat général. </w:t>
            </w:r>
          </w:p>
          <w:p w14:paraId="5BED93D0" w14:textId="77777777" w:rsidR="0081003A" w:rsidRDefault="0081003A" w:rsidP="0081003A">
            <w:pPr>
              <w:pStyle w:val="Paragraphedeliste"/>
              <w:numPr>
                <w:ilvl w:val="0"/>
                <w:numId w:val="43"/>
              </w:numPr>
              <w:spacing w:after="120"/>
              <w:contextualSpacing w:val="0"/>
              <w:jc w:val="both"/>
              <w:rPr>
                <w:rFonts w:ascii="Verdana" w:hAnsi="Verdana"/>
                <w:sz w:val="20"/>
                <w:szCs w:val="20"/>
              </w:rPr>
            </w:pPr>
            <w:r w:rsidRPr="00781D0B">
              <w:rPr>
                <w:rFonts w:ascii="Verdana" w:hAnsi="Verdana"/>
                <w:sz w:val="20"/>
                <w:szCs w:val="20"/>
              </w:rPr>
              <w:t xml:space="preserve">Valide le projet de budget de fonctionnement 2024 du Secrétariat général de la COI établi à hauteur de € 2 118 226 dont la somme de € 1 691 226 comme contribution statutaire des Etats membres et le soumet aux membres du Conseil des ministres pour approbation finale par procédure écrite.  </w:t>
            </w:r>
          </w:p>
          <w:p w14:paraId="00024094" w14:textId="0FEA18B8" w:rsidR="00613B27" w:rsidRPr="00B76BE0" w:rsidRDefault="00613B27" w:rsidP="00613B27">
            <w:pPr>
              <w:pStyle w:val="Paragraphe"/>
              <w:spacing w:after="120" w:line="276" w:lineRule="auto"/>
            </w:pPr>
          </w:p>
        </w:tc>
        <w:tc>
          <w:tcPr>
            <w:tcW w:w="5031" w:type="dxa"/>
          </w:tcPr>
          <w:p w14:paraId="71741F4A" w14:textId="775CAD4F" w:rsidR="00783C17" w:rsidRPr="001431A1" w:rsidRDefault="00783C17" w:rsidP="001431A1">
            <w:pPr>
              <w:rPr>
                <w:rFonts w:ascii="Verdana" w:hAnsi="Verdana"/>
                <w:sz w:val="20"/>
                <w:szCs w:val="20"/>
              </w:rPr>
            </w:pPr>
          </w:p>
        </w:tc>
        <w:tc>
          <w:tcPr>
            <w:tcW w:w="1978" w:type="dxa"/>
          </w:tcPr>
          <w:p w14:paraId="0EE15C90" w14:textId="733AE387" w:rsidR="00AA1138" w:rsidRPr="001431A1" w:rsidRDefault="00AA1138" w:rsidP="001431A1">
            <w:pPr>
              <w:ind w:left="360"/>
              <w:rPr>
                <w:rFonts w:ascii="Verdana" w:hAnsi="Verdana"/>
                <w:sz w:val="20"/>
                <w:szCs w:val="20"/>
              </w:rPr>
            </w:pPr>
          </w:p>
        </w:tc>
        <w:tc>
          <w:tcPr>
            <w:tcW w:w="2037" w:type="dxa"/>
          </w:tcPr>
          <w:p w14:paraId="76A8B954" w14:textId="7738E485" w:rsidR="00DC59E4" w:rsidRPr="00B76BE0" w:rsidRDefault="00DC59E4">
            <w:pPr>
              <w:rPr>
                <w:rFonts w:ascii="Verdana" w:hAnsi="Verdana"/>
                <w:sz w:val="20"/>
                <w:szCs w:val="20"/>
              </w:rPr>
            </w:pPr>
          </w:p>
        </w:tc>
      </w:tr>
      <w:tr w:rsidR="00C76FF8" w:rsidRPr="00B76BE0" w14:paraId="46AACAA6" w14:textId="77777777" w:rsidTr="23285676">
        <w:tc>
          <w:tcPr>
            <w:tcW w:w="5474" w:type="dxa"/>
          </w:tcPr>
          <w:p w14:paraId="287B979F" w14:textId="77777777" w:rsidR="00C76FF8" w:rsidRDefault="00C76FF8" w:rsidP="00C76FF8">
            <w:pPr>
              <w:spacing w:after="120" w:line="276" w:lineRule="auto"/>
              <w:rPr>
                <w:rFonts w:ascii="Verdana" w:hAnsi="Verdana"/>
                <w:b/>
                <w:bCs/>
                <w:sz w:val="20"/>
                <w:szCs w:val="20"/>
              </w:rPr>
            </w:pPr>
            <w:r w:rsidRPr="00FB1605">
              <w:rPr>
                <w:rFonts w:ascii="Verdana" w:hAnsi="Verdana"/>
                <w:b/>
                <w:bCs/>
                <w:sz w:val="20"/>
                <w:szCs w:val="20"/>
              </w:rPr>
              <w:lastRenderedPageBreak/>
              <w:t xml:space="preserve">Décision </w:t>
            </w:r>
            <w:r>
              <w:rPr>
                <w:rFonts w:ascii="Verdana" w:hAnsi="Verdana"/>
                <w:b/>
                <w:bCs/>
                <w:sz w:val="20"/>
                <w:szCs w:val="20"/>
              </w:rPr>
              <w:t>19</w:t>
            </w:r>
            <w:r w:rsidRPr="00FB1605">
              <w:rPr>
                <w:rFonts w:ascii="Verdana" w:hAnsi="Verdana"/>
                <w:b/>
                <w:bCs/>
                <w:sz w:val="20"/>
                <w:szCs w:val="20"/>
              </w:rPr>
              <w:t xml:space="preserve">. </w:t>
            </w:r>
            <w:r>
              <w:rPr>
                <w:rFonts w:ascii="Verdana" w:hAnsi="Verdana"/>
                <w:b/>
                <w:bCs/>
                <w:sz w:val="20"/>
                <w:szCs w:val="20"/>
              </w:rPr>
              <w:t>Avancées des services d’appui</w:t>
            </w:r>
          </w:p>
          <w:p w14:paraId="287481B6" w14:textId="77777777" w:rsidR="00C76FF8" w:rsidRPr="00FB1605" w:rsidRDefault="00C76FF8" w:rsidP="00C76FF8">
            <w:pPr>
              <w:spacing w:after="120" w:line="276" w:lineRule="auto"/>
              <w:rPr>
                <w:rFonts w:ascii="Verdana" w:hAnsi="Verdana"/>
                <w:sz w:val="20"/>
                <w:szCs w:val="20"/>
              </w:rPr>
            </w:pPr>
            <w:r w:rsidRPr="00FB1605">
              <w:rPr>
                <w:rFonts w:ascii="Verdana" w:hAnsi="Verdana"/>
                <w:sz w:val="20"/>
                <w:szCs w:val="20"/>
              </w:rPr>
              <w:t xml:space="preserve">Le Comité des OPL prend note des informations fournies par les services de passation des marchés, d’audit et de communication sur l’avancement de leurs activités. </w:t>
            </w:r>
          </w:p>
          <w:p w14:paraId="64C6417F" w14:textId="77777777" w:rsidR="00C76FF8" w:rsidRPr="0019168D" w:rsidRDefault="00C76FF8" w:rsidP="0081003A">
            <w:pPr>
              <w:pStyle w:val="Paragraphedeliste"/>
              <w:spacing w:after="120" w:line="276" w:lineRule="auto"/>
              <w:contextualSpacing w:val="0"/>
              <w:jc w:val="center"/>
              <w:rPr>
                <w:rFonts w:ascii="Verdana" w:hAnsi="Verdana"/>
                <w:b/>
                <w:bCs/>
                <w:sz w:val="20"/>
                <w:szCs w:val="20"/>
              </w:rPr>
            </w:pPr>
          </w:p>
        </w:tc>
        <w:tc>
          <w:tcPr>
            <w:tcW w:w="5031" w:type="dxa"/>
          </w:tcPr>
          <w:p w14:paraId="24CBA3FE" w14:textId="77777777" w:rsidR="00C76FF8" w:rsidRPr="00C76FF8" w:rsidRDefault="00C76FF8" w:rsidP="00C76FF8">
            <w:pPr>
              <w:rPr>
                <w:rFonts w:ascii="Verdana" w:hAnsi="Verdana"/>
                <w:sz w:val="20"/>
                <w:szCs w:val="20"/>
              </w:rPr>
            </w:pPr>
          </w:p>
        </w:tc>
        <w:tc>
          <w:tcPr>
            <w:tcW w:w="1978" w:type="dxa"/>
          </w:tcPr>
          <w:p w14:paraId="335F0E9B" w14:textId="77777777" w:rsidR="00C76FF8" w:rsidRPr="00C76FF8" w:rsidRDefault="00C76FF8" w:rsidP="00C76FF8">
            <w:pPr>
              <w:rPr>
                <w:rFonts w:ascii="Verdana" w:hAnsi="Verdana"/>
                <w:sz w:val="20"/>
                <w:szCs w:val="20"/>
              </w:rPr>
            </w:pPr>
          </w:p>
        </w:tc>
        <w:tc>
          <w:tcPr>
            <w:tcW w:w="2037" w:type="dxa"/>
          </w:tcPr>
          <w:p w14:paraId="60C02726" w14:textId="77777777" w:rsidR="00C76FF8" w:rsidRPr="00C76FF8" w:rsidRDefault="00C76FF8" w:rsidP="00C76FF8">
            <w:pPr>
              <w:rPr>
                <w:rFonts w:ascii="Verdana" w:hAnsi="Verdana"/>
                <w:sz w:val="20"/>
                <w:szCs w:val="20"/>
              </w:rPr>
            </w:pPr>
          </w:p>
        </w:tc>
      </w:tr>
      <w:tr w:rsidR="00C76FF8" w:rsidRPr="00B76BE0" w14:paraId="12168B6D" w14:textId="77777777" w:rsidTr="23285676">
        <w:tc>
          <w:tcPr>
            <w:tcW w:w="5474" w:type="dxa"/>
          </w:tcPr>
          <w:p w14:paraId="031DB279" w14:textId="77777777" w:rsidR="0030476E" w:rsidRPr="008C2CF1" w:rsidRDefault="0030476E" w:rsidP="0030476E">
            <w:pPr>
              <w:spacing w:after="120" w:line="276" w:lineRule="auto"/>
              <w:jc w:val="center"/>
              <w:rPr>
                <w:rFonts w:ascii="Verdana" w:hAnsi="Verdana"/>
                <w:b/>
                <w:bCs/>
                <w:sz w:val="20"/>
                <w:szCs w:val="20"/>
              </w:rPr>
            </w:pPr>
            <w:r>
              <w:rPr>
                <w:rFonts w:ascii="Verdana" w:hAnsi="Verdana"/>
                <w:b/>
                <w:bCs/>
                <w:sz w:val="20"/>
                <w:szCs w:val="20"/>
              </w:rPr>
              <w:lastRenderedPageBreak/>
              <w:t>Décision 20. Méthode de travail et calendrier</w:t>
            </w:r>
          </w:p>
          <w:p w14:paraId="25548308" w14:textId="77777777" w:rsidR="0030476E" w:rsidRDefault="0030476E" w:rsidP="0030476E">
            <w:pPr>
              <w:pStyle w:val="Paragraphe"/>
            </w:pPr>
            <w:r w:rsidRPr="004F5C4B">
              <w:t>Le Comité des OPL</w:t>
            </w:r>
            <w:r>
              <w:t xml:space="preserve"> invite le Secrétariat général à : </w:t>
            </w:r>
          </w:p>
          <w:p w14:paraId="363390CB" w14:textId="77777777" w:rsidR="0030476E" w:rsidRDefault="0030476E" w:rsidP="0030476E">
            <w:pPr>
              <w:pStyle w:val="Paragraphe"/>
              <w:numPr>
                <w:ilvl w:val="0"/>
                <w:numId w:val="45"/>
              </w:numPr>
            </w:pPr>
            <w:r>
              <w:t xml:space="preserve">Transmettre les informations nécessaires sur les événements auxquels des représentants des Etats sont invités au moins dix (10) semaines en amont pour une représentation de niveau ministériel et au moins quatre (4) semaines en amont pour une représentation de niveau technique ; </w:t>
            </w:r>
          </w:p>
          <w:p w14:paraId="73467FC7" w14:textId="77777777" w:rsidR="0030476E" w:rsidRDefault="0030476E" w:rsidP="0030476E">
            <w:pPr>
              <w:pStyle w:val="Paragraphe"/>
              <w:numPr>
                <w:ilvl w:val="0"/>
                <w:numId w:val="45"/>
              </w:numPr>
            </w:pPr>
            <w:r>
              <w:t xml:space="preserve">Partager un calendrier trimestriel des activités de la COI ; </w:t>
            </w:r>
          </w:p>
          <w:p w14:paraId="72A0F2CC" w14:textId="77777777" w:rsidR="0030476E" w:rsidRDefault="0030476E" w:rsidP="0030476E">
            <w:pPr>
              <w:pStyle w:val="Paragraphe"/>
              <w:numPr>
                <w:ilvl w:val="0"/>
                <w:numId w:val="45"/>
              </w:numPr>
            </w:pPr>
            <w:r>
              <w:t xml:space="preserve">Systématiser l’envoi du calendrier hebdomadaire des activités ; </w:t>
            </w:r>
          </w:p>
          <w:p w14:paraId="238F5F8B" w14:textId="77777777" w:rsidR="0030476E" w:rsidRPr="004F5C4B" w:rsidRDefault="0030476E" w:rsidP="0030476E">
            <w:pPr>
              <w:pStyle w:val="Paragraphe"/>
              <w:numPr>
                <w:ilvl w:val="0"/>
                <w:numId w:val="45"/>
              </w:numPr>
            </w:pPr>
            <w:r>
              <w:t xml:space="preserve">Définir une méthode permettant à la présidence, aux OPL et au Secrétariat de convenir d’un calendrier annuel. </w:t>
            </w:r>
          </w:p>
          <w:p w14:paraId="192F3486" w14:textId="77777777" w:rsidR="00C76FF8" w:rsidRPr="00FB1605" w:rsidRDefault="00C76FF8" w:rsidP="00C76FF8">
            <w:pPr>
              <w:spacing w:after="120" w:line="276" w:lineRule="auto"/>
              <w:rPr>
                <w:rFonts w:ascii="Verdana" w:hAnsi="Verdana"/>
                <w:b/>
                <w:bCs/>
                <w:sz w:val="20"/>
                <w:szCs w:val="20"/>
              </w:rPr>
            </w:pPr>
          </w:p>
        </w:tc>
        <w:tc>
          <w:tcPr>
            <w:tcW w:w="5031" w:type="dxa"/>
          </w:tcPr>
          <w:p w14:paraId="3262FE65" w14:textId="77777777" w:rsidR="00C76FF8" w:rsidRDefault="00C76FF8" w:rsidP="00C76FF8">
            <w:pPr>
              <w:rPr>
                <w:rFonts w:ascii="Verdana" w:hAnsi="Verdana"/>
                <w:sz w:val="20"/>
                <w:szCs w:val="20"/>
              </w:rPr>
            </w:pPr>
          </w:p>
          <w:p w14:paraId="3EC2FD51" w14:textId="77777777" w:rsidR="00DE6F61" w:rsidRDefault="00DE6F61" w:rsidP="00C76FF8">
            <w:pPr>
              <w:rPr>
                <w:rFonts w:ascii="Verdana" w:hAnsi="Verdana"/>
                <w:sz w:val="20"/>
                <w:szCs w:val="20"/>
              </w:rPr>
            </w:pPr>
          </w:p>
          <w:p w14:paraId="27EDECA0" w14:textId="77777777" w:rsidR="00DE6F61" w:rsidRDefault="00DE6F61" w:rsidP="00C76FF8">
            <w:pPr>
              <w:rPr>
                <w:rFonts w:ascii="Verdana" w:hAnsi="Verdana"/>
                <w:sz w:val="20"/>
                <w:szCs w:val="20"/>
              </w:rPr>
            </w:pPr>
          </w:p>
          <w:p w14:paraId="0333F0D0" w14:textId="77777777" w:rsidR="00DE6F61" w:rsidRDefault="00DE6F61" w:rsidP="00C76FF8">
            <w:pPr>
              <w:rPr>
                <w:rFonts w:ascii="Verdana" w:hAnsi="Verdana"/>
                <w:sz w:val="20"/>
                <w:szCs w:val="20"/>
              </w:rPr>
            </w:pPr>
          </w:p>
          <w:p w14:paraId="12F4E569" w14:textId="77777777" w:rsidR="0055212F" w:rsidRDefault="00DE6F61" w:rsidP="00C76FF8">
            <w:pPr>
              <w:rPr>
                <w:rFonts w:ascii="Verdana" w:hAnsi="Verdana"/>
                <w:sz w:val="20"/>
                <w:szCs w:val="20"/>
              </w:rPr>
            </w:pPr>
            <w:r>
              <w:rPr>
                <w:rFonts w:ascii="Verdana" w:hAnsi="Verdana"/>
                <w:sz w:val="20"/>
                <w:szCs w:val="20"/>
              </w:rPr>
              <w:t xml:space="preserve">Calendrier hebdomadaire </w:t>
            </w:r>
            <w:r w:rsidR="0055212F">
              <w:rPr>
                <w:rFonts w:ascii="Verdana" w:hAnsi="Verdana"/>
                <w:sz w:val="20"/>
                <w:szCs w:val="20"/>
              </w:rPr>
              <w:t xml:space="preserve">partagé systématiquement. </w:t>
            </w:r>
          </w:p>
          <w:p w14:paraId="4DC2CF88" w14:textId="60115EB4" w:rsidR="00DE6F61" w:rsidRDefault="0055212F" w:rsidP="00C76FF8">
            <w:pPr>
              <w:rPr>
                <w:rFonts w:ascii="Verdana" w:hAnsi="Verdana"/>
                <w:sz w:val="20"/>
                <w:szCs w:val="20"/>
              </w:rPr>
            </w:pPr>
            <w:r>
              <w:rPr>
                <w:rFonts w:ascii="Verdana" w:hAnsi="Verdana"/>
                <w:sz w:val="20"/>
                <w:szCs w:val="20"/>
              </w:rPr>
              <w:t xml:space="preserve">Mise à jour régulière du site Internet </w:t>
            </w:r>
            <w:r w:rsidR="00F20ABB">
              <w:rPr>
                <w:rFonts w:ascii="Verdana" w:hAnsi="Verdana"/>
                <w:sz w:val="20"/>
                <w:szCs w:val="20"/>
              </w:rPr>
              <w:t xml:space="preserve">sur la base des informations transmises par les services. </w:t>
            </w:r>
            <w:r w:rsidR="00DE6F61">
              <w:rPr>
                <w:rFonts w:ascii="Verdana" w:hAnsi="Verdana"/>
                <w:sz w:val="20"/>
                <w:szCs w:val="20"/>
              </w:rPr>
              <w:t xml:space="preserve"> </w:t>
            </w:r>
          </w:p>
          <w:p w14:paraId="353F693E" w14:textId="77777777" w:rsidR="00DE6F61" w:rsidRDefault="00DE6F61" w:rsidP="00C76FF8">
            <w:pPr>
              <w:rPr>
                <w:rFonts w:ascii="Verdana" w:hAnsi="Verdana"/>
                <w:sz w:val="20"/>
                <w:szCs w:val="20"/>
              </w:rPr>
            </w:pPr>
          </w:p>
          <w:p w14:paraId="59AD4F97" w14:textId="77777777" w:rsidR="00DE6F61" w:rsidRDefault="004A5658" w:rsidP="00C76FF8">
            <w:pPr>
              <w:rPr>
                <w:rFonts w:ascii="Verdana" w:hAnsi="Verdana"/>
                <w:sz w:val="20"/>
                <w:szCs w:val="20"/>
              </w:rPr>
            </w:pPr>
            <w:r>
              <w:rPr>
                <w:rFonts w:ascii="Verdana" w:hAnsi="Verdana"/>
                <w:sz w:val="20"/>
                <w:szCs w:val="20"/>
              </w:rPr>
              <w:t xml:space="preserve">Revoir le mode opératoire des DI concernant la programmation des activités afin de permettre aux EM d’assurer la bonne participation des </w:t>
            </w:r>
            <w:r w:rsidR="0055212F">
              <w:rPr>
                <w:rFonts w:ascii="Verdana" w:hAnsi="Verdana"/>
                <w:sz w:val="20"/>
                <w:szCs w:val="20"/>
              </w:rPr>
              <w:t xml:space="preserve">représentants. </w:t>
            </w:r>
          </w:p>
          <w:p w14:paraId="42FEAD48" w14:textId="78DEE029" w:rsidR="0055212F" w:rsidRPr="00C76FF8" w:rsidRDefault="0055212F" w:rsidP="00C76FF8">
            <w:pPr>
              <w:rPr>
                <w:rFonts w:ascii="Verdana" w:hAnsi="Verdana"/>
                <w:sz w:val="20"/>
                <w:szCs w:val="20"/>
              </w:rPr>
            </w:pPr>
          </w:p>
        </w:tc>
        <w:tc>
          <w:tcPr>
            <w:tcW w:w="1978" w:type="dxa"/>
          </w:tcPr>
          <w:p w14:paraId="3F4A6A43" w14:textId="77777777" w:rsidR="00C76FF8" w:rsidRPr="00C76FF8" w:rsidRDefault="00C76FF8" w:rsidP="00C76FF8">
            <w:pPr>
              <w:rPr>
                <w:rFonts w:ascii="Verdana" w:hAnsi="Verdana"/>
                <w:sz w:val="20"/>
                <w:szCs w:val="20"/>
              </w:rPr>
            </w:pPr>
          </w:p>
        </w:tc>
        <w:tc>
          <w:tcPr>
            <w:tcW w:w="2037" w:type="dxa"/>
          </w:tcPr>
          <w:p w14:paraId="24DB74A4" w14:textId="77777777" w:rsidR="00C76FF8" w:rsidRPr="00C76FF8" w:rsidRDefault="00C76FF8" w:rsidP="00C76FF8">
            <w:pPr>
              <w:rPr>
                <w:rFonts w:ascii="Verdana" w:hAnsi="Verdana"/>
                <w:sz w:val="20"/>
                <w:szCs w:val="20"/>
              </w:rPr>
            </w:pPr>
          </w:p>
        </w:tc>
      </w:tr>
    </w:tbl>
    <w:p w14:paraId="5A16DCE9" w14:textId="77777777" w:rsidR="00293A06" w:rsidRDefault="00293A06"/>
    <w:p w14:paraId="7E0DD4D3" w14:textId="77777777" w:rsidR="00293A06" w:rsidRDefault="00293A06"/>
    <w:sectPr w:rsidR="00293A06" w:rsidSect="00743751">
      <w:pgSz w:w="16838" w:h="11906" w:orient="landscape"/>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C860" w14:textId="77777777" w:rsidR="00743751" w:rsidRDefault="00743751" w:rsidP="00B76BE0">
      <w:pPr>
        <w:spacing w:after="0" w:line="240" w:lineRule="auto"/>
      </w:pPr>
      <w:r>
        <w:separator/>
      </w:r>
    </w:p>
  </w:endnote>
  <w:endnote w:type="continuationSeparator" w:id="0">
    <w:p w14:paraId="5E56E570" w14:textId="77777777" w:rsidR="00743751" w:rsidRDefault="00743751" w:rsidP="00B76BE0">
      <w:pPr>
        <w:spacing w:after="0" w:line="240" w:lineRule="auto"/>
      </w:pPr>
      <w:r>
        <w:continuationSeparator/>
      </w:r>
    </w:p>
  </w:endnote>
  <w:endnote w:type="continuationNotice" w:id="1">
    <w:p w14:paraId="7032E897" w14:textId="77777777" w:rsidR="00743751" w:rsidRDefault="00743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213627"/>
      <w:docPartObj>
        <w:docPartGallery w:val="Page Numbers (Bottom of Page)"/>
        <w:docPartUnique/>
      </w:docPartObj>
    </w:sdtPr>
    <w:sdtEndPr/>
    <w:sdtContent>
      <w:p w14:paraId="46BBF68D" w14:textId="0FFB1631" w:rsidR="00B76BE0" w:rsidRDefault="00B76BE0" w:rsidP="00B76BE0">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69D7F97D" w14:textId="77777777" w:rsidR="00B76BE0" w:rsidRDefault="00B76B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CA6C" w14:textId="77777777" w:rsidR="00743751" w:rsidRDefault="00743751" w:rsidP="00B76BE0">
      <w:pPr>
        <w:spacing w:after="0" w:line="240" w:lineRule="auto"/>
      </w:pPr>
      <w:r>
        <w:separator/>
      </w:r>
    </w:p>
  </w:footnote>
  <w:footnote w:type="continuationSeparator" w:id="0">
    <w:p w14:paraId="4A398DD3" w14:textId="77777777" w:rsidR="00743751" w:rsidRDefault="00743751" w:rsidP="00B76BE0">
      <w:pPr>
        <w:spacing w:after="0" w:line="240" w:lineRule="auto"/>
      </w:pPr>
      <w:r>
        <w:continuationSeparator/>
      </w:r>
    </w:p>
  </w:footnote>
  <w:footnote w:type="continuationNotice" w:id="1">
    <w:p w14:paraId="0D70E8A7" w14:textId="77777777" w:rsidR="00743751" w:rsidRDefault="007437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0E03" w14:textId="379C2E34" w:rsidR="00B76BE0" w:rsidRDefault="00B76BE0" w:rsidP="00B76BE0">
    <w:pPr>
      <w:pStyle w:val="En-tte"/>
      <w:pBdr>
        <w:bottom w:val="single" w:sz="4" w:space="1" w:color="0070C0"/>
      </w:pBdr>
    </w:pPr>
    <w:r>
      <w:rPr>
        <w:noProof/>
      </w:rPr>
      <w:drawing>
        <wp:inline distT="0" distB="0" distL="0" distR="0" wp14:anchorId="7DA5424D" wp14:editId="70A2BF38">
          <wp:extent cx="1582390" cy="720000"/>
          <wp:effectExtent l="0" t="0" r="0" b="4445"/>
          <wp:docPr id="1037911416" name="Image 103791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00588" name="Image 936500588"/>
                  <pic:cNvPicPr/>
                </pic:nvPicPr>
                <pic:blipFill>
                  <a:blip r:embed="rId1">
                    <a:extLst>
                      <a:ext uri="{28A0092B-C50C-407E-A947-70E740481C1C}">
                        <a14:useLocalDpi xmlns:a14="http://schemas.microsoft.com/office/drawing/2010/main" val="0"/>
                      </a:ext>
                    </a:extLst>
                  </a:blip>
                  <a:stretch>
                    <a:fillRect/>
                  </a:stretch>
                </pic:blipFill>
                <pic:spPr>
                  <a:xfrm>
                    <a:off x="0" y="0"/>
                    <a:ext cx="1582390" cy="72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7891"/>
    <w:multiLevelType w:val="hybridMultilevel"/>
    <w:tmpl w:val="392C97F6"/>
    <w:lvl w:ilvl="0" w:tplc="4066F540">
      <w:start w:val="1"/>
      <w:numFmt w:val="bullet"/>
      <w:lvlText w:val="·"/>
      <w:lvlJc w:val="left"/>
      <w:pPr>
        <w:ind w:left="1068" w:hanging="360"/>
      </w:pPr>
      <w:rPr>
        <w:rFonts w:ascii="Symbol" w:hAnsi="Symbol" w:hint="default"/>
      </w:rPr>
    </w:lvl>
    <w:lvl w:ilvl="1" w:tplc="46D27B3A">
      <w:start w:val="1"/>
      <w:numFmt w:val="bullet"/>
      <w:lvlText w:val="o"/>
      <w:lvlJc w:val="left"/>
      <w:pPr>
        <w:ind w:left="1788" w:hanging="360"/>
      </w:pPr>
      <w:rPr>
        <w:rFonts w:ascii="Courier New" w:hAnsi="Courier New" w:hint="default"/>
      </w:rPr>
    </w:lvl>
    <w:lvl w:ilvl="2" w:tplc="D9D41B96">
      <w:start w:val="1"/>
      <w:numFmt w:val="bullet"/>
      <w:lvlText w:val=""/>
      <w:lvlJc w:val="left"/>
      <w:pPr>
        <w:ind w:left="2508" w:hanging="360"/>
      </w:pPr>
      <w:rPr>
        <w:rFonts w:ascii="Wingdings" w:hAnsi="Wingdings" w:hint="default"/>
      </w:rPr>
    </w:lvl>
    <w:lvl w:ilvl="3" w:tplc="8CB0A806">
      <w:start w:val="1"/>
      <w:numFmt w:val="bullet"/>
      <w:lvlText w:val=""/>
      <w:lvlJc w:val="left"/>
      <w:pPr>
        <w:ind w:left="3228" w:hanging="360"/>
      </w:pPr>
      <w:rPr>
        <w:rFonts w:ascii="Symbol" w:hAnsi="Symbol" w:hint="default"/>
      </w:rPr>
    </w:lvl>
    <w:lvl w:ilvl="4" w:tplc="A1582034">
      <w:start w:val="1"/>
      <w:numFmt w:val="bullet"/>
      <w:lvlText w:val="o"/>
      <w:lvlJc w:val="left"/>
      <w:pPr>
        <w:ind w:left="3948" w:hanging="360"/>
      </w:pPr>
      <w:rPr>
        <w:rFonts w:ascii="Courier New" w:hAnsi="Courier New" w:hint="default"/>
      </w:rPr>
    </w:lvl>
    <w:lvl w:ilvl="5" w:tplc="B484DF80">
      <w:start w:val="1"/>
      <w:numFmt w:val="bullet"/>
      <w:lvlText w:val=""/>
      <w:lvlJc w:val="left"/>
      <w:pPr>
        <w:ind w:left="4668" w:hanging="360"/>
      </w:pPr>
      <w:rPr>
        <w:rFonts w:ascii="Wingdings" w:hAnsi="Wingdings" w:hint="default"/>
      </w:rPr>
    </w:lvl>
    <w:lvl w:ilvl="6" w:tplc="B68001A8">
      <w:start w:val="1"/>
      <w:numFmt w:val="bullet"/>
      <w:lvlText w:val=""/>
      <w:lvlJc w:val="left"/>
      <w:pPr>
        <w:ind w:left="5388" w:hanging="360"/>
      </w:pPr>
      <w:rPr>
        <w:rFonts w:ascii="Symbol" w:hAnsi="Symbol" w:hint="default"/>
      </w:rPr>
    </w:lvl>
    <w:lvl w:ilvl="7" w:tplc="CDCEE97C">
      <w:start w:val="1"/>
      <w:numFmt w:val="bullet"/>
      <w:lvlText w:val="o"/>
      <w:lvlJc w:val="left"/>
      <w:pPr>
        <w:ind w:left="6108" w:hanging="360"/>
      </w:pPr>
      <w:rPr>
        <w:rFonts w:ascii="Courier New" w:hAnsi="Courier New" w:hint="default"/>
      </w:rPr>
    </w:lvl>
    <w:lvl w:ilvl="8" w:tplc="DE5AC936">
      <w:start w:val="1"/>
      <w:numFmt w:val="bullet"/>
      <w:lvlText w:val=""/>
      <w:lvlJc w:val="left"/>
      <w:pPr>
        <w:ind w:left="6828" w:hanging="360"/>
      </w:pPr>
      <w:rPr>
        <w:rFonts w:ascii="Wingdings" w:hAnsi="Wingdings" w:hint="default"/>
      </w:rPr>
    </w:lvl>
  </w:abstractNum>
  <w:abstractNum w:abstractNumId="1" w15:restartNumberingAfterBreak="0">
    <w:nsid w:val="0754433D"/>
    <w:multiLevelType w:val="hybridMultilevel"/>
    <w:tmpl w:val="7DCEC384"/>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7F457"/>
    <w:multiLevelType w:val="hybridMultilevel"/>
    <w:tmpl w:val="F8E878FE"/>
    <w:lvl w:ilvl="0" w:tplc="0AD4CE42">
      <w:start w:val="1"/>
      <w:numFmt w:val="lowerLetter"/>
      <w:lvlText w:val="%1)"/>
      <w:lvlJc w:val="left"/>
      <w:pPr>
        <w:ind w:left="720" w:hanging="360"/>
      </w:pPr>
    </w:lvl>
    <w:lvl w:ilvl="1" w:tplc="572E0EA6">
      <w:start w:val="1"/>
      <w:numFmt w:val="lowerLetter"/>
      <w:lvlText w:val="%2."/>
      <w:lvlJc w:val="left"/>
      <w:pPr>
        <w:ind w:left="1440" w:hanging="360"/>
      </w:pPr>
    </w:lvl>
    <w:lvl w:ilvl="2" w:tplc="383CE656">
      <w:start w:val="1"/>
      <w:numFmt w:val="lowerRoman"/>
      <w:lvlText w:val="%3."/>
      <w:lvlJc w:val="right"/>
      <w:pPr>
        <w:ind w:left="2160" w:hanging="180"/>
      </w:pPr>
    </w:lvl>
    <w:lvl w:ilvl="3" w:tplc="27926714">
      <w:start w:val="1"/>
      <w:numFmt w:val="decimal"/>
      <w:lvlText w:val="%4."/>
      <w:lvlJc w:val="left"/>
      <w:pPr>
        <w:ind w:left="2880" w:hanging="360"/>
      </w:pPr>
    </w:lvl>
    <w:lvl w:ilvl="4" w:tplc="EEB09994">
      <w:start w:val="1"/>
      <w:numFmt w:val="lowerLetter"/>
      <w:lvlText w:val="%5."/>
      <w:lvlJc w:val="left"/>
      <w:pPr>
        <w:ind w:left="3600" w:hanging="360"/>
      </w:pPr>
    </w:lvl>
    <w:lvl w:ilvl="5" w:tplc="682A6FE4">
      <w:start w:val="1"/>
      <w:numFmt w:val="lowerRoman"/>
      <w:lvlText w:val="%6."/>
      <w:lvlJc w:val="right"/>
      <w:pPr>
        <w:ind w:left="4320" w:hanging="180"/>
      </w:pPr>
    </w:lvl>
    <w:lvl w:ilvl="6" w:tplc="FE164B54">
      <w:start w:val="1"/>
      <w:numFmt w:val="decimal"/>
      <w:lvlText w:val="%7."/>
      <w:lvlJc w:val="left"/>
      <w:pPr>
        <w:ind w:left="5040" w:hanging="360"/>
      </w:pPr>
    </w:lvl>
    <w:lvl w:ilvl="7" w:tplc="5956A5A2">
      <w:start w:val="1"/>
      <w:numFmt w:val="lowerLetter"/>
      <w:lvlText w:val="%8."/>
      <w:lvlJc w:val="left"/>
      <w:pPr>
        <w:ind w:left="5760" w:hanging="360"/>
      </w:pPr>
    </w:lvl>
    <w:lvl w:ilvl="8" w:tplc="C786FDA6">
      <w:start w:val="1"/>
      <w:numFmt w:val="lowerRoman"/>
      <w:lvlText w:val="%9."/>
      <w:lvlJc w:val="right"/>
      <w:pPr>
        <w:ind w:left="6480" w:hanging="180"/>
      </w:pPr>
    </w:lvl>
  </w:abstractNum>
  <w:abstractNum w:abstractNumId="3" w15:restartNumberingAfterBreak="0">
    <w:nsid w:val="0945DD74"/>
    <w:multiLevelType w:val="hybridMultilevel"/>
    <w:tmpl w:val="00FAD9AE"/>
    <w:lvl w:ilvl="0" w:tplc="7646EA48">
      <w:start w:val="1"/>
      <w:numFmt w:val="lowerLetter"/>
      <w:lvlText w:val="%1)"/>
      <w:lvlJc w:val="left"/>
      <w:pPr>
        <w:ind w:left="720" w:hanging="360"/>
      </w:pPr>
    </w:lvl>
    <w:lvl w:ilvl="1" w:tplc="53346062">
      <w:start w:val="1"/>
      <w:numFmt w:val="lowerLetter"/>
      <w:lvlText w:val="%2."/>
      <w:lvlJc w:val="left"/>
      <w:pPr>
        <w:ind w:left="1440" w:hanging="360"/>
      </w:pPr>
    </w:lvl>
    <w:lvl w:ilvl="2" w:tplc="205E0644">
      <w:start w:val="1"/>
      <w:numFmt w:val="lowerRoman"/>
      <w:lvlText w:val="%3."/>
      <w:lvlJc w:val="right"/>
      <w:pPr>
        <w:ind w:left="2160" w:hanging="180"/>
      </w:pPr>
    </w:lvl>
    <w:lvl w:ilvl="3" w:tplc="B964B240">
      <w:start w:val="1"/>
      <w:numFmt w:val="decimal"/>
      <w:lvlText w:val="%4."/>
      <w:lvlJc w:val="left"/>
      <w:pPr>
        <w:ind w:left="2880" w:hanging="360"/>
      </w:pPr>
    </w:lvl>
    <w:lvl w:ilvl="4" w:tplc="E80255C8">
      <w:start w:val="1"/>
      <w:numFmt w:val="lowerLetter"/>
      <w:lvlText w:val="%5."/>
      <w:lvlJc w:val="left"/>
      <w:pPr>
        <w:ind w:left="3600" w:hanging="360"/>
      </w:pPr>
    </w:lvl>
    <w:lvl w:ilvl="5" w:tplc="2D42AE42">
      <w:start w:val="1"/>
      <w:numFmt w:val="lowerRoman"/>
      <w:lvlText w:val="%6."/>
      <w:lvlJc w:val="right"/>
      <w:pPr>
        <w:ind w:left="4320" w:hanging="180"/>
      </w:pPr>
    </w:lvl>
    <w:lvl w:ilvl="6" w:tplc="BD42059C">
      <w:start w:val="1"/>
      <w:numFmt w:val="decimal"/>
      <w:lvlText w:val="%7."/>
      <w:lvlJc w:val="left"/>
      <w:pPr>
        <w:ind w:left="5040" w:hanging="360"/>
      </w:pPr>
    </w:lvl>
    <w:lvl w:ilvl="7" w:tplc="94643C16">
      <w:start w:val="1"/>
      <w:numFmt w:val="lowerLetter"/>
      <w:lvlText w:val="%8."/>
      <w:lvlJc w:val="left"/>
      <w:pPr>
        <w:ind w:left="5760" w:hanging="360"/>
      </w:pPr>
    </w:lvl>
    <w:lvl w:ilvl="8" w:tplc="921CB170">
      <w:start w:val="1"/>
      <w:numFmt w:val="lowerRoman"/>
      <w:lvlText w:val="%9."/>
      <w:lvlJc w:val="right"/>
      <w:pPr>
        <w:ind w:left="6480" w:hanging="180"/>
      </w:pPr>
    </w:lvl>
  </w:abstractNum>
  <w:abstractNum w:abstractNumId="4" w15:restartNumberingAfterBreak="0">
    <w:nsid w:val="0A0B6ADF"/>
    <w:multiLevelType w:val="hybridMultilevel"/>
    <w:tmpl w:val="FCD4F56E"/>
    <w:lvl w:ilvl="0" w:tplc="0ECAC120">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73042A"/>
    <w:multiLevelType w:val="hybridMultilevel"/>
    <w:tmpl w:val="7138F88C"/>
    <w:lvl w:ilvl="0" w:tplc="8EBC546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E1D1D"/>
    <w:multiLevelType w:val="hybridMultilevel"/>
    <w:tmpl w:val="4406F36E"/>
    <w:lvl w:ilvl="0" w:tplc="8A36B084">
      <w:start w:val="2"/>
      <w:numFmt w:val="lowerLetter"/>
      <w:lvlText w:val="%1)"/>
      <w:lvlJc w:val="left"/>
      <w:pPr>
        <w:ind w:left="720" w:hanging="360"/>
      </w:pPr>
    </w:lvl>
    <w:lvl w:ilvl="1" w:tplc="4EF691F4">
      <w:start w:val="1"/>
      <w:numFmt w:val="lowerLetter"/>
      <w:lvlText w:val="%2."/>
      <w:lvlJc w:val="left"/>
      <w:pPr>
        <w:ind w:left="1440" w:hanging="360"/>
      </w:pPr>
    </w:lvl>
    <w:lvl w:ilvl="2" w:tplc="A0542650">
      <w:start w:val="1"/>
      <w:numFmt w:val="lowerRoman"/>
      <w:lvlText w:val="%3."/>
      <w:lvlJc w:val="right"/>
      <w:pPr>
        <w:ind w:left="2160" w:hanging="180"/>
      </w:pPr>
    </w:lvl>
    <w:lvl w:ilvl="3" w:tplc="48DECAFA">
      <w:start w:val="1"/>
      <w:numFmt w:val="decimal"/>
      <w:lvlText w:val="%4."/>
      <w:lvlJc w:val="left"/>
      <w:pPr>
        <w:ind w:left="2880" w:hanging="360"/>
      </w:pPr>
    </w:lvl>
    <w:lvl w:ilvl="4" w:tplc="66FA1972">
      <w:start w:val="1"/>
      <w:numFmt w:val="lowerLetter"/>
      <w:lvlText w:val="%5."/>
      <w:lvlJc w:val="left"/>
      <w:pPr>
        <w:ind w:left="3600" w:hanging="360"/>
      </w:pPr>
    </w:lvl>
    <w:lvl w:ilvl="5" w:tplc="6D6C4B72">
      <w:start w:val="1"/>
      <w:numFmt w:val="lowerRoman"/>
      <w:lvlText w:val="%6."/>
      <w:lvlJc w:val="right"/>
      <w:pPr>
        <w:ind w:left="4320" w:hanging="180"/>
      </w:pPr>
    </w:lvl>
    <w:lvl w:ilvl="6" w:tplc="BD109D48">
      <w:start w:val="1"/>
      <w:numFmt w:val="decimal"/>
      <w:lvlText w:val="%7."/>
      <w:lvlJc w:val="left"/>
      <w:pPr>
        <w:ind w:left="5040" w:hanging="360"/>
      </w:pPr>
    </w:lvl>
    <w:lvl w:ilvl="7" w:tplc="6DC6AA7C">
      <w:start w:val="1"/>
      <w:numFmt w:val="lowerLetter"/>
      <w:lvlText w:val="%8."/>
      <w:lvlJc w:val="left"/>
      <w:pPr>
        <w:ind w:left="5760" w:hanging="360"/>
      </w:pPr>
    </w:lvl>
    <w:lvl w:ilvl="8" w:tplc="0158C72A">
      <w:start w:val="1"/>
      <w:numFmt w:val="lowerRoman"/>
      <w:lvlText w:val="%9."/>
      <w:lvlJc w:val="right"/>
      <w:pPr>
        <w:ind w:left="6480" w:hanging="180"/>
      </w:pPr>
    </w:lvl>
  </w:abstractNum>
  <w:abstractNum w:abstractNumId="7"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D30430"/>
    <w:multiLevelType w:val="multilevel"/>
    <w:tmpl w:val="5A58524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862"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F45037"/>
    <w:multiLevelType w:val="hybridMultilevel"/>
    <w:tmpl w:val="70504E20"/>
    <w:lvl w:ilvl="0" w:tplc="A91C1E3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924FFA"/>
    <w:multiLevelType w:val="hybridMultilevel"/>
    <w:tmpl w:val="E02A442E"/>
    <w:lvl w:ilvl="0" w:tplc="A2F04116">
      <w:start w:val="4"/>
      <w:numFmt w:val="lowerRoman"/>
      <w:lvlText w:val="%1."/>
      <w:lvlJc w:val="righ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EB62C1"/>
    <w:multiLevelType w:val="hybridMultilevel"/>
    <w:tmpl w:val="3914FD1A"/>
    <w:lvl w:ilvl="0" w:tplc="9894D32C">
      <w:start w:val="1"/>
      <w:numFmt w:val="lowerLetter"/>
      <w:lvlText w:val="%1)"/>
      <w:lvlJc w:val="left"/>
      <w:pPr>
        <w:ind w:left="720" w:hanging="360"/>
      </w:pPr>
    </w:lvl>
    <w:lvl w:ilvl="1" w:tplc="F83EFF88">
      <w:start w:val="1"/>
      <w:numFmt w:val="lowerLetter"/>
      <w:lvlText w:val="%2."/>
      <w:lvlJc w:val="left"/>
      <w:pPr>
        <w:ind w:left="1440" w:hanging="360"/>
      </w:pPr>
    </w:lvl>
    <w:lvl w:ilvl="2" w:tplc="CD4C72A8">
      <w:start w:val="1"/>
      <w:numFmt w:val="lowerRoman"/>
      <w:lvlText w:val="%3."/>
      <w:lvlJc w:val="right"/>
      <w:pPr>
        <w:ind w:left="2160" w:hanging="180"/>
      </w:pPr>
    </w:lvl>
    <w:lvl w:ilvl="3" w:tplc="18388A14">
      <w:start w:val="1"/>
      <w:numFmt w:val="decimal"/>
      <w:lvlText w:val="%4."/>
      <w:lvlJc w:val="left"/>
      <w:pPr>
        <w:ind w:left="2880" w:hanging="360"/>
      </w:pPr>
    </w:lvl>
    <w:lvl w:ilvl="4" w:tplc="B31001D8">
      <w:start w:val="1"/>
      <w:numFmt w:val="lowerLetter"/>
      <w:lvlText w:val="%5."/>
      <w:lvlJc w:val="left"/>
      <w:pPr>
        <w:ind w:left="3600" w:hanging="360"/>
      </w:pPr>
    </w:lvl>
    <w:lvl w:ilvl="5" w:tplc="1F3ED80E">
      <w:start w:val="1"/>
      <w:numFmt w:val="lowerRoman"/>
      <w:lvlText w:val="%6."/>
      <w:lvlJc w:val="right"/>
      <w:pPr>
        <w:ind w:left="4320" w:hanging="180"/>
      </w:pPr>
    </w:lvl>
    <w:lvl w:ilvl="6" w:tplc="0922C8E2">
      <w:start w:val="1"/>
      <w:numFmt w:val="decimal"/>
      <w:lvlText w:val="%7."/>
      <w:lvlJc w:val="left"/>
      <w:pPr>
        <w:ind w:left="5040" w:hanging="360"/>
      </w:pPr>
    </w:lvl>
    <w:lvl w:ilvl="7" w:tplc="19F40F4A">
      <w:start w:val="1"/>
      <w:numFmt w:val="lowerLetter"/>
      <w:lvlText w:val="%8."/>
      <w:lvlJc w:val="left"/>
      <w:pPr>
        <w:ind w:left="5760" w:hanging="360"/>
      </w:pPr>
    </w:lvl>
    <w:lvl w:ilvl="8" w:tplc="DD780746">
      <w:start w:val="1"/>
      <w:numFmt w:val="lowerRoman"/>
      <w:lvlText w:val="%9."/>
      <w:lvlJc w:val="right"/>
      <w:pPr>
        <w:ind w:left="6480" w:hanging="180"/>
      </w:pPr>
    </w:lvl>
  </w:abstractNum>
  <w:abstractNum w:abstractNumId="13"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1FFC40F9"/>
    <w:multiLevelType w:val="hybridMultilevel"/>
    <w:tmpl w:val="BD40ED02"/>
    <w:lvl w:ilvl="0" w:tplc="F61C1FA6">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8F1F81"/>
    <w:multiLevelType w:val="hybridMultilevel"/>
    <w:tmpl w:val="87B813BE"/>
    <w:lvl w:ilvl="0" w:tplc="040C0017">
      <w:start w:val="1"/>
      <w:numFmt w:val="lowerLetter"/>
      <w:lvlText w:val="%1)"/>
      <w:lvlJc w:val="left"/>
      <w:pPr>
        <w:ind w:left="1440" w:hanging="720"/>
      </w:pPr>
      <w:rPr>
        <w:rFonts w:hint="default"/>
      </w:rPr>
    </w:lvl>
    <w:lvl w:ilvl="1" w:tplc="E5DA96C6">
      <w:start w:val="1"/>
      <w:numFmt w:val="decimal"/>
      <w:lvlText w:val="%2."/>
      <w:lvlJc w:val="left"/>
      <w:pPr>
        <w:ind w:left="1800" w:hanging="360"/>
      </w:pPr>
      <w:rPr>
        <w:rFonts w:hint="default"/>
        <w:sz w:val="20"/>
        <w:szCs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2BC51A1"/>
    <w:multiLevelType w:val="hybridMultilevel"/>
    <w:tmpl w:val="34A873E8"/>
    <w:lvl w:ilvl="0" w:tplc="EF8EB9C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26F7107A"/>
    <w:multiLevelType w:val="hybridMultilevel"/>
    <w:tmpl w:val="1C4851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42B928"/>
    <w:multiLevelType w:val="hybridMultilevel"/>
    <w:tmpl w:val="AB94EE70"/>
    <w:lvl w:ilvl="0" w:tplc="04D0FD6E">
      <w:start w:val="1"/>
      <w:numFmt w:val="lowerLetter"/>
      <w:lvlText w:val="%1)"/>
      <w:lvlJc w:val="left"/>
      <w:pPr>
        <w:ind w:left="720" w:hanging="360"/>
      </w:pPr>
    </w:lvl>
    <w:lvl w:ilvl="1" w:tplc="0DBE9F1E">
      <w:start w:val="1"/>
      <w:numFmt w:val="lowerLetter"/>
      <w:lvlText w:val="%2."/>
      <w:lvlJc w:val="left"/>
      <w:pPr>
        <w:ind w:left="1440" w:hanging="360"/>
      </w:pPr>
    </w:lvl>
    <w:lvl w:ilvl="2" w:tplc="D47C4252">
      <w:start w:val="1"/>
      <w:numFmt w:val="lowerRoman"/>
      <w:lvlText w:val="%3."/>
      <w:lvlJc w:val="right"/>
      <w:pPr>
        <w:ind w:left="2160" w:hanging="180"/>
      </w:pPr>
    </w:lvl>
    <w:lvl w:ilvl="3" w:tplc="A530A678">
      <w:start w:val="1"/>
      <w:numFmt w:val="decimal"/>
      <w:lvlText w:val="%4."/>
      <w:lvlJc w:val="left"/>
      <w:pPr>
        <w:ind w:left="2880" w:hanging="360"/>
      </w:pPr>
    </w:lvl>
    <w:lvl w:ilvl="4" w:tplc="CDD64B10">
      <w:start w:val="1"/>
      <w:numFmt w:val="lowerLetter"/>
      <w:lvlText w:val="%5."/>
      <w:lvlJc w:val="left"/>
      <w:pPr>
        <w:ind w:left="3600" w:hanging="360"/>
      </w:pPr>
    </w:lvl>
    <w:lvl w:ilvl="5" w:tplc="FF38D5DE">
      <w:start w:val="1"/>
      <w:numFmt w:val="lowerRoman"/>
      <w:lvlText w:val="%6."/>
      <w:lvlJc w:val="right"/>
      <w:pPr>
        <w:ind w:left="4320" w:hanging="180"/>
      </w:pPr>
    </w:lvl>
    <w:lvl w:ilvl="6" w:tplc="572A62CC">
      <w:start w:val="1"/>
      <w:numFmt w:val="decimal"/>
      <w:lvlText w:val="%7."/>
      <w:lvlJc w:val="left"/>
      <w:pPr>
        <w:ind w:left="5040" w:hanging="360"/>
      </w:pPr>
    </w:lvl>
    <w:lvl w:ilvl="7" w:tplc="C09CB02E">
      <w:start w:val="1"/>
      <w:numFmt w:val="lowerLetter"/>
      <w:lvlText w:val="%8."/>
      <w:lvlJc w:val="left"/>
      <w:pPr>
        <w:ind w:left="5760" w:hanging="360"/>
      </w:pPr>
    </w:lvl>
    <w:lvl w:ilvl="8" w:tplc="6CA20F06">
      <w:start w:val="1"/>
      <w:numFmt w:val="lowerRoman"/>
      <w:lvlText w:val="%9."/>
      <w:lvlJc w:val="right"/>
      <w:pPr>
        <w:ind w:left="6480" w:hanging="180"/>
      </w:pPr>
    </w:lvl>
  </w:abstractNum>
  <w:abstractNum w:abstractNumId="19" w15:restartNumberingAfterBreak="0">
    <w:nsid w:val="2CEB7976"/>
    <w:multiLevelType w:val="hybridMultilevel"/>
    <w:tmpl w:val="10A040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ED48AF"/>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49C4B4"/>
    <w:multiLevelType w:val="hybridMultilevel"/>
    <w:tmpl w:val="518005A0"/>
    <w:lvl w:ilvl="0" w:tplc="0F8601F0">
      <w:start w:val="1"/>
      <w:numFmt w:val="bullet"/>
      <w:lvlText w:val=""/>
      <w:lvlJc w:val="left"/>
      <w:pPr>
        <w:ind w:left="720" w:hanging="360"/>
      </w:pPr>
      <w:rPr>
        <w:rFonts w:ascii="Symbol" w:hAnsi="Symbol" w:hint="default"/>
      </w:rPr>
    </w:lvl>
    <w:lvl w:ilvl="1" w:tplc="9482A664">
      <w:start w:val="1"/>
      <w:numFmt w:val="bullet"/>
      <w:lvlText w:val="o"/>
      <w:lvlJc w:val="left"/>
      <w:pPr>
        <w:ind w:left="1440" w:hanging="360"/>
      </w:pPr>
      <w:rPr>
        <w:rFonts w:ascii="Courier New" w:hAnsi="Courier New" w:hint="default"/>
      </w:rPr>
    </w:lvl>
    <w:lvl w:ilvl="2" w:tplc="F72AD11E">
      <w:start w:val="1"/>
      <w:numFmt w:val="bullet"/>
      <w:lvlText w:val=""/>
      <w:lvlJc w:val="left"/>
      <w:pPr>
        <w:ind w:left="2160" w:hanging="360"/>
      </w:pPr>
      <w:rPr>
        <w:rFonts w:ascii="Wingdings" w:hAnsi="Wingdings" w:hint="default"/>
      </w:rPr>
    </w:lvl>
    <w:lvl w:ilvl="3" w:tplc="08C4C9F4">
      <w:start w:val="1"/>
      <w:numFmt w:val="bullet"/>
      <w:lvlText w:val=""/>
      <w:lvlJc w:val="left"/>
      <w:pPr>
        <w:ind w:left="2880" w:hanging="360"/>
      </w:pPr>
      <w:rPr>
        <w:rFonts w:ascii="Symbol" w:hAnsi="Symbol" w:hint="default"/>
      </w:rPr>
    </w:lvl>
    <w:lvl w:ilvl="4" w:tplc="4A06570A">
      <w:start w:val="1"/>
      <w:numFmt w:val="bullet"/>
      <w:lvlText w:val="o"/>
      <w:lvlJc w:val="left"/>
      <w:pPr>
        <w:ind w:left="3600" w:hanging="360"/>
      </w:pPr>
      <w:rPr>
        <w:rFonts w:ascii="Courier New" w:hAnsi="Courier New" w:hint="default"/>
      </w:rPr>
    </w:lvl>
    <w:lvl w:ilvl="5" w:tplc="9414417C">
      <w:start w:val="1"/>
      <w:numFmt w:val="bullet"/>
      <w:lvlText w:val=""/>
      <w:lvlJc w:val="left"/>
      <w:pPr>
        <w:ind w:left="4320" w:hanging="360"/>
      </w:pPr>
      <w:rPr>
        <w:rFonts w:ascii="Wingdings" w:hAnsi="Wingdings" w:hint="default"/>
      </w:rPr>
    </w:lvl>
    <w:lvl w:ilvl="6" w:tplc="AE069F3C">
      <w:start w:val="1"/>
      <w:numFmt w:val="bullet"/>
      <w:lvlText w:val=""/>
      <w:lvlJc w:val="left"/>
      <w:pPr>
        <w:ind w:left="5040" w:hanging="360"/>
      </w:pPr>
      <w:rPr>
        <w:rFonts w:ascii="Symbol" w:hAnsi="Symbol" w:hint="default"/>
      </w:rPr>
    </w:lvl>
    <w:lvl w:ilvl="7" w:tplc="5CE64AB6">
      <w:start w:val="1"/>
      <w:numFmt w:val="bullet"/>
      <w:lvlText w:val="o"/>
      <w:lvlJc w:val="left"/>
      <w:pPr>
        <w:ind w:left="5760" w:hanging="360"/>
      </w:pPr>
      <w:rPr>
        <w:rFonts w:ascii="Courier New" w:hAnsi="Courier New" w:hint="default"/>
      </w:rPr>
    </w:lvl>
    <w:lvl w:ilvl="8" w:tplc="7E04BBC0">
      <w:start w:val="1"/>
      <w:numFmt w:val="bullet"/>
      <w:lvlText w:val=""/>
      <w:lvlJc w:val="left"/>
      <w:pPr>
        <w:ind w:left="6480" w:hanging="360"/>
      </w:pPr>
      <w:rPr>
        <w:rFonts w:ascii="Wingdings" w:hAnsi="Wingdings" w:hint="default"/>
      </w:rPr>
    </w:lvl>
  </w:abstractNum>
  <w:abstractNum w:abstractNumId="22" w15:restartNumberingAfterBreak="0">
    <w:nsid w:val="33F03A3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2A5A9A"/>
    <w:multiLevelType w:val="hybridMultilevel"/>
    <w:tmpl w:val="C4DA6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8C0D50"/>
    <w:multiLevelType w:val="hybridMultilevel"/>
    <w:tmpl w:val="71042B6E"/>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9C616FB"/>
    <w:multiLevelType w:val="hybridMultilevel"/>
    <w:tmpl w:val="7402D4B6"/>
    <w:lvl w:ilvl="0" w:tplc="040C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3AC7287A"/>
    <w:multiLevelType w:val="hybridMultilevel"/>
    <w:tmpl w:val="0F2EA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FF008A"/>
    <w:multiLevelType w:val="hybridMultilevel"/>
    <w:tmpl w:val="1DE65B70"/>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8" w15:restartNumberingAfterBreak="0">
    <w:nsid w:val="3CCE70A4"/>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261C36"/>
    <w:multiLevelType w:val="hybridMultilevel"/>
    <w:tmpl w:val="B32E9BB8"/>
    <w:lvl w:ilvl="0" w:tplc="040C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282C994"/>
    <w:multiLevelType w:val="hybridMultilevel"/>
    <w:tmpl w:val="2ADEFC5C"/>
    <w:lvl w:ilvl="0" w:tplc="030C5C38">
      <w:start w:val="1"/>
      <w:numFmt w:val="bullet"/>
      <w:lvlText w:val="·"/>
      <w:lvlJc w:val="left"/>
      <w:pPr>
        <w:ind w:left="720" w:hanging="360"/>
      </w:pPr>
      <w:rPr>
        <w:rFonts w:ascii="Symbol" w:hAnsi="Symbol" w:hint="default"/>
      </w:rPr>
    </w:lvl>
    <w:lvl w:ilvl="1" w:tplc="3EC6C54A">
      <w:start w:val="1"/>
      <w:numFmt w:val="bullet"/>
      <w:lvlText w:val="o"/>
      <w:lvlJc w:val="left"/>
      <w:pPr>
        <w:ind w:left="1440" w:hanging="360"/>
      </w:pPr>
      <w:rPr>
        <w:rFonts w:ascii="Courier New" w:hAnsi="Courier New" w:hint="default"/>
      </w:rPr>
    </w:lvl>
    <w:lvl w:ilvl="2" w:tplc="3E8AA762">
      <w:start w:val="1"/>
      <w:numFmt w:val="bullet"/>
      <w:lvlText w:val=""/>
      <w:lvlJc w:val="left"/>
      <w:pPr>
        <w:ind w:left="2160" w:hanging="360"/>
      </w:pPr>
      <w:rPr>
        <w:rFonts w:ascii="Wingdings" w:hAnsi="Wingdings" w:hint="default"/>
      </w:rPr>
    </w:lvl>
    <w:lvl w:ilvl="3" w:tplc="0B540DE6">
      <w:start w:val="1"/>
      <w:numFmt w:val="bullet"/>
      <w:lvlText w:val=""/>
      <w:lvlJc w:val="left"/>
      <w:pPr>
        <w:ind w:left="2880" w:hanging="360"/>
      </w:pPr>
      <w:rPr>
        <w:rFonts w:ascii="Symbol" w:hAnsi="Symbol" w:hint="default"/>
      </w:rPr>
    </w:lvl>
    <w:lvl w:ilvl="4" w:tplc="854AD406">
      <w:start w:val="1"/>
      <w:numFmt w:val="bullet"/>
      <w:lvlText w:val="o"/>
      <w:lvlJc w:val="left"/>
      <w:pPr>
        <w:ind w:left="3600" w:hanging="360"/>
      </w:pPr>
      <w:rPr>
        <w:rFonts w:ascii="Courier New" w:hAnsi="Courier New" w:hint="default"/>
      </w:rPr>
    </w:lvl>
    <w:lvl w:ilvl="5" w:tplc="6E7E5C08">
      <w:start w:val="1"/>
      <w:numFmt w:val="bullet"/>
      <w:lvlText w:val=""/>
      <w:lvlJc w:val="left"/>
      <w:pPr>
        <w:ind w:left="4320" w:hanging="360"/>
      </w:pPr>
      <w:rPr>
        <w:rFonts w:ascii="Wingdings" w:hAnsi="Wingdings" w:hint="default"/>
      </w:rPr>
    </w:lvl>
    <w:lvl w:ilvl="6" w:tplc="1B3E8D0C">
      <w:start w:val="1"/>
      <w:numFmt w:val="bullet"/>
      <w:lvlText w:val=""/>
      <w:lvlJc w:val="left"/>
      <w:pPr>
        <w:ind w:left="5040" w:hanging="360"/>
      </w:pPr>
      <w:rPr>
        <w:rFonts w:ascii="Symbol" w:hAnsi="Symbol" w:hint="default"/>
      </w:rPr>
    </w:lvl>
    <w:lvl w:ilvl="7" w:tplc="9DE6033C">
      <w:start w:val="1"/>
      <w:numFmt w:val="bullet"/>
      <w:lvlText w:val="o"/>
      <w:lvlJc w:val="left"/>
      <w:pPr>
        <w:ind w:left="5760" w:hanging="360"/>
      </w:pPr>
      <w:rPr>
        <w:rFonts w:ascii="Courier New" w:hAnsi="Courier New" w:hint="default"/>
      </w:rPr>
    </w:lvl>
    <w:lvl w:ilvl="8" w:tplc="8C0AE388">
      <w:start w:val="1"/>
      <w:numFmt w:val="bullet"/>
      <w:lvlText w:val=""/>
      <w:lvlJc w:val="left"/>
      <w:pPr>
        <w:ind w:left="6480" w:hanging="360"/>
      </w:pPr>
      <w:rPr>
        <w:rFonts w:ascii="Wingdings" w:hAnsi="Wingdings" w:hint="default"/>
      </w:rPr>
    </w:lvl>
  </w:abstractNum>
  <w:abstractNum w:abstractNumId="32" w15:restartNumberingAfterBreak="0">
    <w:nsid w:val="4BEC5BFF"/>
    <w:multiLevelType w:val="hybridMultilevel"/>
    <w:tmpl w:val="E3D61F6C"/>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E857AE"/>
    <w:multiLevelType w:val="hybridMultilevel"/>
    <w:tmpl w:val="E5128804"/>
    <w:lvl w:ilvl="0" w:tplc="DD905D96">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3170A7"/>
    <w:multiLevelType w:val="hybridMultilevel"/>
    <w:tmpl w:val="99969146"/>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BA93D58"/>
    <w:multiLevelType w:val="hybridMultilevel"/>
    <w:tmpl w:val="0FDEF5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1D15B5"/>
    <w:multiLevelType w:val="hybridMultilevel"/>
    <w:tmpl w:val="612C53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4A2F3A"/>
    <w:multiLevelType w:val="hybridMultilevel"/>
    <w:tmpl w:val="DD76A31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F11651"/>
    <w:multiLevelType w:val="hybridMultilevel"/>
    <w:tmpl w:val="43A8E25C"/>
    <w:lvl w:ilvl="0" w:tplc="040C001B">
      <w:start w:val="1"/>
      <w:numFmt w:val="lowerRoman"/>
      <w:lvlText w:val="%1."/>
      <w:lvlJc w:val="righ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889301B"/>
    <w:multiLevelType w:val="hybridMultilevel"/>
    <w:tmpl w:val="38F6AC68"/>
    <w:lvl w:ilvl="0" w:tplc="FFFFFFFF">
      <w:start w:val="1"/>
      <w:numFmt w:val="lowerRoman"/>
      <w:lvlText w:val="%1."/>
      <w:lvlJc w:val="righ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0C6B26"/>
    <w:multiLevelType w:val="hybridMultilevel"/>
    <w:tmpl w:val="3AE842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5D9EEF"/>
    <w:multiLevelType w:val="hybridMultilevel"/>
    <w:tmpl w:val="79F4ECA6"/>
    <w:lvl w:ilvl="0" w:tplc="46CEC71C">
      <w:start w:val="2"/>
      <w:numFmt w:val="lowerLetter"/>
      <w:lvlText w:val="%1)"/>
      <w:lvlJc w:val="left"/>
      <w:pPr>
        <w:ind w:left="720" w:hanging="360"/>
      </w:pPr>
    </w:lvl>
    <w:lvl w:ilvl="1" w:tplc="1146173C">
      <w:start w:val="1"/>
      <w:numFmt w:val="lowerLetter"/>
      <w:lvlText w:val="%2."/>
      <w:lvlJc w:val="left"/>
      <w:pPr>
        <w:ind w:left="1440" w:hanging="360"/>
      </w:pPr>
    </w:lvl>
    <w:lvl w:ilvl="2" w:tplc="E1DE9D90">
      <w:start w:val="1"/>
      <w:numFmt w:val="lowerRoman"/>
      <w:lvlText w:val="%3."/>
      <w:lvlJc w:val="right"/>
      <w:pPr>
        <w:ind w:left="2160" w:hanging="180"/>
      </w:pPr>
    </w:lvl>
    <w:lvl w:ilvl="3" w:tplc="16B6AE40">
      <w:start w:val="1"/>
      <w:numFmt w:val="decimal"/>
      <w:lvlText w:val="%4."/>
      <w:lvlJc w:val="left"/>
      <w:pPr>
        <w:ind w:left="2880" w:hanging="360"/>
      </w:pPr>
    </w:lvl>
    <w:lvl w:ilvl="4" w:tplc="4DAADD94">
      <w:start w:val="1"/>
      <w:numFmt w:val="lowerLetter"/>
      <w:lvlText w:val="%5."/>
      <w:lvlJc w:val="left"/>
      <w:pPr>
        <w:ind w:left="3600" w:hanging="360"/>
      </w:pPr>
    </w:lvl>
    <w:lvl w:ilvl="5" w:tplc="33D629C4">
      <w:start w:val="1"/>
      <w:numFmt w:val="lowerRoman"/>
      <w:lvlText w:val="%6."/>
      <w:lvlJc w:val="right"/>
      <w:pPr>
        <w:ind w:left="4320" w:hanging="180"/>
      </w:pPr>
    </w:lvl>
    <w:lvl w:ilvl="6" w:tplc="C8C23A92">
      <w:start w:val="1"/>
      <w:numFmt w:val="decimal"/>
      <w:lvlText w:val="%7."/>
      <w:lvlJc w:val="left"/>
      <w:pPr>
        <w:ind w:left="5040" w:hanging="360"/>
      </w:pPr>
    </w:lvl>
    <w:lvl w:ilvl="7" w:tplc="462A408C">
      <w:start w:val="1"/>
      <w:numFmt w:val="lowerLetter"/>
      <w:lvlText w:val="%8."/>
      <w:lvlJc w:val="left"/>
      <w:pPr>
        <w:ind w:left="5760" w:hanging="360"/>
      </w:pPr>
    </w:lvl>
    <w:lvl w:ilvl="8" w:tplc="8AF44778">
      <w:start w:val="1"/>
      <w:numFmt w:val="lowerRoman"/>
      <w:lvlText w:val="%9."/>
      <w:lvlJc w:val="right"/>
      <w:pPr>
        <w:ind w:left="6480" w:hanging="180"/>
      </w:pPr>
    </w:lvl>
  </w:abstractNum>
  <w:abstractNum w:abstractNumId="44" w15:restartNumberingAfterBreak="0">
    <w:nsid w:val="790753ED"/>
    <w:multiLevelType w:val="hybridMultilevel"/>
    <w:tmpl w:val="C4DA6B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B886167"/>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3A64F5"/>
    <w:multiLevelType w:val="hybridMultilevel"/>
    <w:tmpl w:val="FFFFFFFF"/>
    <w:lvl w:ilvl="0" w:tplc="89A2A368">
      <w:start w:val="1"/>
      <w:numFmt w:val="bullet"/>
      <w:lvlText w:val="-"/>
      <w:lvlJc w:val="left"/>
      <w:pPr>
        <w:ind w:left="720" w:hanging="360"/>
      </w:pPr>
      <w:rPr>
        <w:rFonts w:ascii="Calibri" w:hAnsi="Calibri" w:hint="default"/>
      </w:rPr>
    </w:lvl>
    <w:lvl w:ilvl="1" w:tplc="4E78A24E">
      <w:start w:val="1"/>
      <w:numFmt w:val="bullet"/>
      <w:lvlText w:val="o"/>
      <w:lvlJc w:val="left"/>
      <w:pPr>
        <w:ind w:left="1440" w:hanging="360"/>
      </w:pPr>
      <w:rPr>
        <w:rFonts w:ascii="Courier New" w:hAnsi="Courier New" w:hint="default"/>
      </w:rPr>
    </w:lvl>
    <w:lvl w:ilvl="2" w:tplc="177AE60E">
      <w:start w:val="1"/>
      <w:numFmt w:val="bullet"/>
      <w:lvlText w:val=""/>
      <w:lvlJc w:val="left"/>
      <w:pPr>
        <w:ind w:left="2160" w:hanging="360"/>
      </w:pPr>
      <w:rPr>
        <w:rFonts w:ascii="Wingdings" w:hAnsi="Wingdings" w:hint="default"/>
      </w:rPr>
    </w:lvl>
    <w:lvl w:ilvl="3" w:tplc="6E28975A">
      <w:start w:val="1"/>
      <w:numFmt w:val="bullet"/>
      <w:lvlText w:val=""/>
      <w:lvlJc w:val="left"/>
      <w:pPr>
        <w:ind w:left="2880" w:hanging="360"/>
      </w:pPr>
      <w:rPr>
        <w:rFonts w:ascii="Symbol" w:hAnsi="Symbol" w:hint="default"/>
      </w:rPr>
    </w:lvl>
    <w:lvl w:ilvl="4" w:tplc="EBAA5F70">
      <w:start w:val="1"/>
      <w:numFmt w:val="bullet"/>
      <w:lvlText w:val="o"/>
      <w:lvlJc w:val="left"/>
      <w:pPr>
        <w:ind w:left="3600" w:hanging="360"/>
      </w:pPr>
      <w:rPr>
        <w:rFonts w:ascii="Courier New" w:hAnsi="Courier New" w:hint="default"/>
      </w:rPr>
    </w:lvl>
    <w:lvl w:ilvl="5" w:tplc="D584B0AC">
      <w:start w:val="1"/>
      <w:numFmt w:val="bullet"/>
      <w:lvlText w:val=""/>
      <w:lvlJc w:val="left"/>
      <w:pPr>
        <w:ind w:left="4320" w:hanging="360"/>
      </w:pPr>
      <w:rPr>
        <w:rFonts w:ascii="Wingdings" w:hAnsi="Wingdings" w:hint="default"/>
      </w:rPr>
    </w:lvl>
    <w:lvl w:ilvl="6" w:tplc="3BFCA08A">
      <w:start w:val="1"/>
      <w:numFmt w:val="bullet"/>
      <w:lvlText w:val=""/>
      <w:lvlJc w:val="left"/>
      <w:pPr>
        <w:ind w:left="5040" w:hanging="360"/>
      </w:pPr>
      <w:rPr>
        <w:rFonts w:ascii="Symbol" w:hAnsi="Symbol" w:hint="default"/>
      </w:rPr>
    </w:lvl>
    <w:lvl w:ilvl="7" w:tplc="7C4C06DE">
      <w:start w:val="1"/>
      <w:numFmt w:val="bullet"/>
      <w:lvlText w:val="o"/>
      <w:lvlJc w:val="left"/>
      <w:pPr>
        <w:ind w:left="5760" w:hanging="360"/>
      </w:pPr>
      <w:rPr>
        <w:rFonts w:ascii="Courier New" w:hAnsi="Courier New" w:hint="default"/>
      </w:rPr>
    </w:lvl>
    <w:lvl w:ilvl="8" w:tplc="D556C798">
      <w:start w:val="1"/>
      <w:numFmt w:val="bullet"/>
      <w:lvlText w:val=""/>
      <w:lvlJc w:val="left"/>
      <w:pPr>
        <w:ind w:left="6480" w:hanging="360"/>
      </w:pPr>
      <w:rPr>
        <w:rFonts w:ascii="Wingdings" w:hAnsi="Wingdings" w:hint="default"/>
      </w:rPr>
    </w:lvl>
  </w:abstractNum>
  <w:num w:numId="1" w16cid:durableId="880242076">
    <w:abstractNumId w:val="21"/>
  </w:num>
  <w:num w:numId="2" w16cid:durableId="1792817571">
    <w:abstractNumId w:val="12"/>
  </w:num>
  <w:num w:numId="3" w16cid:durableId="1649824889">
    <w:abstractNumId w:val="43"/>
  </w:num>
  <w:num w:numId="4" w16cid:durableId="220286287">
    <w:abstractNumId w:val="31"/>
  </w:num>
  <w:num w:numId="5" w16cid:durableId="18820354">
    <w:abstractNumId w:val="0"/>
  </w:num>
  <w:num w:numId="6" w16cid:durableId="1231382762">
    <w:abstractNumId w:val="18"/>
  </w:num>
  <w:num w:numId="7" w16cid:durableId="148181803">
    <w:abstractNumId w:val="2"/>
  </w:num>
  <w:num w:numId="8" w16cid:durableId="1318606542">
    <w:abstractNumId w:val="6"/>
  </w:num>
  <w:num w:numId="9" w16cid:durableId="244850181">
    <w:abstractNumId w:val="3"/>
  </w:num>
  <w:num w:numId="10" w16cid:durableId="642808543">
    <w:abstractNumId w:val="46"/>
  </w:num>
  <w:num w:numId="11" w16cid:durableId="911739694">
    <w:abstractNumId w:val="34"/>
  </w:num>
  <w:num w:numId="12" w16cid:durableId="983042351">
    <w:abstractNumId w:val="14"/>
  </w:num>
  <w:num w:numId="13" w16cid:durableId="1458721694">
    <w:abstractNumId w:val="1"/>
  </w:num>
  <w:num w:numId="14" w16cid:durableId="1443301725">
    <w:abstractNumId w:val="25"/>
  </w:num>
  <w:num w:numId="15" w16cid:durableId="898591850">
    <w:abstractNumId w:val="4"/>
  </w:num>
  <w:num w:numId="16" w16cid:durableId="1578325422">
    <w:abstractNumId w:val="36"/>
  </w:num>
  <w:num w:numId="17" w16cid:durableId="1901861485">
    <w:abstractNumId w:val="35"/>
  </w:num>
  <w:num w:numId="18" w16cid:durableId="1075661132">
    <w:abstractNumId w:val="24"/>
  </w:num>
  <w:num w:numId="19" w16cid:durableId="4131874">
    <w:abstractNumId w:val="37"/>
  </w:num>
  <w:num w:numId="20" w16cid:durableId="566186039">
    <w:abstractNumId w:val="26"/>
  </w:num>
  <w:num w:numId="21" w16cid:durableId="1096290737">
    <w:abstractNumId w:val="39"/>
  </w:num>
  <w:num w:numId="22" w16cid:durableId="203178758">
    <w:abstractNumId w:val="38"/>
  </w:num>
  <w:num w:numId="23" w16cid:durableId="994069586">
    <w:abstractNumId w:val="40"/>
  </w:num>
  <w:num w:numId="24" w16cid:durableId="580528461">
    <w:abstractNumId w:val="11"/>
  </w:num>
  <w:num w:numId="25" w16cid:durableId="1992326041">
    <w:abstractNumId w:val="10"/>
  </w:num>
  <w:num w:numId="26" w16cid:durableId="1325431676">
    <w:abstractNumId w:val="8"/>
  </w:num>
  <w:num w:numId="27" w16cid:durableId="1863667448">
    <w:abstractNumId w:val="9"/>
  </w:num>
  <w:num w:numId="28" w16cid:durableId="2040622190">
    <w:abstractNumId w:val="44"/>
  </w:num>
  <w:num w:numId="29" w16cid:durableId="415176625">
    <w:abstractNumId w:val="22"/>
  </w:num>
  <w:num w:numId="30" w16cid:durableId="266347610">
    <w:abstractNumId w:val="28"/>
  </w:num>
  <w:num w:numId="31" w16cid:durableId="132063604">
    <w:abstractNumId w:val="7"/>
  </w:num>
  <w:num w:numId="32" w16cid:durableId="1908956582">
    <w:abstractNumId w:val="45"/>
  </w:num>
  <w:num w:numId="33" w16cid:durableId="1735008506">
    <w:abstractNumId w:val="33"/>
  </w:num>
  <w:num w:numId="34" w16cid:durableId="1552957327">
    <w:abstractNumId w:val="13"/>
  </w:num>
  <w:num w:numId="35" w16cid:durableId="366881015">
    <w:abstractNumId w:val="20"/>
  </w:num>
  <w:num w:numId="36" w16cid:durableId="669990810">
    <w:abstractNumId w:val="30"/>
  </w:num>
  <w:num w:numId="37" w16cid:durableId="2039814354">
    <w:abstractNumId w:val="41"/>
  </w:num>
  <w:num w:numId="38" w16cid:durableId="1983344347">
    <w:abstractNumId w:val="19"/>
  </w:num>
  <w:num w:numId="39" w16cid:durableId="529340857">
    <w:abstractNumId w:val="32"/>
  </w:num>
  <w:num w:numId="40" w16cid:durableId="63915769">
    <w:abstractNumId w:val="16"/>
  </w:num>
  <w:num w:numId="41" w16cid:durableId="1971396546">
    <w:abstractNumId w:val="42"/>
  </w:num>
  <w:num w:numId="42" w16cid:durableId="1039235390">
    <w:abstractNumId w:val="27"/>
  </w:num>
  <w:num w:numId="43" w16cid:durableId="1133904678">
    <w:abstractNumId w:val="15"/>
  </w:num>
  <w:num w:numId="44" w16cid:durableId="1963610793">
    <w:abstractNumId w:val="29"/>
  </w:num>
  <w:num w:numId="45" w16cid:durableId="500585094">
    <w:abstractNumId w:val="23"/>
  </w:num>
  <w:num w:numId="46" w16cid:durableId="717970077">
    <w:abstractNumId w:val="17"/>
  </w:num>
  <w:num w:numId="47" w16cid:durableId="152786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06"/>
    <w:rsid w:val="00020248"/>
    <w:rsid w:val="000228B6"/>
    <w:rsid w:val="0002567D"/>
    <w:rsid w:val="00054051"/>
    <w:rsid w:val="000655E0"/>
    <w:rsid w:val="00067C81"/>
    <w:rsid w:val="00070499"/>
    <w:rsid w:val="00087924"/>
    <w:rsid w:val="00096862"/>
    <w:rsid w:val="000B2DE7"/>
    <w:rsid w:val="000D6E60"/>
    <w:rsid w:val="000E35E5"/>
    <w:rsid w:val="0010058B"/>
    <w:rsid w:val="00142F91"/>
    <w:rsid w:val="001431A1"/>
    <w:rsid w:val="0014700B"/>
    <w:rsid w:val="0019572C"/>
    <w:rsid w:val="001A45F4"/>
    <w:rsid w:val="001D60E2"/>
    <w:rsid w:val="001F0B0C"/>
    <w:rsid w:val="00224511"/>
    <w:rsid w:val="00226656"/>
    <w:rsid w:val="00293A06"/>
    <w:rsid w:val="002B1180"/>
    <w:rsid w:val="002D28E5"/>
    <w:rsid w:val="002D5CBF"/>
    <w:rsid w:val="002F7628"/>
    <w:rsid w:val="0030476E"/>
    <w:rsid w:val="00314280"/>
    <w:rsid w:val="00375E0B"/>
    <w:rsid w:val="00387B3D"/>
    <w:rsid w:val="003A51B5"/>
    <w:rsid w:val="003A5970"/>
    <w:rsid w:val="004179A3"/>
    <w:rsid w:val="004254EA"/>
    <w:rsid w:val="00456B24"/>
    <w:rsid w:val="004A5658"/>
    <w:rsid w:val="004E7550"/>
    <w:rsid w:val="00500BEB"/>
    <w:rsid w:val="00503453"/>
    <w:rsid w:val="00514DE0"/>
    <w:rsid w:val="0051544B"/>
    <w:rsid w:val="00525051"/>
    <w:rsid w:val="0055212F"/>
    <w:rsid w:val="00575EF3"/>
    <w:rsid w:val="005A3431"/>
    <w:rsid w:val="005A5A5A"/>
    <w:rsid w:val="005B2FA0"/>
    <w:rsid w:val="005D3027"/>
    <w:rsid w:val="005D5837"/>
    <w:rsid w:val="005F1C26"/>
    <w:rsid w:val="005F29D1"/>
    <w:rsid w:val="00612283"/>
    <w:rsid w:val="00613B27"/>
    <w:rsid w:val="006203FE"/>
    <w:rsid w:val="00666017"/>
    <w:rsid w:val="006B3678"/>
    <w:rsid w:val="006B7B1E"/>
    <w:rsid w:val="006C0034"/>
    <w:rsid w:val="006C7982"/>
    <w:rsid w:val="00712EB3"/>
    <w:rsid w:val="00743751"/>
    <w:rsid w:val="00763BD6"/>
    <w:rsid w:val="00783C17"/>
    <w:rsid w:val="007908A1"/>
    <w:rsid w:val="007D001A"/>
    <w:rsid w:val="007F1E22"/>
    <w:rsid w:val="0081003A"/>
    <w:rsid w:val="00842876"/>
    <w:rsid w:val="008912E0"/>
    <w:rsid w:val="008944B8"/>
    <w:rsid w:val="008D410A"/>
    <w:rsid w:val="0091429E"/>
    <w:rsid w:val="0092490B"/>
    <w:rsid w:val="00934F28"/>
    <w:rsid w:val="0097322F"/>
    <w:rsid w:val="0098016A"/>
    <w:rsid w:val="009913B8"/>
    <w:rsid w:val="009A2252"/>
    <w:rsid w:val="009C7F90"/>
    <w:rsid w:val="009D10D7"/>
    <w:rsid w:val="009D42E8"/>
    <w:rsid w:val="009E079F"/>
    <w:rsid w:val="009E12CB"/>
    <w:rsid w:val="009E2DEA"/>
    <w:rsid w:val="00A02055"/>
    <w:rsid w:val="00A36576"/>
    <w:rsid w:val="00A4715D"/>
    <w:rsid w:val="00A57118"/>
    <w:rsid w:val="00A669F8"/>
    <w:rsid w:val="00A858D5"/>
    <w:rsid w:val="00A859D5"/>
    <w:rsid w:val="00AA1138"/>
    <w:rsid w:val="00AA6260"/>
    <w:rsid w:val="00AB39D2"/>
    <w:rsid w:val="00B03F23"/>
    <w:rsid w:val="00B04AD3"/>
    <w:rsid w:val="00B20C08"/>
    <w:rsid w:val="00B3460D"/>
    <w:rsid w:val="00B456CA"/>
    <w:rsid w:val="00B75B8C"/>
    <w:rsid w:val="00B76BE0"/>
    <w:rsid w:val="00B77536"/>
    <w:rsid w:val="00BA5871"/>
    <w:rsid w:val="00BB4DA4"/>
    <w:rsid w:val="00C04424"/>
    <w:rsid w:val="00C304BD"/>
    <w:rsid w:val="00C76FF8"/>
    <w:rsid w:val="00CB1F08"/>
    <w:rsid w:val="00CD42E5"/>
    <w:rsid w:val="00CE367E"/>
    <w:rsid w:val="00D146AC"/>
    <w:rsid w:val="00D4474A"/>
    <w:rsid w:val="00D50E17"/>
    <w:rsid w:val="00D513F8"/>
    <w:rsid w:val="00D654D4"/>
    <w:rsid w:val="00D85CE5"/>
    <w:rsid w:val="00D94EB3"/>
    <w:rsid w:val="00DC59E4"/>
    <w:rsid w:val="00DE6F61"/>
    <w:rsid w:val="00DF0485"/>
    <w:rsid w:val="00DF6ED4"/>
    <w:rsid w:val="00DF7DBA"/>
    <w:rsid w:val="00E071AF"/>
    <w:rsid w:val="00E302FC"/>
    <w:rsid w:val="00E50F42"/>
    <w:rsid w:val="00E5412E"/>
    <w:rsid w:val="00E63479"/>
    <w:rsid w:val="00EA69C4"/>
    <w:rsid w:val="00EB3885"/>
    <w:rsid w:val="00EB4FFC"/>
    <w:rsid w:val="00ED698B"/>
    <w:rsid w:val="00F066BD"/>
    <w:rsid w:val="00F13947"/>
    <w:rsid w:val="00F20ABB"/>
    <w:rsid w:val="00F37193"/>
    <w:rsid w:val="00F61236"/>
    <w:rsid w:val="00F724D5"/>
    <w:rsid w:val="00F7320D"/>
    <w:rsid w:val="00FA2650"/>
    <w:rsid w:val="0132CA4A"/>
    <w:rsid w:val="015A3826"/>
    <w:rsid w:val="01B72882"/>
    <w:rsid w:val="0306473F"/>
    <w:rsid w:val="03608722"/>
    <w:rsid w:val="0426F6E1"/>
    <w:rsid w:val="0453824F"/>
    <w:rsid w:val="046A6B0C"/>
    <w:rsid w:val="04846F9B"/>
    <w:rsid w:val="059EC438"/>
    <w:rsid w:val="0673AAF3"/>
    <w:rsid w:val="073A9499"/>
    <w:rsid w:val="08973F31"/>
    <w:rsid w:val="09B16D05"/>
    <w:rsid w:val="0C82C7B6"/>
    <w:rsid w:val="0CF2A05E"/>
    <w:rsid w:val="0CFBF19A"/>
    <w:rsid w:val="0E5E7347"/>
    <w:rsid w:val="10473114"/>
    <w:rsid w:val="10BC464D"/>
    <w:rsid w:val="11961409"/>
    <w:rsid w:val="11BB8C0B"/>
    <w:rsid w:val="12BDD749"/>
    <w:rsid w:val="12CC1063"/>
    <w:rsid w:val="12ECABFB"/>
    <w:rsid w:val="13132536"/>
    <w:rsid w:val="1331E46A"/>
    <w:rsid w:val="13575C6C"/>
    <w:rsid w:val="14160157"/>
    <w:rsid w:val="145E10B0"/>
    <w:rsid w:val="14736B62"/>
    <w:rsid w:val="1508F03C"/>
    <w:rsid w:val="150C17C3"/>
    <w:rsid w:val="156093D3"/>
    <w:rsid w:val="158BBCC7"/>
    <w:rsid w:val="16299556"/>
    <w:rsid w:val="16ADC778"/>
    <w:rsid w:val="16D4A5A7"/>
    <w:rsid w:val="17F6C62E"/>
    <w:rsid w:val="1811A532"/>
    <w:rsid w:val="182F979C"/>
    <w:rsid w:val="1A7CBF07"/>
    <w:rsid w:val="1B129AC2"/>
    <w:rsid w:val="1B6AF9A8"/>
    <w:rsid w:val="1BECF143"/>
    <w:rsid w:val="1DECC498"/>
    <w:rsid w:val="1F11E256"/>
    <w:rsid w:val="1F466157"/>
    <w:rsid w:val="202F2918"/>
    <w:rsid w:val="21618B2F"/>
    <w:rsid w:val="23285676"/>
    <w:rsid w:val="236C1E75"/>
    <w:rsid w:val="24BD245D"/>
    <w:rsid w:val="25CAC2D0"/>
    <w:rsid w:val="265A578C"/>
    <w:rsid w:val="26A5A662"/>
    <w:rsid w:val="27669331"/>
    <w:rsid w:val="28046F13"/>
    <w:rsid w:val="28B638BD"/>
    <w:rsid w:val="292E1632"/>
    <w:rsid w:val="2A4CABDF"/>
    <w:rsid w:val="2BEDD97F"/>
    <w:rsid w:val="2D094DC8"/>
    <w:rsid w:val="2E375880"/>
    <w:rsid w:val="2FA6A649"/>
    <w:rsid w:val="311D8321"/>
    <w:rsid w:val="31B696D5"/>
    <w:rsid w:val="32A945D8"/>
    <w:rsid w:val="32F56BA8"/>
    <w:rsid w:val="337FED30"/>
    <w:rsid w:val="345A72CC"/>
    <w:rsid w:val="347A176C"/>
    <w:rsid w:val="34C4FA28"/>
    <w:rsid w:val="3542039D"/>
    <w:rsid w:val="36AA8F55"/>
    <w:rsid w:val="37149519"/>
    <w:rsid w:val="3742AD85"/>
    <w:rsid w:val="37F5802D"/>
    <w:rsid w:val="38558E2D"/>
    <w:rsid w:val="389C144C"/>
    <w:rsid w:val="38D7CFEA"/>
    <w:rsid w:val="38F24C95"/>
    <w:rsid w:val="392074E2"/>
    <w:rsid w:val="39E23017"/>
    <w:rsid w:val="3A267C04"/>
    <w:rsid w:val="3B47A732"/>
    <w:rsid w:val="3B7E0078"/>
    <w:rsid w:val="3CC8F150"/>
    <w:rsid w:val="3D1FAF20"/>
    <w:rsid w:val="3D5A30F8"/>
    <w:rsid w:val="3D5D9BB8"/>
    <w:rsid w:val="3D7320DB"/>
    <w:rsid w:val="3D7B2B7D"/>
    <w:rsid w:val="3DF3E605"/>
    <w:rsid w:val="3EBC2491"/>
    <w:rsid w:val="3F8FB666"/>
    <w:rsid w:val="40009212"/>
    <w:rsid w:val="401638A1"/>
    <w:rsid w:val="41020E0E"/>
    <w:rsid w:val="41229AC4"/>
    <w:rsid w:val="4171DDC1"/>
    <w:rsid w:val="417DE98D"/>
    <w:rsid w:val="41ACABC3"/>
    <w:rsid w:val="41E85336"/>
    <w:rsid w:val="421D1674"/>
    <w:rsid w:val="4233350A"/>
    <w:rsid w:val="434DD963"/>
    <w:rsid w:val="4524E2BE"/>
    <w:rsid w:val="45379658"/>
    <w:rsid w:val="49490AAD"/>
    <w:rsid w:val="49B7BDA8"/>
    <w:rsid w:val="49EC1416"/>
    <w:rsid w:val="4A251E92"/>
    <w:rsid w:val="4BC0EEF3"/>
    <w:rsid w:val="4C393329"/>
    <w:rsid w:val="4C80AB6F"/>
    <w:rsid w:val="4CBA20EE"/>
    <w:rsid w:val="4CC5ECBD"/>
    <w:rsid w:val="4DE3215D"/>
    <w:rsid w:val="505BFB47"/>
    <w:rsid w:val="50AD8873"/>
    <w:rsid w:val="52303077"/>
    <w:rsid w:val="52E38093"/>
    <w:rsid w:val="537CB023"/>
    <w:rsid w:val="53CE78F3"/>
    <w:rsid w:val="54057904"/>
    <w:rsid w:val="54464776"/>
    <w:rsid w:val="5565A62A"/>
    <w:rsid w:val="5580F996"/>
    <w:rsid w:val="56CF27B4"/>
    <w:rsid w:val="56FE9AC5"/>
    <w:rsid w:val="57677DE3"/>
    <w:rsid w:val="59229486"/>
    <w:rsid w:val="5B54F382"/>
    <w:rsid w:val="5B7F3B91"/>
    <w:rsid w:val="5CCAA16E"/>
    <w:rsid w:val="5CF2C4D9"/>
    <w:rsid w:val="5EAB6A36"/>
    <w:rsid w:val="5EE57FD6"/>
    <w:rsid w:val="5FCA11A3"/>
    <w:rsid w:val="6194C34D"/>
    <w:rsid w:val="63D6E233"/>
    <w:rsid w:val="63EA1228"/>
    <w:rsid w:val="66674CC8"/>
    <w:rsid w:val="66C70251"/>
    <w:rsid w:val="678CCA96"/>
    <w:rsid w:val="67DE6538"/>
    <w:rsid w:val="68CD4739"/>
    <w:rsid w:val="6A4FECD7"/>
    <w:rsid w:val="6A5B5423"/>
    <w:rsid w:val="6A8C86E9"/>
    <w:rsid w:val="6AD83E18"/>
    <w:rsid w:val="6C6D7507"/>
    <w:rsid w:val="6DC1EB15"/>
    <w:rsid w:val="6DDDA75D"/>
    <w:rsid w:val="6E2B3CAF"/>
    <w:rsid w:val="6E3313EC"/>
    <w:rsid w:val="6E74719A"/>
    <w:rsid w:val="6EF60056"/>
    <w:rsid w:val="6F5F9C30"/>
    <w:rsid w:val="6FD8AD89"/>
    <w:rsid w:val="711E16EF"/>
    <w:rsid w:val="715D3CB8"/>
    <w:rsid w:val="71C35C07"/>
    <w:rsid w:val="7224D261"/>
    <w:rsid w:val="72FD7539"/>
    <w:rsid w:val="73104E4B"/>
    <w:rsid w:val="73152B5A"/>
    <w:rsid w:val="73232751"/>
    <w:rsid w:val="7472CCDD"/>
    <w:rsid w:val="74AC1EAC"/>
    <w:rsid w:val="76C05DBE"/>
    <w:rsid w:val="76FE7362"/>
    <w:rsid w:val="77693C08"/>
    <w:rsid w:val="777CB51B"/>
    <w:rsid w:val="780736A3"/>
    <w:rsid w:val="79CA7174"/>
    <w:rsid w:val="7AA8E3C0"/>
    <w:rsid w:val="7B2E3936"/>
    <w:rsid w:val="7C2CC8F8"/>
    <w:rsid w:val="7DA59EE9"/>
    <w:rsid w:val="7E45190E"/>
    <w:rsid w:val="7E6DC77E"/>
    <w:rsid w:val="7E81B2CE"/>
    <w:rsid w:val="7EAB247B"/>
    <w:rsid w:val="7F96F9E8"/>
    <w:rsid w:val="7FE0E96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DF761"/>
  <w15:chartTrackingRefBased/>
  <w15:docId w15:val="{FAA07B66-CC8C-4657-9644-7579E31E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76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293A06"/>
    <w:pPr>
      <w:ind w:left="720"/>
      <w:contextualSpacing/>
    </w:pPr>
    <w:rPr>
      <w:kern w:val="0"/>
      <w14:ligatures w14:val="none"/>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locked/>
    <w:rsid w:val="00293A06"/>
    <w:rPr>
      <w:kern w:val="0"/>
      <w14:ligatures w14:val="none"/>
    </w:rPr>
  </w:style>
  <w:style w:type="paragraph" w:customStyle="1" w:styleId="Paragraphe">
    <w:name w:val="Paragraphe"/>
    <w:basedOn w:val="Normal"/>
    <w:link w:val="ParagrapheCar"/>
    <w:qFormat/>
    <w:rsid w:val="00934F28"/>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934F28"/>
    <w:rPr>
      <w:rFonts w:ascii="Verdana" w:hAnsi="Verdana" w:cs="Calibri"/>
      <w:kern w:val="0"/>
      <w:sz w:val="20"/>
      <w:szCs w:val="20"/>
      <w14:ligatures w14:val="none"/>
    </w:rPr>
  </w:style>
  <w:style w:type="paragraph" w:styleId="Sansinterligne">
    <w:name w:val="No Spacing"/>
    <w:link w:val="SansinterligneCar"/>
    <w:uiPriority w:val="1"/>
    <w:qFormat/>
    <w:rsid w:val="006C0034"/>
    <w:pPr>
      <w:spacing w:after="0" w:line="240" w:lineRule="auto"/>
    </w:pPr>
    <w:rPr>
      <w:kern w:val="0"/>
      <w14:ligatures w14:val="none"/>
    </w:rPr>
  </w:style>
  <w:style w:type="character" w:customStyle="1" w:styleId="SansinterligneCar">
    <w:name w:val="Sans interligne Car"/>
    <w:link w:val="Sansinterligne"/>
    <w:uiPriority w:val="1"/>
    <w:locked/>
    <w:rsid w:val="006C0034"/>
    <w:rPr>
      <w:kern w:val="0"/>
      <w14:ligatures w14:val="none"/>
    </w:rPr>
  </w:style>
  <w:style w:type="character" w:customStyle="1" w:styleId="Titre2Car">
    <w:name w:val="Titre 2 Car"/>
    <w:basedOn w:val="Policepardfaut"/>
    <w:link w:val="Titre2"/>
    <w:uiPriority w:val="9"/>
    <w:rsid w:val="00B76BE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B76BE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76BE0"/>
    <w:pPr>
      <w:outlineLvl w:val="9"/>
    </w:pPr>
    <w:rPr>
      <w:kern w:val="0"/>
      <w:lang w:eastAsia="fr-FR"/>
      <w14:ligatures w14:val="none"/>
    </w:rPr>
  </w:style>
  <w:style w:type="paragraph" w:styleId="TM2">
    <w:name w:val="toc 2"/>
    <w:basedOn w:val="Normal"/>
    <w:next w:val="Normal"/>
    <w:autoRedefine/>
    <w:uiPriority w:val="39"/>
    <w:unhideWhenUsed/>
    <w:rsid w:val="00B76BE0"/>
    <w:pPr>
      <w:spacing w:after="100"/>
      <w:ind w:left="220"/>
    </w:pPr>
  </w:style>
  <w:style w:type="character" w:styleId="Lienhypertexte">
    <w:name w:val="Hyperlink"/>
    <w:basedOn w:val="Policepardfaut"/>
    <w:uiPriority w:val="99"/>
    <w:unhideWhenUsed/>
    <w:rsid w:val="00B76BE0"/>
    <w:rPr>
      <w:color w:val="0563C1" w:themeColor="hyperlink"/>
      <w:u w:val="single"/>
    </w:rPr>
  </w:style>
  <w:style w:type="paragraph" w:styleId="En-tte">
    <w:name w:val="header"/>
    <w:basedOn w:val="Normal"/>
    <w:link w:val="En-tteCar"/>
    <w:uiPriority w:val="99"/>
    <w:unhideWhenUsed/>
    <w:rsid w:val="00B76BE0"/>
    <w:pPr>
      <w:tabs>
        <w:tab w:val="center" w:pos="4513"/>
        <w:tab w:val="right" w:pos="9026"/>
      </w:tabs>
      <w:spacing w:after="0" w:line="240" w:lineRule="auto"/>
    </w:pPr>
  </w:style>
  <w:style w:type="character" w:customStyle="1" w:styleId="En-tteCar">
    <w:name w:val="En-tête Car"/>
    <w:basedOn w:val="Policepardfaut"/>
    <w:link w:val="En-tte"/>
    <w:uiPriority w:val="99"/>
    <w:rsid w:val="00B76BE0"/>
  </w:style>
  <w:style w:type="paragraph" w:styleId="Pieddepage">
    <w:name w:val="footer"/>
    <w:basedOn w:val="Normal"/>
    <w:link w:val="PieddepageCar"/>
    <w:uiPriority w:val="99"/>
    <w:unhideWhenUsed/>
    <w:rsid w:val="00B76BE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76BE0"/>
  </w:style>
  <w:style w:type="paragraph" w:customStyle="1" w:styleId="Titrepartie">
    <w:name w:val="Titre partie"/>
    <w:basedOn w:val="Paragraphedeliste"/>
    <w:link w:val="TitrepartieCar"/>
    <w:qFormat/>
    <w:rsid w:val="00DF0485"/>
    <w:pPr>
      <w:numPr>
        <w:numId w:val="26"/>
      </w:numPr>
      <w:jc w:val="both"/>
    </w:pPr>
    <w:rPr>
      <w:rFonts w:ascii="Verdana" w:hAnsi="Verdana" w:cs="Calibri"/>
      <w:b/>
      <w:bCs/>
      <w:color w:val="0070C0"/>
      <w:szCs w:val="20"/>
    </w:rPr>
  </w:style>
  <w:style w:type="character" w:customStyle="1" w:styleId="TitrepartieCar">
    <w:name w:val="Titre partie Car"/>
    <w:basedOn w:val="Policepardfaut"/>
    <w:link w:val="Titrepartie"/>
    <w:rsid w:val="00DF0485"/>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DF0485"/>
    <w:pPr>
      <w:numPr>
        <w:ilvl w:val="1"/>
        <w:numId w:val="26"/>
      </w:numPr>
      <w:tabs>
        <w:tab w:val="num" w:pos="360"/>
      </w:tabs>
      <w:ind w:left="1080" w:firstLine="0"/>
      <w:jc w:val="both"/>
    </w:pPr>
    <w:rPr>
      <w:rFonts w:ascii="Verdana" w:hAnsi="Verdana" w:cs="Calibri"/>
      <w:color w:val="0070C0"/>
      <w:sz w:val="20"/>
      <w:szCs w:val="20"/>
    </w:rPr>
  </w:style>
  <w:style w:type="character" w:customStyle="1" w:styleId="cf01">
    <w:name w:val="cf01"/>
    <w:basedOn w:val="Policepardfaut"/>
    <w:rsid w:val="001F0B0C"/>
    <w:rPr>
      <w:rFonts w:ascii="Segoe UI" w:hAnsi="Segoe UI" w:cs="Segoe UI" w:hint="default"/>
      <w:sz w:val="18"/>
      <w:szCs w:val="18"/>
    </w:rPr>
  </w:style>
  <w:style w:type="character" w:customStyle="1" w:styleId="Sous-partie2Car">
    <w:name w:val="Sous-partie 2 Car"/>
    <w:basedOn w:val="Policepardfaut"/>
    <w:link w:val="Sous-partie2"/>
    <w:rsid w:val="001D60E2"/>
    <w:rPr>
      <w:rFonts w:ascii="Verdana" w:hAnsi="Verdana" w:cs="Calibri"/>
      <w:color w:val="0070C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3ADB-4D45-4ECB-8E73-CC941532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5026</Words>
  <Characters>27649</Characters>
  <Application>Microsoft Office Word</Application>
  <DocSecurity>0</DocSecurity>
  <Lines>230</Lines>
  <Paragraphs>65</Paragraphs>
  <ScaleCrop>false</ScaleCrop>
  <Company/>
  <LinksUpToDate>false</LinksUpToDate>
  <CharactersWithSpaces>32610</CharactersWithSpaces>
  <SharedDoc>false</SharedDoc>
  <HLinks>
    <vt:vector size="24" baseType="variant">
      <vt:variant>
        <vt:i4>1966129</vt:i4>
      </vt:variant>
      <vt:variant>
        <vt:i4>20</vt:i4>
      </vt:variant>
      <vt:variant>
        <vt:i4>0</vt:i4>
      </vt:variant>
      <vt:variant>
        <vt:i4>5</vt:i4>
      </vt:variant>
      <vt:variant>
        <vt:lpwstr/>
      </vt:variant>
      <vt:variant>
        <vt:lpwstr>_Toc148088053</vt:lpwstr>
      </vt:variant>
      <vt:variant>
        <vt:i4>1966129</vt:i4>
      </vt:variant>
      <vt:variant>
        <vt:i4>14</vt:i4>
      </vt:variant>
      <vt:variant>
        <vt:i4>0</vt:i4>
      </vt:variant>
      <vt:variant>
        <vt:i4>5</vt:i4>
      </vt:variant>
      <vt:variant>
        <vt:lpwstr/>
      </vt:variant>
      <vt:variant>
        <vt:lpwstr>_Toc148088052</vt:lpwstr>
      </vt:variant>
      <vt:variant>
        <vt:i4>1966129</vt:i4>
      </vt:variant>
      <vt:variant>
        <vt:i4>8</vt:i4>
      </vt:variant>
      <vt:variant>
        <vt:i4>0</vt:i4>
      </vt:variant>
      <vt:variant>
        <vt:i4>5</vt:i4>
      </vt:variant>
      <vt:variant>
        <vt:lpwstr/>
      </vt:variant>
      <vt:variant>
        <vt:lpwstr>_Toc148088051</vt:lpwstr>
      </vt:variant>
      <vt:variant>
        <vt:i4>1966129</vt:i4>
      </vt:variant>
      <vt:variant>
        <vt:i4>2</vt:i4>
      </vt:variant>
      <vt:variant>
        <vt:i4>0</vt:i4>
      </vt:variant>
      <vt:variant>
        <vt:i4>5</vt:i4>
      </vt:variant>
      <vt:variant>
        <vt:lpwstr/>
      </vt:variant>
      <vt:variant>
        <vt:lpwstr>_Toc148088050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cp:revision>
  <cp:lastPrinted>2023-11-17T16:55:00Z</cp:lastPrinted>
  <dcterms:created xsi:type="dcterms:W3CDTF">2024-04-16T05:27:00Z</dcterms:created>
  <dcterms:modified xsi:type="dcterms:W3CDTF">2024-04-16T05:27:00Z</dcterms:modified>
</cp:coreProperties>
</file>