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1890" w14:textId="78039DB8" w:rsidR="002D28E5" w:rsidRPr="00B76BE0" w:rsidRDefault="00293A06" w:rsidP="00B76BE0">
      <w:pPr>
        <w:jc w:val="center"/>
        <w:rPr>
          <w:rFonts w:ascii="Verdana" w:hAnsi="Verdana"/>
          <w:b/>
          <w:bCs/>
          <w:sz w:val="24"/>
          <w:szCs w:val="24"/>
        </w:rPr>
      </w:pPr>
      <w:r w:rsidRPr="00B76BE0">
        <w:rPr>
          <w:rFonts w:ascii="Verdana" w:hAnsi="Verdana"/>
          <w:b/>
          <w:bCs/>
          <w:sz w:val="24"/>
          <w:szCs w:val="24"/>
        </w:rPr>
        <w:t xml:space="preserve">Suivi des décisions du </w:t>
      </w:r>
      <w:r w:rsidR="0014552D">
        <w:rPr>
          <w:rFonts w:ascii="Verdana" w:hAnsi="Verdana"/>
          <w:b/>
          <w:bCs/>
          <w:sz w:val="24"/>
          <w:szCs w:val="24"/>
        </w:rPr>
        <w:t>37</w:t>
      </w:r>
      <w:r w:rsidR="0014552D" w:rsidRPr="0014552D">
        <w:rPr>
          <w:rFonts w:ascii="Verdana" w:hAnsi="Verdana"/>
          <w:b/>
          <w:bCs/>
          <w:sz w:val="24"/>
          <w:szCs w:val="24"/>
          <w:vertAlign w:val="superscript"/>
        </w:rPr>
        <w:t>e</w:t>
      </w:r>
      <w:r w:rsidR="0014552D">
        <w:rPr>
          <w:rFonts w:ascii="Verdana" w:hAnsi="Verdana"/>
          <w:b/>
          <w:bCs/>
          <w:sz w:val="24"/>
          <w:szCs w:val="24"/>
        </w:rPr>
        <w:t xml:space="preserve"> Conseil des ministres de la COI du 19 mai 2023</w:t>
      </w:r>
    </w:p>
    <w:p w14:paraId="0481F6CF" w14:textId="3CF4D372" w:rsidR="00B76BE0" w:rsidRDefault="00D61C98" w:rsidP="00D61C98">
      <w:pPr>
        <w:pBdr>
          <w:bottom w:val="single" w:sz="4" w:space="1" w:color="0070C0"/>
        </w:pBdr>
        <w:jc w:val="right"/>
      </w:pPr>
      <w:r w:rsidRPr="00D61C98">
        <w:rPr>
          <w:highlight w:val="yellow"/>
        </w:rPr>
        <w:t>Fiche 1.1. a)</w:t>
      </w:r>
    </w:p>
    <w:p w14:paraId="25CE2642" w14:textId="77777777" w:rsidR="00293A06" w:rsidRDefault="00293A06" w:rsidP="00D61C98">
      <w:pPr>
        <w:jc w:val="right"/>
      </w:pPr>
    </w:p>
    <w:p w14:paraId="0A5E8585" w14:textId="77777777" w:rsidR="00293A06" w:rsidRDefault="00293A06"/>
    <w:p w14:paraId="71D75869" w14:textId="77777777" w:rsidR="00293A06" w:rsidRDefault="00293A06"/>
    <w:p w14:paraId="3A11FF09" w14:textId="77777777" w:rsidR="00293A06" w:rsidRDefault="00293A06"/>
    <w:p w14:paraId="2A4A2336" w14:textId="77777777" w:rsidR="00293A06" w:rsidRDefault="00293A06"/>
    <w:sdt>
      <w:sdtPr>
        <w:rPr>
          <w:rFonts w:asciiTheme="minorHAnsi" w:eastAsiaTheme="minorEastAsia" w:hAnsiTheme="minorHAnsi" w:cstheme="minorBidi"/>
          <w:color w:val="auto"/>
          <w:kern w:val="2"/>
          <w:sz w:val="22"/>
          <w:szCs w:val="22"/>
          <w:lang w:eastAsia="en-US"/>
          <w14:ligatures w14:val="standardContextual"/>
        </w:rPr>
        <w:id w:val="-484475495"/>
        <w:docPartObj>
          <w:docPartGallery w:val="Table of Contents"/>
          <w:docPartUnique/>
        </w:docPartObj>
      </w:sdtPr>
      <w:sdtEndPr>
        <w:rPr>
          <w:b/>
          <w:bCs/>
        </w:rPr>
      </w:sdtEndPr>
      <w:sdtContent>
        <w:p w14:paraId="4BF230AE" w14:textId="721ADEC2" w:rsidR="00B76BE0" w:rsidRDefault="00B76BE0">
          <w:pPr>
            <w:pStyle w:val="En-ttedetabledesmatires"/>
          </w:pPr>
          <w:r>
            <w:t>Table des matières</w:t>
          </w:r>
        </w:p>
        <w:p w14:paraId="6F32270B" w14:textId="3B06494A" w:rsidR="004700EF" w:rsidRDefault="00B76BE0">
          <w:pPr>
            <w:pStyle w:val="TM2"/>
            <w:tabs>
              <w:tab w:val="right" w:leader="dot" w:pos="13948"/>
            </w:tabs>
            <w:rPr>
              <w:rFonts w:eastAsiaTheme="minorEastAsia"/>
              <w:noProof/>
              <w:lang w:eastAsia="fr-FR"/>
            </w:rPr>
          </w:pPr>
          <w:r>
            <w:fldChar w:fldCharType="begin"/>
          </w:r>
          <w:r>
            <w:instrText xml:space="preserve"> TOC \o "1-3" \h \z \u </w:instrText>
          </w:r>
          <w:r>
            <w:fldChar w:fldCharType="separate"/>
          </w:r>
          <w:hyperlink w:anchor="_Toc148092199" w:history="1">
            <w:r w:rsidR="004700EF" w:rsidRPr="00D025C6">
              <w:rPr>
                <w:rStyle w:val="Lienhypertexte"/>
                <w:rFonts w:ascii="Verdana" w:hAnsi="Verdana"/>
                <w:b/>
                <w:bCs/>
                <w:noProof/>
              </w:rPr>
              <w:t>Affaires institutionnelles</w:t>
            </w:r>
            <w:r w:rsidR="004700EF">
              <w:rPr>
                <w:noProof/>
                <w:webHidden/>
              </w:rPr>
              <w:tab/>
            </w:r>
            <w:r w:rsidR="004700EF">
              <w:rPr>
                <w:noProof/>
                <w:webHidden/>
              </w:rPr>
              <w:fldChar w:fldCharType="begin"/>
            </w:r>
            <w:r w:rsidR="004700EF">
              <w:rPr>
                <w:noProof/>
                <w:webHidden/>
              </w:rPr>
              <w:instrText xml:space="preserve"> PAGEREF _Toc148092199 \h </w:instrText>
            </w:r>
            <w:r w:rsidR="004700EF">
              <w:rPr>
                <w:noProof/>
                <w:webHidden/>
              </w:rPr>
            </w:r>
            <w:r w:rsidR="004700EF">
              <w:rPr>
                <w:noProof/>
                <w:webHidden/>
              </w:rPr>
              <w:fldChar w:fldCharType="separate"/>
            </w:r>
            <w:r w:rsidR="005644AF">
              <w:rPr>
                <w:noProof/>
                <w:webHidden/>
              </w:rPr>
              <w:t>2</w:t>
            </w:r>
            <w:r w:rsidR="004700EF">
              <w:rPr>
                <w:noProof/>
                <w:webHidden/>
              </w:rPr>
              <w:fldChar w:fldCharType="end"/>
            </w:r>
          </w:hyperlink>
        </w:p>
        <w:p w14:paraId="7210B6AC" w14:textId="3553243C" w:rsidR="004700EF" w:rsidRDefault="0084157E">
          <w:pPr>
            <w:pStyle w:val="TM2"/>
            <w:tabs>
              <w:tab w:val="right" w:leader="dot" w:pos="13948"/>
            </w:tabs>
            <w:rPr>
              <w:rFonts w:eastAsiaTheme="minorEastAsia"/>
              <w:noProof/>
              <w:lang w:eastAsia="fr-FR"/>
            </w:rPr>
          </w:pPr>
          <w:hyperlink w:anchor="_Toc148092200" w:history="1">
            <w:r w:rsidR="004700EF" w:rsidRPr="00D025C6">
              <w:rPr>
                <w:rStyle w:val="Lienhypertexte"/>
                <w:rFonts w:ascii="Verdana" w:hAnsi="Verdana"/>
                <w:b/>
                <w:bCs/>
                <w:noProof/>
              </w:rPr>
              <w:t>Domaines d’intervention</w:t>
            </w:r>
            <w:r w:rsidR="004700EF">
              <w:rPr>
                <w:noProof/>
                <w:webHidden/>
              </w:rPr>
              <w:tab/>
            </w:r>
            <w:r w:rsidR="004700EF">
              <w:rPr>
                <w:noProof/>
                <w:webHidden/>
              </w:rPr>
              <w:fldChar w:fldCharType="begin"/>
            </w:r>
            <w:r w:rsidR="004700EF">
              <w:rPr>
                <w:noProof/>
                <w:webHidden/>
              </w:rPr>
              <w:instrText xml:space="preserve"> PAGEREF _Toc148092200 \h </w:instrText>
            </w:r>
            <w:r w:rsidR="004700EF">
              <w:rPr>
                <w:noProof/>
                <w:webHidden/>
              </w:rPr>
            </w:r>
            <w:r w:rsidR="004700EF">
              <w:rPr>
                <w:noProof/>
                <w:webHidden/>
              </w:rPr>
              <w:fldChar w:fldCharType="separate"/>
            </w:r>
            <w:r w:rsidR="005644AF">
              <w:rPr>
                <w:noProof/>
                <w:webHidden/>
              </w:rPr>
              <w:t>4</w:t>
            </w:r>
            <w:r w:rsidR="004700EF">
              <w:rPr>
                <w:noProof/>
                <w:webHidden/>
              </w:rPr>
              <w:fldChar w:fldCharType="end"/>
            </w:r>
          </w:hyperlink>
        </w:p>
        <w:p w14:paraId="063CD10F" w14:textId="488F63C7" w:rsidR="004700EF" w:rsidRDefault="0084157E">
          <w:pPr>
            <w:pStyle w:val="TM2"/>
            <w:tabs>
              <w:tab w:val="right" w:leader="dot" w:pos="13948"/>
            </w:tabs>
            <w:rPr>
              <w:rFonts w:eastAsiaTheme="minorEastAsia"/>
              <w:noProof/>
              <w:lang w:eastAsia="fr-FR"/>
            </w:rPr>
          </w:pPr>
          <w:hyperlink w:anchor="_Toc148092201" w:history="1">
            <w:r w:rsidR="004700EF" w:rsidRPr="00D025C6">
              <w:rPr>
                <w:rStyle w:val="Lienhypertexte"/>
                <w:rFonts w:ascii="Verdana" w:hAnsi="Verdana"/>
                <w:b/>
                <w:bCs/>
                <w:noProof/>
              </w:rPr>
              <w:t>Administration et finance</w:t>
            </w:r>
            <w:r w:rsidR="004700EF">
              <w:rPr>
                <w:noProof/>
                <w:webHidden/>
              </w:rPr>
              <w:tab/>
            </w:r>
            <w:r w:rsidR="004700EF">
              <w:rPr>
                <w:noProof/>
                <w:webHidden/>
              </w:rPr>
              <w:fldChar w:fldCharType="begin"/>
            </w:r>
            <w:r w:rsidR="004700EF">
              <w:rPr>
                <w:noProof/>
                <w:webHidden/>
              </w:rPr>
              <w:instrText xml:space="preserve"> PAGEREF _Toc148092201 \h </w:instrText>
            </w:r>
            <w:r w:rsidR="004700EF">
              <w:rPr>
                <w:noProof/>
                <w:webHidden/>
              </w:rPr>
            </w:r>
            <w:r w:rsidR="004700EF">
              <w:rPr>
                <w:noProof/>
                <w:webHidden/>
              </w:rPr>
              <w:fldChar w:fldCharType="separate"/>
            </w:r>
            <w:r w:rsidR="005644AF">
              <w:rPr>
                <w:noProof/>
                <w:webHidden/>
              </w:rPr>
              <w:t>19</w:t>
            </w:r>
            <w:r w:rsidR="004700EF">
              <w:rPr>
                <w:noProof/>
                <w:webHidden/>
              </w:rPr>
              <w:fldChar w:fldCharType="end"/>
            </w:r>
          </w:hyperlink>
        </w:p>
        <w:p w14:paraId="662CE791" w14:textId="036F6261" w:rsidR="004700EF" w:rsidRDefault="0084157E">
          <w:pPr>
            <w:pStyle w:val="TM2"/>
            <w:tabs>
              <w:tab w:val="right" w:leader="dot" w:pos="13948"/>
            </w:tabs>
            <w:rPr>
              <w:rFonts w:eastAsiaTheme="minorEastAsia"/>
              <w:noProof/>
              <w:lang w:eastAsia="fr-FR"/>
            </w:rPr>
          </w:pPr>
          <w:hyperlink w:anchor="_Toc148092202" w:history="1">
            <w:r w:rsidR="004700EF" w:rsidRPr="00D025C6">
              <w:rPr>
                <w:rStyle w:val="Lienhypertexte"/>
                <w:rFonts w:ascii="Verdana" w:hAnsi="Verdana"/>
                <w:b/>
                <w:bCs/>
                <w:noProof/>
              </w:rPr>
              <w:t>Passation à la présidence du Conseil des ministres de la COI</w:t>
            </w:r>
            <w:r w:rsidR="004700EF">
              <w:rPr>
                <w:noProof/>
                <w:webHidden/>
              </w:rPr>
              <w:tab/>
            </w:r>
            <w:r w:rsidR="004700EF">
              <w:rPr>
                <w:noProof/>
                <w:webHidden/>
              </w:rPr>
              <w:fldChar w:fldCharType="begin"/>
            </w:r>
            <w:r w:rsidR="004700EF">
              <w:rPr>
                <w:noProof/>
                <w:webHidden/>
              </w:rPr>
              <w:instrText xml:space="preserve"> PAGEREF _Toc148092202 \h </w:instrText>
            </w:r>
            <w:r w:rsidR="004700EF">
              <w:rPr>
                <w:noProof/>
                <w:webHidden/>
              </w:rPr>
            </w:r>
            <w:r w:rsidR="004700EF">
              <w:rPr>
                <w:noProof/>
                <w:webHidden/>
              </w:rPr>
              <w:fldChar w:fldCharType="separate"/>
            </w:r>
            <w:r w:rsidR="005644AF">
              <w:rPr>
                <w:noProof/>
                <w:webHidden/>
              </w:rPr>
              <w:t>20</w:t>
            </w:r>
            <w:r w:rsidR="004700EF">
              <w:rPr>
                <w:noProof/>
                <w:webHidden/>
              </w:rPr>
              <w:fldChar w:fldCharType="end"/>
            </w:r>
          </w:hyperlink>
        </w:p>
        <w:p w14:paraId="254257E2" w14:textId="63BC8B94" w:rsidR="00B76BE0" w:rsidRDefault="00B76BE0">
          <w:r>
            <w:rPr>
              <w:b/>
              <w:bCs/>
            </w:rPr>
            <w:fldChar w:fldCharType="end"/>
          </w:r>
        </w:p>
      </w:sdtContent>
    </w:sdt>
    <w:p w14:paraId="1CD05282" w14:textId="77777777" w:rsidR="00293A06" w:rsidRDefault="00293A06">
      <w:pPr>
        <w:sectPr w:rsidR="00293A06" w:rsidSect="007120FC">
          <w:headerReference w:type="default" r:id="rId8"/>
          <w:footerReference w:type="default" r:id="rId9"/>
          <w:pgSz w:w="16838" w:h="11906" w:orient="landscape"/>
          <w:pgMar w:top="2127" w:right="1440" w:bottom="1440" w:left="1440" w:header="708" w:footer="708" w:gutter="0"/>
          <w:cols w:space="708"/>
          <w:docGrid w:linePitch="360"/>
        </w:sectPr>
      </w:pPr>
    </w:p>
    <w:tbl>
      <w:tblPr>
        <w:tblStyle w:val="Grilledutableau"/>
        <w:tblW w:w="0" w:type="auto"/>
        <w:tblInd w:w="-572" w:type="dxa"/>
        <w:tblLook w:val="04A0" w:firstRow="1" w:lastRow="0" w:firstColumn="1" w:lastColumn="0" w:noHBand="0" w:noVBand="1"/>
      </w:tblPr>
      <w:tblGrid>
        <w:gridCol w:w="5529"/>
        <w:gridCol w:w="5103"/>
        <w:gridCol w:w="1984"/>
        <w:gridCol w:w="1904"/>
      </w:tblGrid>
      <w:tr w:rsidR="00293A06" w:rsidRPr="00B76BE0" w14:paraId="7A6DF8CD" w14:textId="77777777" w:rsidTr="42DBEA26">
        <w:trPr>
          <w:tblHeader/>
        </w:trPr>
        <w:tc>
          <w:tcPr>
            <w:tcW w:w="5529" w:type="dxa"/>
            <w:shd w:val="clear" w:color="auto" w:fill="BDD6EE" w:themeFill="accent5" w:themeFillTint="66"/>
          </w:tcPr>
          <w:p w14:paraId="0CAC22F7" w14:textId="04D0EA56" w:rsidR="00293A06" w:rsidRPr="00B76BE0" w:rsidRDefault="00293A06" w:rsidP="00293A06">
            <w:pPr>
              <w:jc w:val="center"/>
              <w:rPr>
                <w:rFonts w:ascii="Verdana" w:hAnsi="Verdana"/>
                <w:b/>
                <w:bCs/>
                <w:sz w:val="20"/>
                <w:szCs w:val="20"/>
              </w:rPr>
            </w:pPr>
            <w:r w:rsidRPr="00B76BE0">
              <w:rPr>
                <w:rFonts w:ascii="Verdana" w:hAnsi="Verdana"/>
                <w:b/>
                <w:bCs/>
                <w:sz w:val="20"/>
                <w:szCs w:val="20"/>
              </w:rPr>
              <w:lastRenderedPageBreak/>
              <w:t>Décision du COPL</w:t>
            </w:r>
          </w:p>
        </w:tc>
        <w:tc>
          <w:tcPr>
            <w:tcW w:w="5103" w:type="dxa"/>
            <w:shd w:val="clear" w:color="auto" w:fill="BDD6EE" w:themeFill="accent5" w:themeFillTint="66"/>
          </w:tcPr>
          <w:p w14:paraId="42C60AFD" w14:textId="3D16582C" w:rsidR="00293A06" w:rsidRPr="00B76BE0" w:rsidRDefault="00293A06" w:rsidP="00293A06">
            <w:pPr>
              <w:jc w:val="center"/>
              <w:rPr>
                <w:rFonts w:ascii="Verdana" w:hAnsi="Verdana"/>
                <w:b/>
                <w:bCs/>
                <w:sz w:val="20"/>
                <w:szCs w:val="20"/>
              </w:rPr>
            </w:pPr>
            <w:r w:rsidRPr="1CB6CDDC">
              <w:rPr>
                <w:rFonts w:ascii="Verdana" w:hAnsi="Verdana"/>
                <w:b/>
                <w:bCs/>
                <w:sz w:val="20"/>
                <w:szCs w:val="20"/>
              </w:rPr>
              <w:t>Suivi – actions entreprises et/ou à entreprendre</w:t>
            </w:r>
          </w:p>
        </w:tc>
        <w:tc>
          <w:tcPr>
            <w:tcW w:w="1984" w:type="dxa"/>
            <w:shd w:val="clear" w:color="auto" w:fill="BDD6EE" w:themeFill="accent5" w:themeFillTint="66"/>
          </w:tcPr>
          <w:p w14:paraId="42A05AA9" w14:textId="53947B88" w:rsidR="00293A06" w:rsidRPr="00B76BE0" w:rsidRDefault="00293A06" w:rsidP="00293A06">
            <w:pPr>
              <w:jc w:val="center"/>
              <w:rPr>
                <w:rFonts w:ascii="Verdana" w:hAnsi="Verdana"/>
                <w:b/>
                <w:bCs/>
                <w:sz w:val="20"/>
                <w:szCs w:val="20"/>
              </w:rPr>
            </w:pPr>
            <w:r w:rsidRPr="00B76BE0">
              <w:rPr>
                <w:rFonts w:ascii="Verdana" w:hAnsi="Verdana"/>
                <w:b/>
                <w:bCs/>
                <w:sz w:val="20"/>
                <w:szCs w:val="20"/>
              </w:rPr>
              <w:t>Qui ?</w:t>
            </w:r>
          </w:p>
        </w:tc>
        <w:tc>
          <w:tcPr>
            <w:tcW w:w="1904" w:type="dxa"/>
            <w:shd w:val="clear" w:color="auto" w:fill="BDD6EE" w:themeFill="accent5" w:themeFillTint="66"/>
          </w:tcPr>
          <w:p w14:paraId="1CC2DB91" w14:textId="0A0B09B4" w:rsidR="00293A06" w:rsidRPr="00B76BE0" w:rsidRDefault="00B76BE0" w:rsidP="00293A06">
            <w:pPr>
              <w:jc w:val="center"/>
              <w:rPr>
                <w:rFonts w:ascii="Verdana" w:hAnsi="Verdana"/>
                <w:b/>
                <w:bCs/>
                <w:sz w:val="20"/>
                <w:szCs w:val="20"/>
              </w:rPr>
            </w:pPr>
            <w:r w:rsidRPr="00B76BE0">
              <w:rPr>
                <w:rFonts w:ascii="Verdana" w:hAnsi="Verdana"/>
                <w:b/>
                <w:bCs/>
                <w:sz w:val="20"/>
                <w:szCs w:val="20"/>
              </w:rPr>
              <w:t>Échéance</w:t>
            </w:r>
          </w:p>
        </w:tc>
      </w:tr>
      <w:tr w:rsidR="00293A06" w:rsidRPr="00B76BE0" w14:paraId="0B6ECD8A" w14:textId="77777777" w:rsidTr="42DBEA26">
        <w:tc>
          <w:tcPr>
            <w:tcW w:w="14520" w:type="dxa"/>
            <w:gridSpan w:val="4"/>
            <w:shd w:val="clear" w:color="auto" w:fill="ED7D31" w:themeFill="accent2"/>
          </w:tcPr>
          <w:p w14:paraId="34E9E123" w14:textId="26E8E654" w:rsidR="00293A06" w:rsidRPr="00B76BE0" w:rsidRDefault="00293A06" w:rsidP="00B76BE0">
            <w:pPr>
              <w:pStyle w:val="Titre2"/>
              <w:rPr>
                <w:rFonts w:ascii="Verdana" w:hAnsi="Verdana"/>
                <w:b/>
                <w:bCs/>
                <w:sz w:val="20"/>
                <w:szCs w:val="20"/>
              </w:rPr>
            </w:pPr>
            <w:bookmarkStart w:id="0" w:name="_Toc148092199"/>
            <w:r w:rsidRPr="00B76BE0">
              <w:rPr>
                <w:rFonts w:ascii="Verdana" w:hAnsi="Verdana"/>
                <w:b/>
                <w:bCs/>
                <w:color w:val="FFFFFF" w:themeColor="background1"/>
                <w:sz w:val="20"/>
                <w:szCs w:val="20"/>
              </w:rPr>
              <w:t>Affaires institutionnelles</w:t>
            </w:r>
            <w:bookmarkEnd w:id="0"/>
          </w:p>
        </w:tc>
      </w:tr>
      <w:tr w:rsidR="00293A06" w:rsidRPr="00B76BE0" w14:paraId="4991FA7A" w14:textId="77777777" w:rsidTr="42DBEA26">
        <w:tc>
          <w:tcPr>
            <w:tcW w:w="5529" w:type="dxa"/>
          </w:tcPr>
          <w:p w14:paraId="549EC0F0" w14:textId="1FF8026C" w:rsidR="00293A06" w:rsidRPr="00B76BE0" w:rsidRDefault="00293A06">
            <w:pPr>
              <w:rPr>
                <w:rFonts w:ascii="Verdana" w:hAnsi="Verdana"/>
                <w:b/>
                <w:bCs/>
                <w:sz w:val="20"/>
                <w:szCs w:val="20"/>
              </w:rPr>
            </w:pPr>
            <w:r w:rsidRPr="00B76BE0">
              <w:rPr>
                <w:rFonts w:ascii="Verdana" w:hAnsi="Verdana"/>
                <w:b/>
                <w:bCs/>
                <w:sz w:val="20"/>
                <w:szCs w:val="20"/>
              </w:rPr>
              <w:t>Décision 1 – PDS</w:t>
            </w:r>
          </w:p>
          <w:p w14:paraId="0698783A" w14:textId="77777777" w:rsidR="004C708C" w:rsidRPr="001128E2" w:rsidRDefault="004C708C" w:rsidP="004C708C">
            <w:pPr>
              <w:jc w:val="both"/>
              <w:rPr>
                <w:rFonts w:ascii="Verdana" w:eastAsia="Verdana" w:hAnsi="Verdana" w:cs="Verdana"/>
                <w:bCs/>
                <w:sz w:val="20"/>
                <w:szCs w:val="20"/>
              </w:rPr>
            </w:pPr>
            <w:r w:rsidRPr="001128E2">
              <w:rPr>
                <w:rFonts w:ascii="Verdana" w:eastAsia="Verdana" w:hAnsi="Verdana" w:cs="Verdana"/>
                <w:bCs/>
                <w:sz w:val="20"/>
                <w:szCs w:val="20"/>
              </w:rPr>
              <w:t xml:space="preserve">Le Conseil des ministres adopte le Plan de développement stratégique de la COI 2023-2033 et demande au Secrétariat général de prendre les dispositions nécessaires pour sa mise en </w:t>
            </w:r>
            <w:r w:rsidRPr="00615465">
              <w:rPr>
                <w:rFonts w:ascii="Verdana" w:eastAsia="Verdana" w:hAnsi="Verdana" w:cs="Verdana"/>
                <w:bCs/>
                <w:sz w:val="20"/>
                <w:szCs w:val="20"/>
              </w:rPr>
              <w:t xml:space="preserve">œuvre </w:t>
            </w:r>
            <w:r w:rsidRPr="00615465">
              <w:rPr>
                <w:rStyle w:val="cf01"/>
                <w:rFonts w:ascii="Verdana" w:hAnsi="Verdana"/>
                <w:color w:val="auto"/>
                <w:sz w:val="20"/>
                <w:szCs w:val="20"/>
              </w:rPr>
              <w:t>y compris une étude sur les modalités d’appui de la COI au renforcement des échanges économiques intrarégionaux.</w:t>
            </w:r>
            <w:r w:rsidRPr="00615465">
              <w:rPr>
                <w:rFonts w:ascii="Verdana" w:eastAsia="Verdana" w:hAnsi="Verdana" w:cs="Verdana"/>
                <w:bCs/>
                <w:sz w:val="20"/>
                <w:szCs w:val="20"/>
              </w:rPr>
              <w:t xml:space="preserve"> </w:t>
            </w:r>
          </w:p>
          <w:p w14:paraId="34CFE819" w14:textId="115F0D93" w:rsidR="00293A06" w:rsidRPr="00B76BE0" w:rsidRDefault="00293A06">
            <w:pPr>
              <w:rPr>
                <w:rFonts w:ascii="Verdana" w:hAnsi="Verdana"/>
                <w:sz w:val="20"/>
                <w:szCs w:val="20"/>
              </w:rPr>
            </w:pPr>
          </w:p>
        </w:tc>
        <w:tc>
          <w:tcPr>
            <w:tcW w:w="5103" w:type="dxa"/>
          </w:tcPr>
          <w:p w14:paraId="2707CD11" w14:textId="0B6DDBEB" w:rsidR="00293A06" w:rsidRPr="00B76BE0" w:rsidRDefault="6E332DCA">
            <w:pPr>
              <w:rPr>
                <w:rFonts w:ascii="Verdana" w:hAnsi="Verdana"/>
                <w:sz w:val="20"/>
                <w:szCs w:val="20"/>
              </w:rPr>
            </w:pPr>
            <w:r w:rsidRPr="000A2CDE">
              <w:rPr>
                <w:rFonts w:ascii="Verdana" w:hAnsi="Verdana"/>
                <w:sz w:val="20"/>
                <w:szCs w:val="20"/>
              </w:rPr>
              <w:t>Avec l’appui apporté par le subvention COI-Horizon 2030</w:t>
            </w:r>
            <w:r w:rsidR="004A4399">
              <w:rPr>
                <w:rFonts w:ascii="Verdana" w:hAnsi="Verdana"/>
                <w:sz w:val="20"/>
                <w:szCs w:val="20"/>
              </w:rPr>
              <w:t>,</w:t>
            </w:r>
            <w:r w:rsidR="3E7F8C93" w:rsidRPr="000A2CDE">
              <w:rPr>
                <w:rFonts w:ascii="Verdana" w:hAnsi="Verdana"/>
                <w:sz w:val="20"/>
                <w:szCs w:val="20"/>
              </w:rPr>
              <w:t xml:space="preserve"> </w:t>
            </w:r>
            <w:r w:rsidR="003A514E">
              <w:rPr>
                <w:rFonts w:ascii="Verdana" w:hAnsi="Verdana"/>
                <w:sz w:val="20"/>
                <w:szCs w:val="20"/>
              </w:rPr>
              <w:t xml:space="preserve">non seulement </w:t>
            </w:r>
            <w:r w:rsidR="3E7F8C93" w:rsidRPr="000A2CDE">
              <w:rPr>
                <w:rFonts w:ascii="Verdana" w:hAnsi="Verdana"/>
                <w:sz w:val="20"/>
                <w:szCs w:val="20"/>
              </w:rPr>
              <w:t xml:space="preserve">à la </w:t>
            </w:r>
            <w:r w:rsidR="00A8590F">
              <w:rPr>
                <w:rFonts w:ascii="Verdana" w:hAnsi="Verdana"/>
                <w:sz w:val="20"/>
                <w:szCs w:val="20"/>
              </w:rPr>
              <w:t xml:space="preserve">transformation </w:t>
            </w:r>
            <w:r w:rsidR="00CD1AF6">
              <w:rPr>
                <w:rFonts w:ascii="Verdana" w:hAnsi="Verdana"/>
                <w:sz w:val="20"/>
                <w:szCs w:val="20"/>
              </w:rPr>
              <w:t xml:space="preserve">organisationnelle de </w:t>
            </w:r>
            <w:r w:rsidR="007E5970">
              <w:rPr>
                <w:rFonts w:ascii="Verdana" w:hAnsi="Verdana"/>
                <w:sz w:val="20"/>
                <w:szCs w:val="20"/>
              </w:rPr>
              <w:t xml:space="preserve">la COI mais également </w:t>
            </w:r>
            <w:r w:rsidR="00051F76">
              <w:rPr>
                <w:rFonts w:ascii="Verdana" w:hAnsi="Verdana"/>
                <w:sz w:val="20"/>
                <w:szCs w:val="20"/>
              </w:rPr>
              <w:t xml:space="preserve">au démarrage </w:t>
            </w:r>
            <w:r w:rsidR="004A4399">
              <w:rPr>
                <w:rFonts w:ascii="Verdana" w:hAnsi="Verdana"/>
                <w:sz w:val="20"/>
                <w:szCs w:val="20"/>
              </w:rPr>
              <w:t>effectif</w:t>
            </w:r>
            <w:r w:rsidR="00051F76">
              <w:rPr>
                <w:rFonts w:ascii="Verdana" w:hAnsi="Verdana"/>
                <w:sz w:val="20"/>
                <w:szCs w:val="20"/>
              </w:rPr>
              <w:t xml:space="preserve"> </w:t>
            </w:r>
            <w:r w:rsidR="004A4399">
              <w:rPr>
                <w:rFonts w:ascii="Verdana" w:hAnsi="Verdana"/>
                <w:sz w:val="20"/>
                <w:szCs w:val="20"/>
              </w:rPr>
              <w:t xml:space="preserve">d’activités de son PDS 2023-2033, </w:t>
            </w:r>
            <w:r w:rsidR="00E7697A">
              <w:rPr>
                <w:rFonts w:ascii="Verdana" w:hAnsi="Verdana"/>
                <w:sz w:val="20"/>
                <w:szCs w:val="20"/>
              </w:rPr>
              <w:t xml:space="preserve">une expertise </w:t>
            </w:r>
            <w:r w:rsidR="00361095">
              <w:rPr>
                <w:rFonts w:ascii="Verdana" w:hAnsi="Verdana"/>
                <w:sz w:val="20"/>
                <w:szCs w:val="20"/>
              </w:rPr>
              <w:t>sera</w:t>
            </w:r>
            <w:r w:rsidR="00E7697A">
              <w:rPr>
                <w:rFonts w:ascii="Verdana" w:hAnsi="Verdana"/>
                <w:sz w:val="20"/>
                <w:szCs w:val="20"/>
              </w:rPr>
              <w:t xml:space="preserve"> mobilisée </w:t>
            </w:r>
            <w:r w:rsidR="002F2439">
              <w:rPr>
                <w:rFonts w:ascii="Verdana" w:hAnsi="Verdana"/>
                <w:sz w:val="20"/>
                <w:szCs w:val="20"/>
              </w:rPr>
              <w:t>par l</w:t>
            </w:r>
            <w:r w:rsidR="0016752F">
              <w:rPr>
                <w:rFonts w:ascii="Verdana" w:hAnsi="Verdana"/>
                <w:sz w:val="20"/>
                <w:szCs w:val="20"/>
              </w:rPr>
              <w:t>es recours à une consultance</w:t>
            </w:r>
            <w:r w:rsidR="00983261">
              <w:rPr>
                <w:b/>
                <w:bCs/>
                <w:kern w:val="0"/>
                <w:lang w:eastAsia="fr-FR"/>
                <w14:ligatures w14:val="none"/>
              </w:rPr>
              <w:t xml:space="preserve"> </w:t>
            </w:r>
            <w:r w:rsidR="00983261" w:rsidRPr="002B7F9E">
              <w:rPr>
                <w:kern w:val="0"/>
                <w:lang w:eastAsia="fr-FR"/>
                <w14:ligatures w14:val="none"/>
              </w:rPr>
              <w:t xml:space="preserve">en appui à l’élaboration du Plan d’Actions Prioritaires </w:t>
            </w:r>
            <w:r w:rsidR="00FC2F3A">
              <w:rPr>
                <w:kern w:val="0"/>
                <w:lang w:eastAsia="fr-FR"/>
                <w14:ligatures w14:val="none"/>
              </w:rPr>
              <w:t xml:space="preserve">quinquennal </w:t>
            </w:r>
            <w:r w:rsidR="00983261">
              <w:rPr>
                <w:kern w:val="0"/>
                <w:lang w:eastAsia="fr-FR"/>
                <w14:ligatures w14:val="none"/>
              </w:rPr>
              <w:t>dudit PDS</w:t>
            </w:r>
            <w:r w:rsidR="00443BB2">
              <w:rPr>
                <w:rFonts w:ascii="Verdana" w:hAnsi="Verdana"/>
                <w:sz w:val="20"/>
                <w:szCs w:val="20"/>
              </w:rPr>
              <w:t>. L</w:t>
            </w:r>
            <w:r w:rsidR="00FC2F3A">
              <w:rPr>
                <w:rFonts w:ascii="Verdana" w:hAnsi="Verdana"/>
                <w:sz w:val="20"/>
                <w:szCs w:val="20"/>
              </w:rPr>
              <w:t>a mission de co</w:t>
            </w:r>
            <w:r w:rsidR="00443BB2">
              <w:rPr>
                <w:rFonts w:ascii="Verdana" w:hAnsi="Verdana"/>
                <w:sz w:val="20"/>
                <w:szCs w:val="20"/>
              </w:rPr>
              <w:t>nsul</w:t>
            </w:r>
            <w:r w:rsidR="00CC6C84">
              <w:rPr>
                <w:rFonts w:ascii="Verdana" w:hAnsi="Verdana"/>
                <w:sz w:val="20"/>
                <w:szCs w:val="20"/>
              </w:rPr>
              <w:t>tan</w:t>
            </w:r>
            <w:r w:rsidR="00FC2F3A">
              <w:rPr>
                <w:rFonts w:ascii="Verdana" w:hAnsi="Verdana"/>
                <w:sz w:val="20"/>
                <w:szCs w:val="20"/>
              </w:rPr>
              <w:t>ce</w:t>
            </w:r>
            <w:r w:rsidR="00CC6C84">
              <w:rPr>
                <w:rFonts w:ascii="Verdana" w:hAnsi="Verdana"/>
                <w:sz w:val="20"/>
                <w:szCs w:val="20"/>
              </w:rPr>
              <w:t xml:space="preserve"> </w:t>
            </w:r>
            <w:r w:rsidR="00FC2F3A">
              <w:rPr>
                <w:rFonts w:ascii="Verdana" w:hAnsi="Verdana"/>
                <w:sz w:val="20"/>
                <w:szCs w:val="20"/>
              </w:rPr>
              <w:t xml:space="preserve">commencera dans les prochains jours et </w:t>
            </w:r>
            <w:r w:rsidR="00ED2D3F">
              <w:rPr>
                <w:rFonts w:ascii="Verdana" w:hAnsi="Verdana"/>
                <w:sz w:val="20"/>
                <w:szCs w:val="20"/>
              </w:rPr>
              <w:t>déterminera les modalités de mise en œuvre</w:t>
            </w:r>
            <w:r w:rsidR="00F05009">
              <w:rPr>
                <w:rFonts w:ascii="Verdana" w:hAnsi="Verdana"/>
                <w:sz w:val="20"/>
                <w:szCs w:val="20"/>
              </w:rPr>
              <w:t xml:space="preserve"> </w:t>
            </w:r>
            <w:proofErr w:type="gramStart"/>
            <w:r w:rsidR="00F05009">
              <w:rPr>
                <w:rFonts w:ascii="Verdana" w:hAnsi="Verdana"/>
                <w:sz w:val="20"/>
                <w:szCs w:val="20"/>
              </w:rPr>
              <w:t>des</w:t>
            </w:r>
            <w:r w:rsidR="00ED2D3F">
              <w:rPr>
                <w:rFonts w:ascii="Verdana" w:hAnsi="Verdana"/>
                <w:sz w:val="20"/>
                <w:szCs w:val="20"/>
              </w:rPr>
              <w:t xml:space="preserve">  priorités</w:t>
            </w:r>
            <w:proofErr w:type="gramEnd"/>
            <w:r w:rsidR="00ED2D3F">
              <w:rPr>
                <w:rFonts w:ascii="Verdana" w:hAnsi="Verdana"/>
                <w:sz w:val="20"/>
                <w:szCs w:val="20"/>
              </w:rPr>
              <w:t xml:space="preserve"> défini</w:t>
            </w:r>
            <w:r w:rsidR="00F05009">
              <w:rPr>
                <w:rFonts w:ascii="Verdana" w:hAnsi="Verdana"/>
                <w:sz w:val="20"/>
                <w:szCs w:val="20"/>
              </w:rPr>
              <w:t>e</w:t>
            </w:r>
            <w:r w:rsidR="00ED2D3F">
              <w:rPr>
                <w:rFonts w:ascii="Verdana" w:hAnsi="Verdana"/>
                <w:sz w:val="20"/>
                <w:szCs w:val="20"/>
              </w:rPr>
              <w:t xml:space="preserve">s </w:t>
            </w:r>
            <w:r w:rsidR="00D81806">
              <w:rPr>
                <w:rFonts w:ascii="Verdana" w:hAnsi="Verdana"/>
                <w:sz w:val="20"/>
                <w:szCs w:val="20"/>
              </w:rPr>
              <w:t>et envisagées par les Etats</w:t>
            </w:r>
            <w:r w:rsidR="00634B22">
              <w:rPr>
                <w:rFonts w:ascii="Verdana" w:hAnsi="Verdana"/>
                <w:sz w:val="20"/>
                <w:szCs w:val="20"/>
              </w:rPr>
              <w:t xml:space="preserve">, notamment concernant </w:t>
            </w:r>
            <w:r w:rsidR="00F05009">
              <w:rPr>
                <w:rFonts w:ascii="Verdana" w:hAnsi="Verdana"/>
                <w:sz w:val="20"/>
                <w:szCs w:val="20"/>
              </w:rPr>
              <w:t>le renforcement des échanges économiques intrarégionaux</w:t>
            </w:r>
            <w:r w:rsidR="00D81806">
              <w:rPr>
                <w:rFonts w:ascii="Verdana" w:hAnsi="Verdana"/>
                <w:sz w:val="20"/>
                <w:szCs w:val="20"/>
              </w:rPr>
              <w:t>.</w:t>
            </w:r>
          </w:p>
        </w:tc>
        <w:tc>
          <w:tcPr>
            <w:tcW w:w="1984" w:type="dxa"/>
          </w:tcPr>
          <w:p w14:paraId="082F6FB4" w14:textId="77777777" w:rsidR="00293A06" w:rsidRDefault="00FE7A0A">
            <w:pPr>
              <w:rPr>
                <w:rFonts w:ascii="Verdana" w:hAnsi="Verdana"/>
                <w:sz w:val="20"/>
                <w:szCs w:val="20"/>
              </w:rPr>
            </w:pPr>
            <w:r>
              <w:rPr>
                <w:rFonts w:ascii="Verdana" w:hAnsi="Verdana"/>
                <w:sz w:val="20"/>
                <w:szCs w:val="20"/>
              </w:rPr>
              <w:t>Direction</w:t>
            </w:r>
          </w:p>
          <w:p w14:paraId="7152D1AD" w14:textId="7071BF8F" w:rsidR="00967DCD" w:rsidRPr="00B76BE0" w:rsidRDefault="00967DCD">
            <w:pPr>
              <w:rPr>
                <w:rFonts w:ascii="Verdana" w:hAnsi="Verdana"/>
                <w:sz w:val="20"/>
                <w:szCs w:val="20"/>
              </w:rPr>
            </w:pPr>
            <w:r>
              <w:rPr>
                <w:rFonts w:ascii="Verdana" w:hAnsi="Verdana"/>
                <w:sz w:val="20"/>
                <w:szCs w:val="20"/>
              </w:rPr>
              <w:t>DI2</w:t>
            </w:r>
          </w:p>
        </w:tc>
        <w:tc>
          <w:tcPr>
            <w:tcW w:w="1904" w:type="dxa"/>
          </w:tcPr>
          <w:p w14:paraId="1142C526" w14:textId="77777777" w:rsidR="00293A06" w:rsidRPr="00B76BE0" w:rsidRDefault="00293A06">
            <w:pPr>
              <w:rPr>
                <w:rFonts w:ascii="Verdana" w:hAnsi="Verdana"/>
                <w:sz w:val="20"/>
                <w:szCs w:val="20"/>
              </w:rPr>
            </w:pPr>
          </w:p>
        </w:tc>
      </w:tr>
      <w:tr w:rsidR="00293A06" w:rsidRPr="00B76BE0" w14:paraId="2FD05F98" w14:textId="77777777" w:rsidTr="42DBEA26">
        <w:tc>
          <w:tcPr>
            <w:tcW w:w="5529" w:type="dxa"/>
          </w:tcPr>
          <w:p w14:paraId="347CAB96" w14:textId="77777777" w:rsidR="00293A06" w:rsidRPr="00B76BE0" w:rsidRDefault="00293A06">
            <w:pPr>
              <w:rPr>
                <w:rFonts w:ascii="Verdana" w:hAnsi="Verdana"/>
                <w:b/>
                <w:bCs/>
                <w:sz w:val="20"/>
                <w:szCs w:val="20"/>
              </w:rPr>
            </w:pPr>
            <w:r w:rsidRPr="00B76BE0">
              <w:rPr>
                <w:rFonts w:ascii="Verdana" w:hAnsi="Verdana"/>
                <w:b/>
                <w:bCs/>
                <w:sz w:val="20"/>
                <w:szCs w:val="20"/>
              </w:rPr>
              <w:t>Décision 2 – Renforcement du personnel</w:t>
            </w:r>
          </w:p>
          <w:p w14:paraId="415C552A" w14:textId="77777777" w:rsidR="00283638" w:rsidRPr="001128E2" w:rsidRDefault="00283638" w:rsidP="00283638">
            <w:pPr>
              <w:rPr>
                <w:rFonts w:ascii="Verdana" w:hAnsi="Verdana" w:cs="Arial"/>
                <w:sz w:val="20"/>
                <w:szCs w:val="20"/>
              </w:rPr>
            </w:pPr>
            <w:r w:rsidRPr="001128E2">
              <w:rPr>
                <w:rFonts w:ascii="Verdana" w:hAnsi="Verdana"/>
                <w:sz w:val="20"/>
                <w:szCs w:val="20"/>
              </w:rPr>
              <w:t xml:space="preserve">Le </w:t>
            </w:r>
            <w:r w:rsidRPr="001128E2">
              <w:rPr>
                <w:rFonts w:ascii="Verdana" w:hAnsi="Verdana" w:cs="Arial"/>
                <w:sz w:val="20"/>
                <w:szCs w:val="20"/>
              </w:rPr>
              <w:t xml:space="preserve">Conseil des ministres : </w:t>
            </w:r>
          </w:p>
          <w:p w14:paraId="0E3C08A6" w14:textId="77777777" w:rsidR="00283638" w:rsidRPr="001128E2" w:rsidRDefault="00283638" w:rsidP="00283638">
            <w:pPr>
              <w:pStyle w:val="Paragraphedeliste"/>
              <w:numPr>
                <w:ilvl w:val="0"/>
                <w:numId w:val="21"/>
              </w:numPr>
              <w:spacing w:after="120"/>
              <w:ind w:left="607" w:hanging="578"/>
              <w:contextualSpacing w:val="0"/>
              <w:jc w:val="both"/>
              <w:rPr>
                <w:rFonts w:ascii="Verdana" w:hAnsi="Verdana" w:cs="Arial"/>
                <w:sz w:val="20"/>
                <w:szCs w:val="20"/>
              </w:rPr>
            </w:pPr>
            <w:r w:rsidRPr="001128E2">
              <w:rPr>
                <w:rFonts w:ascii="Verdana" w:hAnsi="Verdana" w:cs="Arial"/>
                <w:sz w:val="20"/>
                <w:szCs w:val="20"/>
              </w:rPr>
              <w:t xml:space="preserve">Réitère son soutien au processus de renforcement des capacités du Secrétariat général ; </w:t>
            </w:r>
          </w:p>
          <w:p w14:paraId="04B866B6" w14:textId="77777777" w:rsidR="00283638" w:rsidRDefault="00283638" w:rsidP="00283638">
            <w:pPr>
              <w:pStyle w:val="Paragraphedeliste"/>
              <w:numPr>
                <w:ilvl w:val="0"/>
                <w:numId w:val="21"/>
              </w:numPr>
              <w:spacing w:after="120"/>
              <w:ind w:left="607" w:hanging="578"/>
              <w:contextualSpacing w:val="0"/>
              <w:jc w:val="both"/>
              <w:rPr>
                <w:rFonts w:ascii="Verdana" w:hAnsi="Verdana" w:cs="Arial"/>
                <w:sz w:val="20"/>
                <w:szCs w:val="20"/>
              </w:rPr>
            </w:pPr>
            <w:r w:rsidRPr="001128E2">
              <w:rPr>
                <w:rFonts w:ascii="Verdana" w:hAnsi="Verdana" w:cs="Arial"/>
                <w:sz w:val="20"/>
                <w:szCs w:val="20"/>
              </w:rPr>
              <w:t xml:space="preserve">Prend note des prévisions de croissance des contributions statutaires pour la prise en charge des nouveaux postes et la modernisation des outils de gestion ; </w:t>
            </w:r>
          </w:p>
          <w:p w14:paraId="0042F297" w14:textId="193AED90" w:rsidR="00934F28" w:rsidRPr="00283638" w:rsidRDefault="00283638" w:rsidP="00283638">
            <w:pPr>
              <w:pStyle w:val="Paragraphedeliste"/>
              <w:numPr>
                <w:ilvl w:val="0"/>
                <w:numId w:val="21"/>
              </w:numPr>
              <w:spacing w:after="120"/>
              <w:ind w:left="607" w:hanging="578"/>
              <w:contextualSpacing w:val="0"/>
              <w:jc w:val="both"/>
              <w:rPr>
                <w:rFonts w:ascii="Verdana" w:hAnsi="Verdana" w:cs="Arial"/>
                <w:sz w:val="20"/>
                <w:szCs w:val="20"/>
              </w:rPr>
            </w:pPr>
            <w:r w:rsidRPr="00283638">
              <w:rPr>
                <w:rFonts w:ascii="Verdana" w:hAnsi="Verdana" w:cs="Arial"/>
                <w:sz w:val="20"/>
                <w:szCs w:val="20"/>
              </w:rPr>
              <w:t>Demande au Secrétariat général de valoriser les contributions non-statutaires des États membres comme indiqué dans l’accord de méthode convenu avec les bailleurs, Union européenne et Agence française de développement, au 36</w:t>
            </w:r>
            <w:r w:rsidRPr="00283638">
              <w:rPr>
                <w:rFonts w:ascii="Verdana" w:hAnsi="Verdana" w:cs="Arial"/>
                <w:sz w:val="20"/>
                <w:szCs w:val="20"/>
                <w:vertAlign w:val="superscript"/>
              </w:rPr>
              <w:t>e</w:t>
            </w:r>
            <w:r w:rsidRPr="00283638">
              <w:rPr>
                <w:rFonts w:ascii="Verdana" w:hAnsi="Verdana" w:cs="Arial"/>
                <w:sz w:val="20"/>
                <w:szCs w:val="20"/>
              </w:rPr>
              <w:t xml:space="preserve"> Conseil des ministres. </w:t>
            </w:r>
          </w:p>
        </w:tc>
        <w:tc>
          <w:tcPr>
            <w:tcW w:w="5103" w:type="dxa"/>
          </w:tcPr>
          <w:p w14:paraId="17D4C141" w14:textId="53F03B35" w:rsidR="2F59FF2A" w:rsidRDefault="2F59FF2A" w:rsidP="6E33F9FE">
            <w:pPr>
              <w:rPr>
                <w:rFonts w:ascii="Verdana" w:hAnsi="Verdana"/>
                <w:sz w:val="20"/>
                <w:szCs w:val="20"/>
              </w:rPr>
            </w:pPr>
            <w:r w:rsidRPr="6E33F9FE">
              <w:rPr>
                <w:rFonts w:ascii="Verdana" w:hAnsi="Verdana"/>
                <w:sz w:val="20"/>
                <w:szCs w:val="20"/>
              </w:rPr>
              <w:t xml:space="preserve">Le projet de renforcement des capacités du secrétariat a été présenté au Comité des </w:t>
            </w:r>
            <w:proofErr w:type="spellStart"/>
            <w:r w:rsidRPr="6E33F9FE">
              <w:rPr>
                <w:rFonts w:ascii="Verdana" w:hAnsi="Verdana"/>
                <w:sz w:val="20"/>
                <w:szCs w:val="20"/>
              </w:rPr>
              <w:t>OPLs</w:t>
            </w:r>
            <w:proofErr w:type="spellEnd"/>
            <w:r w:rsidRPr="6E33F9FE">
              <w:rPr>
                <w:rFonts w:ascii="Verdana" w:hAnsi="Verdana"/>
                <w:sz w:val="20"/>
                <w:szCs w:val="20"/>
              </w:rPr>
              <w:t xml:space="preserve"> le 21 novembre 2023 et soumis au Conseil des ministres </w:t>
            </w:r>
            <w:r w:rsidR="2D375EB0" w:rsidRPr="6E33F9FE">
              <w:rPr>
                <w:rFonts w:ascii="Verdana" w:hAnsi="Verdana"/>
                <w:sz w:val="20"/>
                <w:szCs w:val="20"/>
              </w:rPr>
              <w:t>par procédure écrite.</w:t>
            </w:r>
          </w:p>
          <w:p w14:paraId="2F13532D" w14:textId="742F0A19" w:rsidR="6E33F9FE" w:rsidRDefault="6E33F9FE" w:rsidP="6E33F9FE">
            <w:pPr>
              <w:rPr>
                <w:rFonts w:ascii="Verdana" w:hAnsi="Verdana"/>
                <w:sz w:val="20"/>
                <w:szCs w:val="20"/>
              </w:rPr>
            </w:pPr>
          </w:p>
          <w:p w14:paraId="7FE04C43" w14:textId="6F332911" w:rsidR="5F3C4029" w:rsidRDefault="5F3C4029" w:rsidP="6E33F9FE">
            <w:pPr>
              <w:rPr>
                <w:rFonts w:ascii="Verdana" w:hAnsi="Verdana"/>
                <w:sz w:val="20"/>
                <w:szCs w:val="20"/>
              </w:rPr>
            </w:pPr>
            <w:r w:rsidRPr="6E33F9FE">
              <w:rPr>
                <w:rFonts w:ascii="Verdana" w:hAnsi="Verdana"/>
                <w:sz w:val="20"/>
                <w:szCs w:val="20"/>
              </w:rPr>
              <w:t xml:space="preserve">La prise en charge progressive des nouveaux postes interviendra </w:t>
            </w:r>
            <w:r w:rsidR="2C6353DA" w:rsidRPr="6E33F9FE">
              <w:rPr>
                <w:rFonts w:ascii="Verdana" w:hAnsi="Verdana"/>
                <w:sz w:val="20"/>
                <w:szCs w:val="20"/>
              </w:rPr>
              <w:t>dès 2025</w:t>
            </w:r>
            <w:r w:rsidRPr="6E33F9FE">
              <w:rPr>
                <w:rFonts w:ascii="Verdana" w:hAnsi="Verdana"/>
                <w:sz w:val="20"/>
                <w:szCs w:val="20"/>
              </w:rPr>
              <w:t xml:space="preserve"> par les Etats membres </w:t>
            </w:r>
            <w:r w:rsidR="31B74FD5" w:rsidRPr="6E33F9FE">
              <w:rPr>
                <w:rFonts w:ascii="Verdana" w:hAnsi="Verdana"/>
                <w:sz w:val="20"/>
                <w:szCs w:val="20"/>
              </w:rPr>
              <w:t xml:space="preserve">au </w:t>
            </w:r>
            <w:r w:rsidRPr="6E33F9FE">
              <w:rPr>
                <w:rFonts w:ascii="Verdana" w:hAnsi="Verdana"/>
                <w:sz w:val="20"/>
                <w:szCs w:val="20"/>
              </w:rPr>
              <w:t xml:space="preserve">vu </w:t>
            </w:r>
            <w:r w:rsidR="32C9EA3E" w:rsidRPr="6E33F9FE">
              <w:rPr>
                <w:rFonts w:ascii="Verdana" w:hAnsi="Verdana"/>
                <w:sz w:val="20"/>
                <w:szCs w:val="20"/>
              </w:rPr>
              <w:t>du</w:t>
            </w:r>
            <w:r w:rsidRPr="6E33F9FE">
              <w:rPr>
                <w:rFonts w:ascii="Verdana" w:hAnsi="Verdana"/>
                <w:sz w:val="20"/>
                <w:szCs w:val="20"/>
              </w:rPr>
              <w:t xml:space="preserve"> calendrier de recrutement </w:t>
            </w:r>
            <w:r w:rsidR="0C04F9D4" w:rsidRPr="6E33F9FE">
              <w:rPr>
                <w:rFonts w:ascii="Verdana" w:hAnsi="Verdana"/>
                <w:sz w:val="20"/>
                <w:szCs w:val="20"/>
              </w:rPr>
              <w:t xml:space="preserve">et la prise </w:t>
            </w:r>
            <w:r w:rsidR="5CB32CD1" w:rsidRPr="6E33F9FE">
              <w:rPr>
                <w:rFonts w:ascii="Verdana" w:hAnsi="Verdana"/>
                <w:sz w:val="20"/>
                <w:szCs w:val="20"/>
              </w:rPr>
              <w:t>de fonctions des agents.</w:t>
            </w:r>
          </w:p>
          <w:p w14:paraId="78A2AFA2" w14:textId="4BDA8434" w:rsidR="00293A06" w:rsidRPr="00B76BE0" w:rsidRDefault="00293A06" w:rsidP="6986F192">
            <w:pPr>
              <w:rPr>
                <w:rFonts w:ascii="Verdana" w:hAnsi="Verdana"/>
                <w:sz w:val="20"/>
                <w:szCs w:val="20"/>
              </w:rPr>
            </w:pPr>
          </w:p>
          <w:p w14:paraId="23613D49" w14:textId="669DC623" w:rsidR="00293A06" w:rsidRPr="00B76BE0" w:rsidRDefault="60BA828B" w:rsidP="002B7F9E">
            <w:pPr>
              <w:spacing w:line="259" w:lineRule="auto"/>
              <w:rPr>
                <w:rFonts w:ascii="Verdana" w:hAnsi="Verdana"/>
                <w:sz w:val="20"/>
                <w:szCs w:val="20"/>
              </w:rPr>
            </w:pPr>
            <w:r w:rsidRPr="6E33F9FE">
              <w:rPr>
                <w:rFonts w:ascii="Verdana" w:hAnsi="Verdana"/>
                <w:sz w:val="20"/>
                <w:szCs w:val="20"/>
              </w:rPr>
              <w:t xml:space="preserve">Cette valorisation des apports des Etats membres que ce soit </w:t>
            </w:r>
            <w:r w:rsidR="0BBCCF2F" w:rsidRPr="6E33F9FE">
              <w:rPr>
                <w:rFonts w:ascii="Verdana" w:hAnsi="Verdana"/>
                <w:sz w:val="20"/>
                <w:szCs w:val="20"/>
              </w:rPr>
              <w:t xml:space="preserve">en </w:t>
            </w:r>
            <w:r w:rsidR="56AAAF06" w:rsidRPr="6E33F9FE">
              <w:rPr>
                <w:rFonts w:ascii="Verdana" w:hAnsi="Verdana"/>
                <w:sz w:val="20"/>
                <w:szCs w:val="20"/>
              </w:rPr>
              <w:t xml:space="preserve">terme </w:t>
            </w:r>
            <w:r w:rsidR="0BBCCF2F" w:rsidRPr="6E33F9FE">
              <w:rPr>
                <w:rFonts w:ascii="Verdana" w:hAnsi="Verdana"/>
                <w:sz w:val="20"/>
                <w:szCs w:val="20"/>
              </w:rPr>
              <w:t xml:space="preserve">monétaire ou </w:t>
            </w:r>
            <w:r w:rsidRPr="6E33F9FE">
              <w:rPr>
                <w:rFonts w:ascii="Verdana" w:hAnsi="Verdana"/>
                <w:sz w:val="20"/>
                <w:szCs w:val="20"/>
              </w:rPr>
              <w:t>en nature</w:t>
            </w:r>
            <w:r w:rsidR="1E610F3D" w:rsidRPr="6E33F9FE">
              <w:rPr>
                <w:rFonts w:ascii="Verdana" w:hAnsi="Verdana"/>
                <w:sz w:val="20"/>
                <w:szCs w:val="20"/>
              </w:rPr>
              <w:t xml:space="preserve"> sera prise en compte dans les fiches financières sur l’exécution des budgets de la COI et ses projets à l’attention </w:t>
            </w:r>
            <w:r w:rsidR="53F47969" w:rsidRPr="6E33F9FE">
              <w:rPr>
                <w:rFonts w:ascii="Verdana" w:hAnsi="Verdana"/>
                <w:sz w:val="20"/>
                <w:szCs w:val="20"/>
              </w:rPr>
              <w:t>des différentes instances</w:t>
            </w:r>
            <w:r w:rsidR="1E610F3D" w:rsidRPr="6E33F9FE">
              <w:rPr>
                <w:rFonts w:ascii="Verdana" w:hAnsi="Verdana"/>
                <w:sz w:val="20"/>
                <w:szCs w:val="20"/>
              </w:rPr>
              <w:t xml:space="preserve"> </w:t>
            </w:r>
            <w:r w:rsidR="1DEF5E75" w:rsidRPr="6E33F9FE">
              <w:rPr>
                <w:rFonts w:ascii="Verdana" w:hAnsi="Verdana"/>
                <w:sz w:val="20"/>
                <w:szCs w:val="20"/>
              </w:rPr>
              <w:t xml:space="preserve">de la COI (Comité OPL, les Comités budget et audit </w:t>
            </w:r>
            <w:proofErr w:type="spellStart"/>
            <w:r w:rsidR="1DEF5E75" w:rsidRPr="6E33F9FE">
              <w:rPr>
                <w:rFonts w:ascii="Verdana" w:hAnsi="Verdana"/>
                <w:sz w:val="20"/>
                <w:szCs w:val="20"/>
              </w:rPr>
              <w:t>etc</w:t>
            </w:r>
            <w:proofErr w:type="spellEnd"/>
            <w:r w:rsidR="1DEF5E75" w:rsidRPr="6E33F9FE">
              <w:rPr>
                <w:rFonts w:ascii="Verdana" w:hAnsi="Verdana"/>
                <w:sz w:val="20"/>
                <w:szCs w:val="20"/>
              </w:rPr>
              <w:t>).</w:t>
            </w:r>
          </w:p>
        </w:tc>
        <w:tc>
          <w:tcPr>
            <w:tcW w:w="1984" w:type="dxa"/>
          </w:tcPr>
          <w:p w14:paraId="6478D65C" w14:textId="77777777" w:rsidR="00293A06" w:rsidRPr="00B76BE0" w:rsidRDefault="00293A06">
            <w:pPr>
              <w:rPr>
                <w:rFonts w:ascii="Verdana" w:hAnsi="Verdana"/>
                <w:sz w:val="20"/>
                <w:szCs w:val="20"/>
              </w:rPr>
            </w:pPr>
          </w:p>
        </w:tc>
        <w:tc>
          <w:tcPr>
            <w:tcW w:w="1904" w:type="dxa"/>
          </w:tcPr>
          <w:p w14:paraId="0AC48288" w14:textId="77777777" w:rsidR="00293A06" w:rsidRPr="00B76BE0" w:rsidRDefault="00293A06">
            <w:pPr>
              <w:rPr>
                <w:rFonts w:ascii="Verdana" w:hAnsi="Verdana"/>
                <w:sz w:val="20"/>
                <w:szCs w:val="20"/>
              </w:rPr>
            </w:pPr>
          </w:p>
        </w:tc>
      </w:tr>
      <w:tr w:rsidR="00293A06" w:rsidRPr="00B76BE0" w14:paraId="2BD61C51" w14:textId="77777777" w:rsidTr="42DBEA26">
        <w:tc>
          <w:tcPr>
            <w:tcW w:w="5529" w:type="dxa"/>
          </w:tcPr>
          <w:p w14:paraId="7295FE2A" w14:textId="77777777" w:rsidR="00293A06" w:rsidRPr="00B76BE0" w:rsidRDefault="00934F28">
            <w:pPr>
              <w:rPr>
                <w:rFonts w:ascii="Verdana" w:hAnsi="Verdana"/>
                <w:b/>
                <w:bCs/>
                <w:sz w:val="20"/>
                <w:szCs w:val="20"/>
              </w:rPr>
            </w:pPr>
            <w:r w:rsidRPr="00B76BE0">
              <w:rPr>
                <w:rFonts w:ascii="Verdana" w:hAnsi="Verdana"/>
                <w:b/>
                <w:bCs/>
                <w:sz w:val="20"/>
                <w:szCs w:val="20"/>
              </w:rPr>
              <w:lastRenderedPageBreak/>
              <w:t>Décision 3 – Accréditation au Fonds vert pour le climat</w:t>
            </w:r>
          </w:p>
          <w:p w14:paraId="3864F3F0" w14:textId="77777777" w:rsidR="007A2910" w:rsidRPr="00D61E5E" w:rsidRDefault="007A2910" w:rsidP="007A2910">
            <w:pPr>
              <w:rPr>
                <w:rFonts w:ascii="Verdana" w:hAnsi="Verdana"/>
                <w:sz w:val="20"/>
                <w:szCs w:val="20"/>
              </w:rPr>
            </w:pPr>
            <w:r w:rsidRPr="00D61E5E">
              <w:rPr>
                <w:rFonts w:ascii="Verdana" w:hAnsi="Verdana"/>
                <w:sz w:val="20"/>
                <w:szCs w:val="20"/>
              </w:rPr>
              <w:t xml:space="preserve">Le Conseil des ministres : </w:t>
            </w:r>
          </w:p>
          <w:p w14:paraId="13EF08E5" w14:textId="77777777" w:rsidR="007A2910" w:rsidRPr="00D61E5E" w:rsidRDefault="007A2910" w:rsidP="007A2910">
            <w:pPr>
              <w:pStyle w:val="Paragraphedeliste"/>
              <w:numPr>
                <w:ilvl w:val="0"/>
                <w:numId w:val="15"/>
              </w:numPr>
              <w:spacing w:after="60"/>
              <w:ind w:left="721" w:hanging="437"/>
              <w:contextualSpacing w:val="0"/>
              <w:jc w:val="both"/>
              <w:rPr>
                <w:rFonts w:ascii="Verdana" w:hAnsi="Verdana"/>
                <w:sz w:val="20"/>
                <w:szCs w:val="20"/>
              </w:rPr>
            </w:pPr>
            <w:r w:rsidRPr="00D61E5E">
              <w:rPr>
                <w:rFonts w:ascii="Verdana" w:hAnsi="Verdana"/>
                <w:sz w:val="20"/>
                <w:szCs w:val="20"/>
              </w:rPr>
              <w:t xml:space="preserve">Prend note des informations </w:t>
            </w:r>
            <w:r w:rsidRPr="00D61E5E">
              <w:rPr>
                <w:rFonts w:ascii="Verdana" w:hAnsi="Verdana"/>
                <w:spacing w:val="-1"/>
                <w:sz w:val="20"/>
                <w:szCs w:val="20"/>
              </w:rPr>
              <w:t>sur l’état d’avancement de l’accréditation de la COI auprès du Fonds vert pour le climat (FVC) </w:t>
            </w:r>
            <w:r w:rsidRPr="00D61E5E">
              <w:rPr>
                <w:rFonts w:ascii="Verdana" w:hAnsi="Verdana"/>
                <w:sz w:val="20"/>
                <w:szCs w:val="20"/>
              </w:rPr>
              <w:t>;</w:t>
            </w:r>
          </w:p>
          <w:p w14:paraId="5434F056" w14:textId="77777777" w:rsidR="007A2910" w:rsidRPr="00D61E5E" w:rsidRDefault="007A2910" w:rsidP="007A2910">
            <w:pPr>
              <w:pStyle w:val="Paragraphedeliste"/>
              <w:numPr>
                <w:ilvl w:val="0"/>
                <w:numId w:val="15"/>
              </w:numPr>
              <w:spacing w:before="120" w:after="60" w:line="250" w:lineRule="auto"/>
              <w:ind w:left="721" w:hanging="437"/>
              <w:contextualSpacing w:val="0"/>
              <w:jc w:val="both"/>
              <w:rPr>
                <w:rFonts w:ascii="Verdana" w:hAnsi="Verdana"/>
                <w:sz w:val="20"/>
                <w:szCs w:val="20"/>
              </w:rPr>
            </w:pPr>
            <w:r w:rsidRPr="00D61E5E">
              <w:rPr>
                <w:rFonts w:ascii="Verdana" w:hAnsi="Verdana"/>
                <w:sz w:val="20"/>
                <w:szCs w:val="20"/>
              </w:rPr>
              <w:t>Encourage le Secrétariat général à poursuivre le</w:t>
            </w:r>
            <w:r>
              <w:rPr>
                <w:rFonts w:ascii="Verdana" w:hAnsi="Verdana"/>
                <w:sz w:val="20"/>
                <w:szCs w:val="20"/>
              </w:rPr>
              <w:t>s</w:t>
            </w:r>
            <w:r w:rsidRPr="00D61E5E">
              <w:rPr>
                <w:rFonts w:ascii="Verdana" w:hAnsi="Verdana"/>
                <w:sz w:val="20"/>
                <w:szCs w:val="20"/>
              </w:rPr>
              <w:t xml:space="preserve"> processus d’accréditation</w:t>
            </w:r>
            <w:r>
              <w:rPr>
                <w:rFonts w:ascii="Verdana" w:hAnsi="Verdana"/>
                <w:sz w:val="20"/>
                <w:szCs w:val="20"/>
              </w:rPr>
              <w:t xml:space="preserve"> auprès du FVC et aux 9 piliers de l’Union européenne</w:t>
            </w:r>
            <w:r w:rsidRPr="00D61E5E">
              <w:rPr>
                <w:rFonts w:ascii="Verdana" w:hAnsi="Verdana"/>
                <w:sz w:val="20"/>
                <w:szCs w:val="20"/>
              </w:rPr>
              <w:t xml:space="preserve"> en assurant, en tant que de besoin, l’élaboration et l’application des procédures fiduciaires, environnementales et sociales nécessaires</w:t>
            </w:r>
            <w:r>
              <w:rPr>
                <w:rFonts w:ascii="Verdana" w:hAnsi="Verdana"/>
                <w:sz w:val="20"/>
                <w:szCs w:val="20"/>
              </w:rPr>
              <w:t> ;</w:t>
            </w:r>
            <w:r w:rsidRPr="00D61E5E">
              <w:rPr>
                <w:rFonts w:ascii="Verdana" w:hAnsi="Verdana"/>
                <w:sz w:val="20"/>
                <w:szCs w:val="20"/>
              </w:rPr>
              <w:t xml:space="preserve">  </w:t>
            </w:r>
          </w:p>
          <w:p w14:paraId="0DF50776" w14:textId="77777777" w:rsidR="007A2910" w:rsidRPr="00D61E5E" w:rsidRDefault="007A2910" w:rsidP="007A2910">
            <w:pPr>
              <w:pStyle w:val="Paragraphedeliste"/>
              <w:numPr>
                <w:ilvl w:val="0"/>
                <w:numId w:val="15"/>
              </w:numPr>
              <w:spacing w:before="120" w:after="60" w:line="250" w:lineRule="auto"/>
              <w:ind w:left="721" w:hanging="437"/>
              <w:contextualSpacing w:val="0"/>
              <w:jc w:val="both"/>
              <w:rPr>
                <w:rFonts w:ascii="Verdana" w:hAnsi="Verdana"/>
                <w:sz w:val="20"/>
                <w:szCs w:val="20"/>
              </w:rPr>
            </w:pPr>
            <w:r w:rsidRPr="00D61E5E">
              <w:rPr>
                <w:rFonts w:ascii="Verdana" w:hAnsi="Verdana"/>
                <w:sz w:val="20"/>
                <w:szCs w:val="20"/>
              </w:rPr>
              <w:t xml:space="preserve">Donne son accord au Secrétariat général pour procéder à l’élaboration d’une nouvelle </w:t>
            </w:r>
            <w:r>
              <w:rPr>
                <w:rFonts w:ascii="Verdana" w:hAnsi="Verdana"/>
                <w:sz w:val="20"/>
                <w:szCs w:val="20"/>
              </w:rPr>
              <w:t>p</w:t>
            </w:r>
            <w:r w:rsidRPr="00D61E5E">
              <w:rPr>
                <w:rFonts w:ascii="Verdana" w:hAnsi="Verdana"/>
                <w:sz w:val="20"/>
                <w:szCs w:val="20"/>
              </w:rPr>
              <w:t xml:space="preserve">olitique et </w:t>
            </w:r>
            <w:r>
              <w:rPr>
                <w:rFonts w:ascii="Verdana" w:hAnsi="Verdana"/>
                <w:sz w:val="20"/>
                <w:szCs w:val="20"/>
              </w:rPr>
              <w:t>s</w:t>
            </w:r>
            <w:r w:rsidRPr="00D61E5E">
              <w:rPr>
                <w:rFonts w:ascii="Verdana" w:hAnsi="Verdana"/>
                <w:sz w:val="20"/>
                <w:szCs w:val="20"/>
              </w:rPr>
              <w:t>tratégie « genre » régionale et interne à la COI dans le cadre de l’accréditation ;</w:t>
            </w:r>
          </w:p>
          <w:p w14:paraId="0C2BE2C8" w14:textId="77777777" w:rsidR="007A2910" w:rsidRPr="00D61E5E" w:rsidRDefault="007A2910" w:rsidP="007A2910">
            <w:pPr>
              <w:pStyle w:val="Paragraphedeliste"/>
              <w:numPr>
                <w:ilvl w:val="0"/>
                <w:numId w:val="15"/>
              </w:numPr>
              <w:spacing w:before="120" w:after="60" w:line="250" w:lineRule="auto"/>
              <w:ind w:left="721" w:hanging="437"/>
              <w:contextualSpacing w:val="0"/>
              <w:jc w:val="both"/>
              <w:rPr>
                <w:rFonts w:ascii="Verdana" w:hAnsi="Verdana"/>
                <w:sz w:val="20"/>
                <w:szCs w:val="20"/>
              </w:rPr>
            </w:pPr>
            <w:r w:rsidRPr="00D61E5E">
              <w:rPr>
                <w:rFonts w:ascii="Verdana" w:hAnsi="Verdana"/>
                <w:sz w:val="20"/>
                <w:szCs w:val="20"/>
              </w:rPr>
              <w:t xml:space="preserve">Invite le Secrétariat général à organiser des consultations avec les pays pour l’identification et la formulation de projets à proposer au FVC pour financement. </w:t>
            </w:r>
          </w:p>
          <w:p w14:paraId="67F008EE" w14:textId="6895081B" w:rsidR="00934F28" w:rsidRPr="00B76BE0" w:rsidRDefault="00934F28" w:rsidP="007A2910">
            <w:pPr>
              <w:pStyle w:val="Paragraphedeliste"/>
              <w:spacing w:after="120" w:line="276" w:lineRule="auto"/>
              <w:contextualSpacing w:val="0"/>
              <w:jc w:val="both"/>
              <w:rPr>
                <w:rFonts w:ascii="Verdana" w:hAnsi="Verdana" w:cstheme="minorHAnsi"/>
                <w:i/>
                <w:iCs/>
                <w:sz w:val="20"/>
                <w:szCs w:val="20"/>
              </w:rPr>
            </w:pPr>
          </w:p>
        </w:tc>
        <w:tc>
          <w:tcPr>
            <w:tcW w:w="5103" w:type="dxa"/>
          </w:tcPr>
          <w:p w14:paraId="3C17996D" w14:textId="45CE5665" w:rsidR="00293A06" w:rsidRPr="00B76BE0" w:rsidRDefault="00293A06" w:rsidP="631993F9">
            <w:pPr>
              <w:rPr>
                <w:rFonts w:ascii="Verdana" w:hAnsi="Verdana"/>
                <w:sz w:val="20"/>
                <w:szCs w:val="20"/>
              </w:rPr>
            </w:pPr>
          </w:p>
          <w:p w14:paraId="7AF3D85A" w14:textId="51F8AA3A" w:rsidR="00293A06" w:rsidRPr="00B76BE0" w:rsidRDefault="7CF0E8C2" w:rsidP="631993F9">
            <w:pPr>
              <w:pStyle w:val="Paragraphedeliste"/>
              <w:numPr>
                <w:ilvl w:val="0"/>
                <w:numId w:val="13"/>
              </w:numPr>
              <w:rPr>
                <w:rFonts w:ascii="Verdana" w:hAnsi="Verdana"/>
                <w:sz w:val="20"/>
                <w:szCs w:val="20"/>
              </w:rPr>
            </w:pPr>
            <w:r w:rsidRPr="631993F9">
              <w:rPr>
                <w:rFonts w:ascii="Verdana" w:hAnsi="Verdana"/>
                <w:sz w:val="20"/>
                <w:szCs w:val="20"/>
              </w:rPr>
              <w:t>Fond</w:t>
            </w:r>
            <w:r w:rsidR="003541F3">
              <w:rPr>
                <w:rFonts w:ascii="Verdana" w:hAnsi="Verdana"/>
                <w:sz w:val="20"/>
                <w:szCs w:val="20"/>
              </w:rPr>
              <w:t>s</w:t>
            </w:r>
            <w:r w:rsidRPr="631993F9">
              <w:rPr>
                <w:rFonts w:ascii="Verdana" w:hAnsi="Verdana"/>
                <w:sz w:val="20"/>
                <w:szCs w:val="20"/>
              </w:rPr>
              <w:t xml:space="preserve"> Vert pour le Climat </w:t>
            </w:r>
          </w:p>
          <w:p w14:paraId="23923800" w14:textId="09399A5A" w:rsidR="00293A06" w:rsidRDefault="0A4EC628" w:rsidP="631993F9">
            <w:pPr>
              <w:rPr>
                <w:rFonts w:ascii="Verdana" w:hAnsi="Verdana"/>
                <w:sz w:val="20"/>
                <w:szCs w:val="20"/>
              </w:rPr>
            </w:pPr>
            <w:r w:rsidRPr="42DBEA26">
              <w:rPr>
                <w:rFonts w:ascii="Verdana" w:hAnsi="Verdana"/>
                <w:sz w:val="20"/>
                <w:szCs w:val="20"/>
              </w:rPr>
              <w:t>Le processus d’</w:t>
            </w:r>
            <w:r w:rsidR="003541F3" w:rsidRPr="42DBEA26">
              <w:rPr>
                <w:rFonts w:ascii="Verdana" w:hAnsi="Verdana"/>
                <w:sz w:val="20"/>
                <w:szCs w:val="20"/>
              </w:rPr>
              <w:t>accréditation</w:t>
            </w:r>
            <w:r w:rsidR="00220487" w:rsidRPr="42DBEA26">
              <w:rPr>
                <w:rFonts w:ascii="Verdana" w:hAnsi="Verdana"/>
                <w:sz w:val="20"/>
                <w:szCs w:val="20"/>
              </w:rPr>
              <w:t xml:space="preserve"> </w:t>
            </w:r>
            <w:r w:rsidRPr="42DBEA26">
              <w:rPr>
                <w:rFonts w:ascii="Verdana" w:hAnsi="Verdana"/>
                <w:sz w:val="20"/>
                <w:szCs w:val="20"/>
              </w:rPr>
              <w:t xml:space="preserve">est toujours en cours. Le </w:t>
            </w:r>
            <w:r w:rsidR="23928690" w:rsidRPr="42DBEA26">
              <w:rPr>
                <w:rFonts w:ascii="Verdana" w:hAnsi="Verdana"/>
                <w:sz w:val="20"/>
                <w:szCs w:val="20"/>
              </w:rPr>
              <w:t>secrétariat</w:t>
            </w:r>
            <w:r w:rsidRPr="42DBEA26">
              <w:rPr>
                <w:rFonts w:ascii="Verdana" w:hAnsi="Verdana"/>
                <w:sz w:val="20"/>
                <w:szCs w:val="20"/>
              </w:rPr>
              <w:t xml:space="preserve"> a eu </w:t>
            </w:r>
            <w:r w:rsidR="46BA7780" w:rsidRPr="42DBEA26">
              <w:rPr>
                <w:rFonts w:ascii="Verdana" w:hAnsi="Verdana"/>
                <w:sz w:val="20"/>
                <w:szCs w:val="20"/>
              </w:rPr>
              <w:t>deux</w:t>
            </w:r>
            <w:r w:rsidRPr="42DBEA26">
              <w:rPr>
                <w:rFonts w:ascii="Verdana" w:hAnsi="Verdana"/>
                <w:sz w:val="20"/>
                <w:szCs w:val="20"/>
              </w:rPr>
              <w:t xml:space="preserve"> réunion</w:t>
            </w:r>
            <w:r w:rsidR="72AFCBA7" w:rsidRPr="42DBEA26">
              <w:rPr>
                <w:rFonts w:ascii="Verdana" w:hAnsi="Verdana"/>
                <w:sz w:val="20"/>
                <w:szCs w:val="20"/>
              </w:rPr>
              <w:t>s</w:t>
            </w:r>
            <w:r w:rsidRPr="42DBEA26">
              <w:rPr>
                <w:rFonts w:ascii="Verdana" w:hAnsi="Verdana"/>
                <w:sz w:val="20"/>
                <w:szCs w:val="20"/>
              </w:rPr>
              <w:t xml:space="preserve"> d’</w:t>
            </w:r>
            <w:r w:rsidR="37C7CBED" w:rsidRPr="42DBEA26">
              <w:rPr>
                <w:rFonts w:ascii="Verdana" w:hAnsi="Verdana"/>
                <w:sz w:val="20"/>
                <w:szCs w:val="20"/>
              </w:rPr>
              <w:t>échangés</w:t>
            </w:r>
            <w:r w:rsidRPr="42DBEA26">
              <w:rPr>
                <w:rFonts w:ascii="Verdana" w:hAnsi="Verdana"/>
                <w:sz w:val="20"/>
                <w:szCs w:val="20"/>
              </w:rPr>
              <w:t xml:space="preserve"> avec les auditeurs externes d</w:t>
            </w:r>
            <w:r w:rsidR="58008055" w:rsidRPr="42DBEA26">
              <w:rPr>
                <w:rFonts w:ascii="Verdana" w:hAnsi="Verdana"/>
                <w:sz w:val="20"/>
                <w:szCs w:val="20"/>
              </w:rPr>
              <w:t>u FVC</w:t>
            </w:r>
            <w:r w:rsidR="3C3C1929" w:rsidRPr="42DBEA26">
              <w:rPr>
                <w:rFonts w:ascii="Verdana" w:hAnsi="Verdana"/>
                <w:sz w:val="20"/>
                <w:szCs w:val="20"/>
              </w:rPr>
              <w:t xml:space="preserve"> </w:t>
            </w:r>
            <w:r w:rsidR="1DD17BBD" w:rsidRPr="42DBEA26">
              <w:rPr>
                <w:rFonts w:ascii="Verdana" w:hAnsi="Verdana"/>
                <w:sz w:val="20"/>
                <w:szCs w:val="20"/>
              </w:rPr>
              <w:t xml:space="preserve">en vue d’une présentation du dossier de la COI au comité administratif du FVC en </w:t>
            </w:r>
            <w:r w:rsidR="0A83701D" w:rsidRPr="42DBEA26">
              <w:rPr>
                <w:rFonts w:ascii="Verdana" w:hAnsi="Verdana"/>
                <w:sz w:val="20"/>
                <w:szCs w:val="20"/>
              </w:rPr>
              <w:t>juillet</w:t>
            </w:r>
            <w:r w:rsidR="1DD17BBD" w:rsidRPr="42DBEA26">
              <w:rPr>
                <w:rFonts w:ascii="Verdana" w:hAnsi="Verdana"/>
                <w:sz w:val="20"/>
                <w:szCs w:val="20"/>
              </w:rPr>
              <w:t xml:space="preserve"> 2024.</w:t>
            </w:r>
            <w:r w:rsidR="3C3C1929" w:rsidRPr="42DBEA26">
              <w:rPr>
                <w:rFonts w:ascii="Verdana" w:hAnsi="Verdana"/>
                <w:sz w:val="20"/>
                <w:szCs w:val="20"/>
              </w:rPr>
              <w:t xml:space="preserve"> </w:t>
            </w:r>
          </w:p>
          <w:p w14:paraId="7D216E8E" w14:textId="77777777" w:rsidR="00EE4F46" w:rsidRDefault="00EE4F46" w:rsidP="631993F9">
            <w:pPr>
              <w:rPr>
                <w:rFonts w:ascii="Verdana" w:hAnsi="Verdana"/>
                <w:sz w:val="20"/>
                <w:szCs w:val="20"/>
              </w:rPr>
            </w:pPr>
          </w:p>
          <w:p w14:paraId="3A61CF26" w14:textId="77777777" w:rsidR="00EE4F46" w:rsidRDefault="00EE4F46" w:rsidP="631993F9">
            <w:pPr>
              <w:rPr>
                <w:rFonts w:ascii="Verdana" w:hAnsi="Verdana"/>
                <w:sz w:val="20"/>
                <w:szCs w:val="20"/>
              </w:rPr>
            </w:pPr>
          </w:p>
          <w:p w14:paraId="71065848" w14:textId="77777777" w:rsidR="00EE4F46" w:rsidRDefault="00EE4F46" w:rsidP="631993F9">
            <w:pPr>
              <w:rPr>
                <w:rFonts w:ascii="Verdana" w:hAnsi="Verdana"/>
                <w:sz w:val="20"/>
                <w:szCs w:val="20"/>
              </w:rPr>
            </w:pPr>
          </w:p>
          <w:p w14:paraId="05590E6F" w14:textId="77777777" w:rsidR="00EE4F46" w:rsidRDefault="00EE4F46" w:rsidP="631993F9">
            <w:pPr>
              <w:rPr>
                <w:rFonts w:ascii="Verdana" w:hAnsi="Verdana"/>
                <w:sz w:val="20"/>
                <w:szCs w:val="20"/>
              </w:rPr>
            </w:pPr>
          </w:p>
          <w:p w14:paraId="3812DCCF" w14:textId="77777777" w:rsidR="00EE4F46" w:rsidRDefault="00EE4F46" w:rsidP="631993F9">
            <w:pPr>
              <w:rPr>
                <w:rFonts w:ascii="Verdana" w:hAnsi="Verdana"/>
                <w:sz w:val="20"/>
                <w:szCs w:val="20"/>
              </w:rPr>
            </w:pPr>
          </w:p>
          <w:p w14:paraId="0302530F" w14:textId="77777777" w:rsidR="00EE4F46" w:rsidRDefault="00EE4F46" w:rsidP="631993F9">
            <w:pPr>
              <w:rPr>
                <w:rFonts w:ascii="Verdana" w:hAnsi="Verdana"/>
                <w:sz w:val="20"/>
                <w:szCs w:val="20"/>
              </w:rPr>
            </w:pPr>
          </w:p>
          <w:p w14:paraId="2698A388" w14:textId="77777777" w:rsidR="00EE4F46" w:rsidRDefault="00EE4F46" w:rsidP="631993F9">
            <w:pPr>
              <w:rPr>
                <w:rFonts w:ascii="Verdana" w:hAnsi="Verdana"/>
                <w:sz w:val="20"/>
                <w:szCs w:val="20"/>
              </w:rPr>
            </w:pPr>
          </w:p>
          <w:p w14:paraId="29B67E93" w14:textId="77777777" w:rsidR="00EE4F46" w:rsidRDefault="00EE4F46" w:rsidP="631993F9">
            <w:pPr>
              <w:rPr>
                <w:rFonts w:ascii="Verdana" w:hAnsi="Verdana"/>
                <w:sz w:val="20"/>
                <w:szCs w:val="20"/>
              </w:rPr>
            </w:pPr>
          </w:p>
          <w:p w14:paraId="64744F77" w14:textId="77777777" w:rsidR="00EE4F46" w:rsidRDefault="00EE4F46" w:rsidP="631993F9">
            <w:pPr>
              <w:rPr>
                <w:rFonts w:ascii="Verdana" w:hAnsi="Verdana"/>
                <w:sz w:val="20"/>
                <w:szCs w:val="20"/>
              </w:rPr>
            </w:pPr>
          </w:p>
          <w:p w14:paraId="5A0EB814" w14:textId="77777777" w:rsidR="00EE4F46" w:rsidRDefault="00EE4F46" w:rsidP="631993F9">
            <w:pPr>
              <w:rPr>
                <w:rFonts w:ascii="Verdana" w:hAnsi="Verdana"/>
                <w:sz w:val="20"/>
                <w:szCs w:val="20"/>
              </w:rPr>
            </w:pPr>
          </w:p>
          <w:p w14:paraId="536862D8" w14:textId="77777777" w:rsidR="00EE4F46" w:rsidRDefault="00EE4F46" w:rsidP="631993F9">
            <w:pPr>
              <w:rPr>
                <w:rFonts w:ascii="Verdana" w:hAnsi="Verdana"/>
                <w:sz w:val="20"/>
                <w:szCs w:val="20"/>
              </w:rPr>
            </w:pPr>
          </w:p>
          <w:p w14:paraId="2CDA1EDC" w14:textId="77777777" w:rsidR="00EE4F46" w:rsidRDefault="00EE4F46" w:rsidP="631993F9">
            <w:pPr>
              <w:rPr>
                <w:rFonts w:ascii="Verdana" w:hAnsi="Verdana"/>
                <w:sz w:val="20"/>
                <w:szCs w:val="20"/>
              </w:rPr>
            </w:pPr>
          </w:p>
          <w:p w14:paraId="7E9393EF" w14:textId="71FBE34B" w:rsidR="00293A06" w:rsidRPr="00B76BE0" w:rsidRDefault="00EE4F46" w:rsidP="631993F9">
            <w:pPr>
              <w:rPr>
                <w:rFonts w:ascii="Verdana" w:hAnsi="Verdana"/>
                <w:sz w:val="20"/>
                <w:szCs w:val="20"/>
              </w:rPr>
            </w:pPr>
            <w:r w:rsidRPr="002B7F9E">
              <w:rPr>
                <w:rFonts w:ascii="Verdana" w:hAnsi="Verdana"/>
                <w:sz w:val="20"/>
                <w:szCs w:val="20"/>
                <w:highlight w:val="yellow"/>
              </w:rPr>
              <w:t xml:space="preserve">COPL02/23 : </w:t>
            </w:r>
            <w:proofErr w:type="gramStart"/>
            <w:r w:rsidR="009C72BE" w:rsidRPr="42DBEA26">
              <w:rPr>
                <w:rFonts w:ascii="Verdana" w:hAnsi="Verdana"/>
                <w:sz w:val="20"/>
                <w:szCs w:val="20"/>
                <w:highlight w:val="yellow"/>
              </w:rPr>
              <w:t>3.d.</w:t>
            </w:r>
            <w:proofErr w:type="gramEnd"/>
            <w:r w:rsidR="009C72BE" w:rsidRPr="42DBEA26">
              <w:rPr>
                <w:rFonts w:ascii="Verdana" w:hAnsi="Verdana"/>
                <w:sz w:val="20"/>
                <w:szCs w:val="20"/>
                <w:highlight w:val="yellow"/>
              </w:rPr>
              <w:t xml:space="preserve"> Pas de consultations à ce jour</w:t>
            </w:r>
            <w:r w:rsidR="2C7D5782" w:rsidRPr="42DBEA26">
              <w:rPr>
                <w:rFonts w:ascii="Verdana" w:hAnsi="Verdana"/>
                <w:sz w:val="20"/>
                <w:szCs w:val="20"/>
                <w:highlight w:val="yellow"/>
              </w:rPr>
              <w:t xml:space="preserve"> sur les projets </w:t>
            </w:r>
            <w:proofErr w:type="spellStart"/>
            <w:r w:rsidR="2C7D5782" w:rsidRPr="42DBEA26">
              <w:rPr>
                <w:rFonts w:ascii="Verdana" w:hAnsi="Verdana"/>
                <w:sz w:val="20"/>
                <w:szCs w:val="20"/>
                <w:highlight w:val="yellow"/>
              </w:rPr>
              <w:t>regional</w:t>
            </w:r>
            <w:proofErr w:type="spellEnd"/>
            <w:r w:rsidR="2C7D5782" w:rsidRPr="42DBEA26">
              <w:rPr>
                <w:rFonts w:ascii="Verdana" w:hAnsi="Verdana"/>
                <w:sz w:val="20"/>
                <w:szCs w:val="20"/>
                <w:highlight w:val="yellow"/>
              </w:rPr>
              <w:t xml:space="preserve"> qui seront porté par la </w:t>
            </w:r>
            <w:proofErr w:type="spellStart"/>
            <w:r w:rsidR="2C7D5782" w:rsidRPr="42DBEA26">
              <w:rPr>
                <w:rFonts w:ascii="Verdana" w:hAnsi="Verdana"/>
                <w:sz w:val="20"/>
                <w:szCs w:val="20"/>
                <w:highlight w:val="yellow"/>
              </w:rPr>
              <w:t>COI</w:t>
            </w:r>
            <w:r w:rsidR="009C72BE" w:rsidRPr="42DBEA26">
              <w:rPr>
                <w:rFonts w:ascii="Verdana" w:hAnsi="Verdana"/>
                <w:sz w:val="20"/>
                <w:szCs w:val="20"/>
                <w:highlight w:val="yellow"/>
              </w:rPr>
              <w:t>.</w:t>
            </w:r>
            <w:r w:rsidR="46769CF2" w:rsidRPr="42DBEA26">
              <w:rPr>
                <w:rFonts w:ascii="Verdana" w:hAnsi="Verdana"/>
                <w:sz w:val="20"/>
                <w:szCs w:val="20"/>
                <w:highlight w:val="yellow"/>
              </w:rPr>
              <w:t>Un</w:t>
            </w:r>
            <w:proofErr w:type="spellEnd"/>
            <w:r w:rsidR="46769CF2" w:rsidRPr="42DBEA26">
              <w:rPr>
                <w:rFonts w:ascii="Verdana" w:hAnsi="Verdana"/>
                <w:sz w:val="20"/>
                <w:szCs w:val="20"/>
                <w:highlight w:val="yellow"/>
              </w:rPr>
              <w:t xml:space="preserve"> atelier régional est envisagé pour valider les priorités et pour </w:t>
            </w:r>
            <w:proofErr w:type="spellStart"/>
            <w:r w:rsidR="46769CF2" w:rsidRPr="42DBEA26">
              <w:rPr>
                <w:rFonts w:ascii="Verdana" w:hAnsi="Verdana"/>
                <w:sz w:val="20"/>
                <w:szCs w:val="20"/>
                <w:highlight w:val="yellow"/>
              </w:rPr>
              <w:t>preparr</w:t>
            </w:r>
            <w:proofErr w:type="spellEnd"/>
            <w:r w:rsidR="46769CF2" w:rsidRPr="42DBEA26">
              <w:rPr>
                <w:rFonts w:ascii="Verdana" w:hAnsi="Verdana"/>
                <w:sz w:val="20"/>
                <w:szCs w:val="20"/>
                <w:highlight w:val="yellow"/>
              </w:rPr>
              <w:t xml:space="preserve"> une feuille de route pour l’</w:t>
            </w:r>
            <w:proofErr w:type="spellStart"/>
            <w:r w:rsidR="46769CF2" w:rsidRPr="42DBEA26">
              <w:rPr>
                <w:rFonts w:ascii="Verdana" w:hAnsi="Verdana"/>
                <w:sz w:val="20"/>
                <w:szCs w:val="20"/>
                <w:highlight w:val="yellow"/>
              </w:rPr>
              <w:t>elaboration</w:t>
            </w:r>
            <w:proofErr w:type="spellEnd"/>
            <w:r w:rsidR="46769CF2" w:rsidRPr="42DBEA26">
              <w:rPr>
                <w:rFonts w:ascii="Verdana" w:hAnsi="Verdana"/>
                <w:sz w:val="20"/>
                <w:szCs w:val="20"/>
                <w:highlight w:val="yellow"/>
              </w:rPr>
              <w:t xml:space="preserve"> des proj</w:t>
            </w:r>
            <w:r w:rsidR="5057138E" w:rsidRPr="42DBEA26">
              <w:rPr>
                <w:rFonts w:ascii="Verdana" w:hAnsi="Verdana"/>
                <w:sz w:val="20"/>
                <w:szCs w:val="20"/>
                <w:highlight w:val="yellow"/>
              </w:rPr>
              <w:t>ets.</w:t>
            </w:r>
            <w:r w:rsidR="46769CF2" w:rsidRPr="42DBEA26">
              <w:rPr>
                <w:rFonts w:ascii="Verdana" w:hAnsi="Verdana"/>
                <w:sz w:val="20"/>
                <w:szCs w:val="20"/>
                <w:highlight w:val="yellow"/>
              </w:rPr>
              <w:t xml:space="preserve"> </w:t>
            </w:r>
            <w:r w:rsidR="009C72BE" w:rsidRPr="42DBEA26">
              <w:rPr>
                <w:rFonts w:ascii="Verdana" w:hAnsi="Verdana"/>
                <w:sz w:val="20"/>
                <w:szCs w:val="20"/>
                <w:highlight w:val="yellow"/>
              </w:rPr>
              <w:t xml:space="preserve"> L</w:t>
            </w:r>
            <w:r w:rsidR="44A460DB" w:rsidRPr="42DBEA26">
              <w:rPr>
                <w:rFonts w:ascii="Verdana" w:hAnsi="Verdana"/>
                <w:sz w:val="20"/>
                <w:szCs w:val="20"/>
              </w:rPr>
              <w:t xml:space="preserve"> </w:t>
            </w:r>
            <w:r w:rsidR="7E8C0B9B" w:rsidRPr="42DBEA26">
              <w:rPr>
                <w:rFonts w:ascii="Verdana" w:hAnsi="Verdana"/>
                <w:sz w:val="20"/>
                <w:szCs w:val="20"/>
              </w:rPr>
              <w:t xml:space="preserve"> </w:t>
            </w:r>
          </w:p>
        </w:tc>
        <w:tc>
          <w:tcPr>
            <w:tcW w:w="1984" w:type="dxa"/>
          </w:tcPr>
          <w:p w14:paraId="7E9F333A" w14:textId="77777777" w:rsidR="00293A06" w:rsidRPr="00B76BE0" w:rsidRDefault="00293A06">
            <w:pPr>
              <w:rPr>
                <w:rFonts w:ascii="Verdana" w:hAnsi="Verdana"/>
                <w:sz w:val="20"/>
                <w:szCs w:val="20"/>
              </w:rPr>
            </w:pPr>
          </w:p>
        </w:tc>
        <w:tc>
          <w:tcPr>
            <w:tcW w:w="1904" w:type="dxa"/>
          </w:tcPr>
          <w:p w14:paraId="3C7D3E91" w14:textId="77777777" w:rsidR="00293A06" w:rsidRPr="00B76BE0" w:rsidRDefault="00293A06">
            <w:pPr>
              <w:rPr>
                <w:rFonts w:ascii="Verdana" w:hAnsi="Verdana"/>
                <w:sz w:val="20"/>
                <w:szCs w:val="20"/>
              </w:rPr>
            </w:pPr>
          </w:p>
        </w:tc>
      </w:tr>
      <w:tr w:rsidR="00293A06" w:rsidRPr="00B76BE0" w14:paraId="0159B6F7" w14:textId="77777777" w:rsidTr="42DBEA26">
        <w:tc>
          <w:tcPr>
            <w:tcW w:w="5529" w:type="dxa"/>
          </w:tcPr>
          <w:p w14:paraId="4BA018DD" w14:textId="77777777" w:rsidR="00293A06" w:rsidRPr="00B76BE0" w:rsidRDefault="00934F28">
            <w:pPr>
              <w:rPr>
                <w:rFonts w:ascii="Verdana" w:hAnsi="Verdana"/>
                <w:b/>
                <w:bCs/>
                <w:sz w:val="20"/>
                <w:szCs w:val="20"/>
              </w:rPr>
            </w:pPr>
            <w:r w:rsidRPr="00B76BE0">
              <w:rPr>
                <w:rFonts w:ascii="Verdana" w:hAnsi="Verdana"/>
                <w:b/>
                <w:bCs/>
                <w:sz w:val="20"/>
                <w:szCs w:val="20"/>
              </w:rPr>
              <w:t>Décision 4 – Statut d’observateur de la COI auprès de l’UA</w:t>
            </w:r>
          </w:p>
          <w:p w14:paraId="2548A39E" w14:textId="77777777" w:rsidR="005D71F1" w:rsidRDefault="005D71F1" w:rsidP="005D71F1">
            <w:pPr>
              <w:pStyle w:val="Titrepartie"/>
              <w:numPr>
                <w:ilvl w:val="0"/>
                <w:numId w:val="0"/>
              </w:numPr>
              <w:rPr>
                <w:b w:val="0"/>
                <w:bCs w:val="0"/>
                <w:color w:val="auto"/>
                <w:sz w:val="20"/>
              </w:rPr>
            </w:pPr>
            <w:r w:rsidRPr="005E1209">
              <w:rPr>
                <w:b w:val="0"/>
                <w:bCs w:val="0"/>
                <w:color w:val="auto"/>
                <w:sz w:val="20"/>
              </w:rPr>
              <w:t>Le Conseil des ministres confirme la décision prise lors du 36</w:t>
            </w:r>
            <w:r w:rsidRPr="005E1209">
              <w:rPr>
                <w:b w:val="0"/>
                <w:bCs w:val="0"/>
                <w:color w:val="auto"/>
                <w:sz w:val="20"/>
                <w:vertAlign w:val="superscript"/>
              </w:rPr>
              <w:t>ème</w:t>
            </w:r>
            <w:r w:rsidRPr="005E1209">
              <w:rPr>
                <w:b w:val="0"/>
                <w:bCs w:val="0"/>
                <w:color w:val="auto"/>
                <w:sz w:val="20"/>
              </w:rPr>
              <w:t xml:space="preserve"> Conseil du 23 février 2022 et, concernant les modalités d’application d’accréditation auprès de l’U</w:t>
            </w:r>
            <w:r>
              <w:rPr>
                <w:b w:val="0"/>
                <w:bCs w:val="0"/>
                <w:color w:val="auto"/>
                <w:sz w:val="20"/>
              </w:rPr>
              <w:t>nion africaine (U</w:t>
            </w:r>
            <w:r w:rsidRPr="005E1209">
              <w:rPr>
                <w:b w:val="0"/>
                <w:bCs w:val="0"/>
                <w:color w:val="auto"/>
                <w:sz w:val="20"/>
              </w:rPr>
              <w:t>A</w:t>
            </w:r>
            <w:r>
              <w:rPr>
                <w:b w:val="0"/>
                <w:bCs w:val="0"/>
                <w:color w:val="auto"/>
                <w:sz w:val="20"/>
              </w:rPr>
              <w:t xml:space="preserve">) : </w:t>
            </w:r>
          </w:p>
          <w:p w14:paraId="6EB9ABF4" w14:textId="77777777" w:rsidR="005D71F1" w:rsidRPr="00615465" w:rsidRDefault="005D71F1" w:rsidP="005D71F1">
            <w:pPr>
              <w:pStyle w:val="Titrepartie"/>
              <w:numPr>
                <w:ilvl w:val="0"/>
                <w:numId w:val="23"/>
              </w:numPr>
              <w:rPr>
                <w:rFonts w:cstheme="minorBidi"/>
                <w:b w:val="0"/>
                <w:bCs w:val="0"/>
                <w:color w:val="auto"/>
                <w:sz w:val="18"/>
                <w:szCs w:val="18"/>
              </w:rPr>
            </w:pPr>
            <w:r w:rsidRPr="00615465">
              <w:rPr>
                <w:b w:val="0"/>
                <w:bCs w:val="0"/>
                <w:color w:val="auto"/>
                <w:sz w:val="20"/>
              </w:rPr>
              <w:lastRenderedPageBreak/>
              <w:t xml:space="preserve">Invite la présidence en exercice à mandater le Secrétaire général pour représenter la COI auprès de l’UA à titre provisoire sans préjuger de la décision finale qui sera prise par les Etats membres sur les modalités de représentation de la COI à l’UA ; </w:t>
            </w:r>
          </w:p>
          <w:p w14:paraId="64069B63" w14:textId="77777777" w:rsidR="005D71F1" w:rsidRPr="00615465" w:rsidRDefault="005D71F1" w:rsidP="005D71F1">
            <w:pPr>
              <w:pStyle w:val="Titrepartie"/>
              <w:numPr>
                <w:ilvl w:val="0"/>
                <w:numId w:val="23"/>
              </w:numPr>
              <w:rPr>
                <w:rFonts w:cstheme="minorBidi"/>
                <w:b w:val="0"/>
                <w:bCs w:val="0"/>
                <w:color w:val="auto"/>
                <w:sz w:val="18"/>
                <w:szCs w:val="18"/>
              </w:rPr>
            </w:pPr>
            <w:r w:rsidRPr="00615465">
              <w:rPr>
                <w:b w:val="0"/>
                <w:bCs w:val="0"/>
                <w:color w:val="auto"/>
                <w:sz w:val="20"/>
              </w:rPr>
              <w:t>Demande, dans le même temps, au Secrétariat général de réaliser une étude sur les implications administratives, financières et en termes de ressources humaines d’une représentation permanente auprès de l’UA.</w:t>
            </w:r>
          </w:p>
          <w:p w14:paraId="50090885" w14:textId="2394D966" w:rsidR="00934F28" w:rsidRPr="00B76BE0" w:rsidRDefault="00934F28">
            <w:pPr>
              <w:rPr>
                <w:rFonts w:ascii="Verdana" w:hAnsi="Verdana"/>
                <w:sz w:val="20"/>
                <w:szCs w:val="20"/>
              </w:rPr>
            </w:pPr>
          </w:p>
        </w:tc>
        <w:tc>
          <w:tcPr>
            <w:tcW w:w="5103" w:type="dxa"/>
          </w:tcPr>
          <w:p w14:paraId="687C346D" w14:textId="77777777" w:rsidR="00293A06" w:rsidRDefault="00293A06">
            <w:pPr>
              <w:rPr>
                <w:rFonts w:ascii="Verdana" w:hAnsi="Verdana"/>
                <w:sz w:val="20"/>
                <w:szCs w:val="20"/>
              </w:rPr>
            </w:pPr>
          </w:p>
          <w:p w14:paraId="521EBB69" w14:textId="77777777" w:rsidR="005B67A0" w:rsidRDefault="005B67A0">
            <w:pPr>
              <w:rPr>
                <w:rFonts w:ascii="Verdana" w:hAnsi="Verdana"/>
                <w:sz w:val="20"/>
                <w:szCs w:val="20"/>
              </w:rPr>
            </w:pPr>
          </w:p>
          <w:p w14:paraId="3E95883F" w14:textId="47A5162D" w:rsidR="005B67A0" w:rsidRDefault="001256E3">
            <w:pPr>
              <w:rPr>
                <w:rFonts w:ascii="Verdana" w:hAnsi="Verdana"/>
                <w:sz w:val="20"/>
                <w:szCs w:val="20"/>
              </w:rPr>
            </w:pPr>
            <w:r w:rsidRPr="002B7F9E">
              <w:rPr>
                <w:rFonts w:ascii="Verdana" w:hAnsi="Verdana"/>
                <w:sz w:val="20"/>
                <w:szCs w:val="20"/>
                <w:highlight w:val="yellow"/>
              </w:rPr>
              <w:t>Une date avait été proposée par la Commission de l’UA pour rencontrer l</w:t>
            </w:r>
            <w:r w:rsidR="0089725F" w:rsidRPr="002B7F9E">
              <w:rPr>
                <w:rFonts w:ascii="Verdana" w:hAnsi="Verdana"/>
                <w:sz w:val="20"/>
                <w:szCs w:val="20"/>
                <w:highlight w:val="yellow"/>
              </w:rPr>
              <w:t>a COI, impossibilité d’effectuer le déplacement pour des raisons logistiques</w:t>
            </w:r>
            <w:r w:rsidR="006C4615" w:rsidRPr="002B7F9E">
              <w:rPr>
                <w:rFonts w:ascii="Verdana" w:hAnsi="Verdana"/>
                <w:sz w:val="20"/>
                <w:szCs w:val="20"/>
                <w:highlight w:val="yellow"/>
              </w:rPr>
              <w:t xml:space="preserve"> / calendaires</w:t>
            </w:r>
            <w:r w:rsidR="0089725F" w:rsidRPr="002B7F9E">
              <w:rPr>
                <w:rFonts w:ascii="Verdana" w:hAnsi="Verdana"/>
                <w:sz w:val="20"/>
                <w:szCs w:val="20"/>
                <w:highlight w:val="yellow"/>
              </w:rPr>
              <w:t>. En attente d’une autre date.</w:t>
            </w:r>
            <w:r w:rsidR="0089725F">
              <w:rPr>
                <w:rFonts w:ascii="Verdana" w:hAnsi="Verdana"/>
                <w:sz w:val="20"/>
                <w:szCs w:val="20"/>
              </w:rPr>
              <w:t xml:space="preserve"> </w:t>
            </w:r>
            <w:r w:rsidR="00744F36" w:rsidRPr="002B7F9E">
              <w:rPr>
                <w:rFonts w:ascii="Verdana" w:hAnsi="Verdana"/>
                <w:sz w:val="20"/>
                <w:szCs w:val="20"/>
                <w:highlight w:val="yellow"/>
              </w:rPr>
              <w:t xml:space="preserve">Disponibilité de la présidence comorienne </w:t>
            </w:r>
            <w:r w:rsidR="00744F36" w:rsidRPr="002B7F9E">
              <w:rPr>
                <w:rFonts w:ascii="Verdana" w:hAnsi="Verdana"/>
                <w:sz w:val="20"/>
                <w:szCs w:val="20"/>
                <w:highlight w:val="yellow"/>
              </w:rPr>
              <w:lastRenderedPageBreak/>
              <w:t>en exercice de l’UA et de la France à soutenir les démarches entreprises par la présidence mauricienne et le secrétariat de la COI pour concrétiser ce statut.</w:t>
            </w:r>
            <w:r w:rsidR="00744F36">
              <w:rPr>
                <w:rFonts w:ascii="Verdana" w:hAnsi="Verdana"/>
                <w:sz w:val="20"/>
                <w:szCs w:val="20"/>
              </w:rPr>
              <w:t xml:space="preserve"> </w:t>
            </w:r>
          </w:p>
          <w:p w14:paraId="22545D7B" w14:textId="77777777" w:rsidR="006B6350" w:rsidRDefault="006B6350">
            <w:pPr>
              <w:rPr>
                <w:rFonts w:ascii="Verdana" w:hAnsi="Verdana"/>
                <w:sz w:val="20"/>
                <w:szCs w:val="20"/>
              </w:rPr>
            </w:pPr>
          </w:p>
          <w:p w14:paraId="0598BFE5" w14:textId="761DAFB4" w:rsidR="00760277" w:rsidRPr="00B76BE0" w:rsidRDefault="00760277">
            <w:pPr>
              <w:rPr>
                <w:rFonts w:ascii="Verdana" w:hAnsi="Verdana"/>
                <w:sz w:val="20"/>
                <w:szCs w:val="20"/>
              </w:rPr>
            </w:pPr>
            <w:r w:rsidRPr="002B7F9E">
              <w:rPr>
                <w:rFonts w:ascii="Verdana" w:hAnsi="Verdana"/>
                <w:sz w:val="20"/>
                <w:szCs w:val="20"/>
                <w:highlight w:val="yellow"/>
              </w:rPr>
              <w:t xml:space="preserve">COPL02/23 : demande au secrétariat de lancer l’étude mentionnée à la décision </w:t>
            </w:r>
            <w:proofErr w:type="gramStart"/>
            <w:r w:rsidRPr="002B7F9E">
              <w:rPr>
                <w:rFonts w:ascii="Verdana" w:hAnsi="Verdana"/>
                <w:sz w:val="20"/>
                <w:szCs w:val="20"/>
                <w:highlight w:val="yellow"/>
              </w:rPr>
              <w:t>4.b.</w:t>
            </w:r>
            <w:proofErr w:type="gramEnd"/>
          </w:p>
        </w:tc>
        <w:tc>
          <w:tcPr>
            <w:tcW w:w="1984" w:type="dxa"/>
          </w:tcPr>
          <w:p w14:paraId="5006650B" w14:textId="77777777" w:rsidR="00293A06" w:rsidRPr="00B76BE0" w:rsidRDefault="00293A06">
            <w:pPr>
              <w:rPr>
                <w:rFonts w:ascii="Verdana" w:hAnsi="Verdana"/>
                <w:sz w:val="20"/>
                <w:szCs w:val="20"/>
              </w:rPr>
            </w:pPr>
          </w:p>
        </w:tc>
        <w:tc>
          <w:tcPr>
            <w:tcW w:w="1904" w:type="dxa"/>
          </w:tcPr>
          <w:p w14:paraId="205F4152" w14:textId="77777777" w:rsidR="00293A06" w:rsidRPr="00B76BE0" w:rsidRDefault="00293A06">
            <w:pPr>
              <w:rPr>
                <w:rFonts w:ascii="Verdana" w:hAnsi="Verdana"/>
                <w:sz w:val="20"/>
                <w:szCs w:val="20"/>
              </w:rPr>
            </w:pPr>
          </w:p>
        </w:tc>
      </w:tr>
      <w:tr w:rsidR="00934F28" w:rsidRPr="00B76BE0" w14:paraId="41E51865" w14:textId="77777777" w:rsidTr="42DBEA26">
        <w:tc>
          <w:tcPr>
            <w:tcW w:w="14520" w:type="dxa"/>
            <w:gridSpan w:val="4"/>
            <w:shd w:val="clear" w:color="auto" w:fill="ED7D31" w:themeFill="accent2"/>
          </w:tcPr>
          <w:p w14:paraId="7E669EC0" w14:textId="57F544D3" w:rsidR="00934F28" w:rsidRPr="00B76BE0" w:rsidRDefault="00934F28" w:rsidP="00B76BE0">
            <w:pPr>
              <w:pStyle w:val="Titre2"/>
              <w:rPr>
                <w:rFonts w:ascii="Verdana" w:hAnsi="Verdana"/>
                <w:b/>
                <w:bCs/>
                <w:sz w:val="20"/>
                <w:szCs w:val="20"/>
              </w:rPr>
            </w:pPr>
            <w:bookmarkStart w:id="1" w:name="_Toc148092200"/>
            <w:r w:rsidRPr="00B76BE0">
              <w:rPr>
                <w:rFonts w:ascii="Verdana" w:hAnsi="Verdana"/>
                <w:b/>
                <w:bCs/>
                <w:color w:val="FFFFFF" w:themeColor="background1"/>
                <w:sz w:val="20"/>
                <w:szCs w:val="20"/>
              </w:rPr>
              <w:t>Domaines d’intervention</w:t>
            </w:r>
            <w:bookmarkEnd w:id="1"/>
          </w:p>
        </w:tc>
      </w:tr>
      <w:tr w:rsidR="00293A06" w:rsidRPr="00B76BE0" w14:paraId="3BA44E0E" w14:textId="77777777" w:rsidTr="42DBEA26">
        <w:tc>
          <w:tcPr>
            <w:tcW w:w="5529" w:type="dxa"/>
          </w:tcPr>
          <w:p w14:paraId="47ED1D4A" w14:textId="77777777" w:rsidR="00293A06" w:rsidRPr="00B76BE0" w:rsidRDefault="00934F28">
            <w:pPr>
              <w:rPr>
                <w:rFonts w:ascii="Verdana" w:hAnsi="Verdana"/>
                <w:b/>
                <w:bCs/>
                <w:sz w:val="20"/>
                <w:szCs w:val="20"/>
              </w:rPr>
            </w:pPr>
            <w:r w:rsidRPr="00B76BE0">
              <w:rPr>
                <w:rFonts w:ascii="Verdana" w:hAnsi="Verdana"/>
                <w:b/>
                <w:bCs/>
                <w:sz w:val="20"/>
                <w:szCs w:val="20"/>
              </w:rPr>
              <w:t>Décision 5 – Priorité de la présidence malgache en exercice de la COI</w:t>
            </w:r>
          </w:p>
          <w:p w14:paraId="1D1D711D" w14:textId="77777777" w:rsidR="00E83A5F" w:rsidRPr="00E826BF" w:rsidRDefault="00E83A5F" w:rsidP="00E83A5F">
            <w:pPr>
              <w:pStyle w:val="Titrepartie"/>
              <w:numPr>
                <w:ilvl w:val="0"/>
                <w:numId w:val="0"/>
              </w:numPr>
              <w:spacing w:after="120"/>
              <w:contextualSpacing w:val="0"/>
              <w:rPr>
                <w:b w:val="0"/>
                <w:bCs w:val="0"/>
                <w:color w:val="auto"/>
                <w:sz w:val="20"/>
                <w:szCs w:val="18"/>
              </w:rPr>
            </w:pPr>
            <w:r w:rsidRPr="00E826BF">
              <w:rPr>
                <w:b w:val="0"/>
                <w:bCs w:val="0"/>
                <w:color w:val="auto"/>
                <w:sz w:val="20"/>
                <w:szCs w:val="18"/>
              </w:rPr>
              <w:t xml:space="preserve">Le Conseil des ministres : </w:t>
            </w:r>
          </w:p>
          <w:p w14:paraId="0D893629" w14:textId="77777777" w:rsidR="00E83A5F" w:rsidRPr="00E826BF" w:rsidRDefault="00E83A5F" w:rsidP="00E83A5F">
            <w:pPr>
              <w:pStyle w:val="Titrepartie"/>
              <w:numPr>
                <w:ilvl w:val="0"/>
                <w:numId w:val="24"/>
              </w:numPr>
              <w:spacing w:after="120"/>
              <w:ind w:left="567" w:hanging="425"/>
              <w:contextualSpacing w:val="0"/>
              <w:rPr>
                <w:b w:val="0"/>
                <w:bCs w:val="0"/>
                <w:color w:val="auto"/>
                <w:sz w:val="20"/>
                <w:szCs w:val="18"/>
              </w:rPr>
            </w:pPr>
            <w:r w:rsidRPr="00E826BF">
              <w:rPr>
                <w:b w:val="0"/>
                <w:bCs w:val="0"/>
                <w:color w:val="auto"/>
                <w:sz w:val="20"/>
                <w:szCs w:val="18"/>
              </w:rPr>
              <w:t xml:space="preserve">Remercie la présidence malagasy du Conseil des ministres pour son impulsion aux actions de la COI ; </w:t>
            </w:r>
          </w:p>
          <w:p w14:paraId="63EF8774" w14:textId="77777777" w:rsidR="00E83A5F" w:rsidRPr="00E826BF" w:rsidRDefault="00E83A5F" w:rsidP="00E83A5F">
            <w:pPr>
              <w:pStyle w:val="Titrepartie"/>
              <w:numPr>
                <w:ilvl w:val="0"/>
                <w:numId w:val="24"/>
              </w:numPr>
              <w:spacing w:after="120"/>
              <w:ind w:left="567" w:hanging="425"/>
              <w:contextualSpacing w:val="0"/>
              <w:rPr>
                <w:b w:val="0"/>
                <w:bCs w:val="0"/>
                <w:color w:val="auto"/>
                <w:sz w:val="20"/>
                <w:szCs w:val="18"/>
              </w:rPr>
            </w:pPr>
            <w:r w:rsidRPr="00E826BF">
              <w:rPr>
                <w:b w:val="0"/>
                <w:bCs w:val="0"/>
                <w:color w:val="auto"/>
                <w:sz w:val="20"/>
                <w:szCs w:val="18"/>
              </w:rPr>
              <w:t>Demande au Secrétariat général de poursuivre la mobilisation des partenaires pour des activités en faveur de la sécurité alimentaire et nutritionnelle</w:t>
            </w:r>
            <w:r>
              <w:rPr>
                <w:b w:val="0"/>
                <w:bCs w:val="0"/>
                <w:color w:val="auto"/>
                <w:sz w:val="20"/>
                <w:szCs w:val="18"/>
              </w:rPr>
              <w:t xml:space="preserve"> en lien avec les besoins régionaux et le contexte qui prévaut</w:t>
            </w:r>
            <w:r w:rsidRPr="00E826BF">
              <w:rPr>
                <w:b w:val="0"/>
                <w:bCs w:val="0"/>
                <w:color w:val="auto"/>
                <w:sz w:val="20"/>
                <w:szCs w:val="18"/>
              </w:rPr>
              <w:t xml:space="preserve"> ; </w:t>
            </w:r>
          </w:p>
          <w:p w14:paraId="772C4EB2" w14:textId="77777777" w:rsidR="00E83A5F" w:rsidRPr="00E826BF" w:rsidRDefault="00E83A5F" w:rsidP="00E83A5F">
            <w:pPr>
              <w:pStyle w:val="Titrepartie"/>
              <w:numPr>
                <w:ilvl w:val="0"/>
                <w:numId w:val="24"/>
              </w:numPr>
              <w:spacing w:after="120"/>
              <w:ind w:left="567" w:hanging="425"/>
              <w:contextualSpacing w:val="0"/>
              <w:rPr>
                <w:b w:val="0"/>
                <w:bCs w:val="0"/>
                <w:color w:val="auto"/>
                <w:sz w:val="20"/>
                <w:szCs w:val="18"/>
              </w:rPr>
            </w:pPr>
            <w:r w:rsidRPr="00E826BF">
              <w:rPr>
                <w:b w:val="0"/>
                <w:bCs w:val="0"/>
                <w:color w:val="auto"/>
                <w:sz w:val="20"/>
                <w:szCs w:val="18"/>
              </w:rPr>
              <w:t xml:space="preserve">Invite les partenaires au développement et les membres observateurs à soutenir la poursuite des actions de la COI en faveur de la pleine opérationnalisation et </w:t>
            </w:r>
            <w:r>
              <w:rPr>
                <w:b w:val="0"/>
                <w:bCs w:val="0"/>
                <w:color w:val="auto"/>
                <w:sz w:val="20"/>
                <w:szCs w:val="18"/>
              </w:rPr>
              <w:t xml:space="preserve">de </w:t>
            </w:r>
            <w:r w:rsidRPr="00E826BF">
              <w:rPr>
                <w:b w:val="0"/>
                <w:bCs w:val="0"/>
                <w:color w:val="auto"/>
                <w:sz w:val="20"/>
                <w:szCs w:val="18"/>
              </w:rPr>
              <w:t xml:space="preserve">la consolidation de l’architecture régionale de sécurité maritime ; </w:t>
            </w:r>
          </w:p>
          <w:p w14:paraId="79D3EF88" w14:textId="77777777" w:rsidR="00E83A5F" w:rsidRPr="00E826BF" w:rsidRDefault="00E83A5F" w:rsidP="00E83A5F">
            <w:pPr>
              <w:pStyle w:val="Titrepartie"/>
              <w:numPr>
                <w:ilvl w:val="0"/>
                <w:numId w:val="24"/>
              </w:numPr>
              <w:spacing w:after="120"/>
              <w:ind w:left="567" w:hanging="425"/>
              <w:contextualSpacing w:val="0"/>
              <w:rPr>
                <w:b w:val="0"/>
                <w:bCs w:val="0"/>
                <w:color w:val="auto"/>
                <w:sz w:val="20"/>
                <w:szCs w:val="18"/>
              </w:rPr>
            </w:pPr>
            <w:r w:rsidRPr="00E826BF">
              <w:rPr>
                <w:b w:val="0"/>
                <w:bCs w:val="0"/>
                <w:color w:val="auto"/>
                <w:sz w:val="20"/>
                <w:szCs w:val="18"/>
              </w:rPr>
              <w:lastRenderedPageBreak/>
              <w:t xml:space="preserve">Prend note des actions envisagées en faveur du développement des échanges économiques comme indiqué dans le PDS 2023-2033 ; </w:t>
            </w:r>
          </w:p>
          <w:p w14:paraId="529931C3" w14:textId="77777777" w:rsidR="00E83A5F" w:rsidRPr="00E826BF" w:rsidRDefault="00E83A5F" w:rsidP="00E83A5F">
            <w:pPr>
              <w:pStyle w:val="Titrepartie"/>
              <w:numPr>
                <w:ilvl w:val="0"/>
                <w:numId w:val="24"/>
              </w:numPr>
              <w:spacing w:after="120"/>
              <w:ind w:left="567" w:hanging="425"/>
              <w:contextualSpacing w:val="0"/>
              <w:rPr>
                <w:b w:val="0"/>
                <w:bCs w:val="0"/>
                <w:color w:val="auto"/>
                <w:sz w:val="20"/>
                <w:szCs w:val="18"/>
              </w:rPr>
            </w:pPr>
            <w:r w:rsidRPr="00E826BF">
              <w:rPr>
                <w:b w:val="0"/>
                <w:bCs w:val="0"/>
                <w:color w:val="auto"/>
                <w:sz w:val="20"/>
                <w:szCs w:val="18"/>
              </w:rPr>
              <w:t>Encourage le Secrétariat général à mobiliser les projets en cours ainsi que les membres observateurs et partenaires pour disposer de ressources permettant de mieux impliquer la jeunesse dans les actions de la COI.</w:t>
            </w:r>
          </w:p>
          <w:p w14:paraId="0CE5C338" w14:textId="06B306ED" w:rsidR="00934F28" w:rsidRPr="00B76BE0" w:rsidRDefault="00934F28">
            <w:pPr>
              <w:rPr>
                <w:rFonts w:ascii="Verdana" w:hAnsi="Verdana"/>
                <w:sz w:val="20"/>
                <w:szCs w:val="20"/>
              </w:rPr>
            </w:pPr>
          </w:p>
        </w:tc>
        <w:tc>
          <w:tcPr>
            <w:tcW w:w="5103" w:type="dxa"/>
          </w:tcPr>
          <w:p w14:paraId="657EFDBA" w14:textId="77777777" w:rsidR="00293A06" w:rsidRPr="00B76BE0" w:rsidRDefault="00293A06">
            <w:pPr>
              <w:rPr>
                <w:rFonts w:ascii="Verdana" w:hAnsi="Verdana"/>
                <w:sz w:val="20"/>
                <w:szCs w:val="20"/>
              </w:rPr>
            </w:pPr>
          </w:p>
        </w:tc>
        <w:tc>
          <w:tcPr>
            <w:tcW w:w="1984" w:type="dxa"/>
          </w:tcPr>
          <w:p w14:paraId="53D8C639" w14:textId="77777777" w:rsidR="00293A06" w:rsidRPr="00B76BE0" w:rsidRDefault="00293A06">
            <w:pPr>
              <w:rPr>
                <w:rFonts w:ascii="Verdana" w:hAnsi="Verdana"/>
                <w:sz w:val="20"/>
                <w:szCs w:val="20"/>
              </w:rPr>
            </w:pPr>
          </w:p>
        </w:tc>
        <w:tc>
          <w:tcPr>
            <w:tcW w:w="1904" w:type="dxa"/>
          </w:tcPr>
          <w:p w14:paraId="3E396A00" w14:textId="77777777" w:rsidR="00293A06" w:rsidRPr="00B76BE0" w:rsidRDefault="00293A06">
            <w:pPr>
              <w:rPr>
                <w:rFonts w:ascii="Verdana" w:hAnsi="Verdana"/>
                <w:sz w:val="20"/>
                <w:szCs w:val="20"/>
              </w:rPr>
            </w:pPr>
          </w:p>
        </w:tc>
      </w:tr>
      <w:tr w:rsidR="00934F28" w:rsidRPr="00B76BE0" w14:paraId="1DADBF01" w14:textId="77777777" w:rsidTr="42DBEA26">
        <w:tc>
          <w:tcPr>
            <w:tcW w:w="5529" w:type="dxa"/>
          </w:tcPr>
          <w:p w14:paraId="0EBC51ED" w14:textId="77777777" w:rsidR="00934F28" w:rsidRPr="00B76BE0" w:rsidRDefault="00934F28">
            <w:pPr>
              <w:rPr>
                <w:rFonts w:ascii="Verdana" w:hAnsi="Verdana"/>
                <w:b/>
                <w:bCs/>
                <w:sz w:val="20"/>
                <w:szCs w:val="20"/>
              </w:rPr>
            </w:pPr>
            <w:r w:rsidRPr="00B76BE0">
              <w:rPr>
                <w:rFonts w:ascii="Verdana" w:hAnsi="Verdana"/>
                <w:b/>
                <w:bCs/>
                <w:sz w:val="20"/>
                <w:szCs w:val="20"/>
              </w:rPr>
              <w:t>Décision 6 – Paix et stabilité</w:t>
            </w:r>
          </w:p>
          <w:p w14:paraId="3BB4745D" w14:textId="77777777" w:rsidR="00277A90" w:rsidRPr="00E62C8A" w:rsidRDefault="00277A90" w:rsidP="00277A90">
            <w:pPr>
              <w:pStyle w:val="Paragraphe"/>
              <w:spacing w:after="120" w:line="276" w:lineRule="auto"/>
            </w:pPr>
            <w:r w:rsidRPr="00E62C8A">
              <w:t>Le Conseil des ministres :</w:t>
            </w:r>
          </w:p>
          <w:p w14:paraId="14E0E695" w14:textId="77777777" w:rsidR="00277A90" w:rsidRPr="00E62C8A" w:rsidRDefault="00277A90" w:rsidP="00277A90">
            <w:pPr>
              <w:pStyle w:val="Paragraphe"/>
              <w:numPr>
                <w:ilvl w:val="0"/>
                <w:numId w:val="25"/>
              </w:numPr>
              <w:spacing w:after="120" w:line="276" w:lineRule="auto"/>
              <w:rPr>
                <w:lang w:val="fr-BE"/>
              </w:rPr>
            </w:pPr>
            <w:r w:rsidRPr="00E62C8A">
              <w:rPr>
                <w:lang w:val="fr-BE"/>
              </w:rPr>
              <w:t xml:space="preserve">Se félicite du démarrage effectif et de la variété des activités du projet Gouvernance, paix et stabilité (GPS), notamment en ce qu’il s’agit de la redynamisation de l’Association des Parlementaires des Etats membres de la COI (AP-COI) et de la </w:t>
            </w:r>
            <w:r w:rsidRPr="00E62C8A">
              <w:t xml:space="preserve">Plateforme des femmes en politique de l’océan Indien, de la création du Réseau électoral de l’océan Indien ou encore de la </w:t>
            </w:r>
            <w:r w:rsidRPr="00E62C8A">
              <w:rPr>
                <w:lang w:val="fr-BE"/>
              </w:rPr>
              <w:t xml:space="preserve">mise en œuvre du </w:t>
            </w:r>
            <w:r w:rsidRPr="00E62C8A">
              <w:rPr>
                <w:rFonts w:eastAsia="Times New Roman"/>
                <w:lang w:eastAsia="fr-FR"/>
              </w:rPr>
              <w:t xml:space="preserve">Cadre de Coopération entre le Secrétariat général de la </w:t>
            </w:r>
            <w:r w:rsidRPr="00E62C8A">
              <w:t>COI et le Secrétariat de l’Organisation des Nations unies</w:t>
            </w:r>
            <w:r w:rsidRPr="00E62C8A">
              <w:rPr>
                <w:lang w:val="fr-BE"/>
              </w:rPr>
              <w:t xml:space="preserve"> ; </w:t>
            </w:r>
          </w:p>
          <w:p w14:paraId="12FAB0F5" w14:textId="77777777" w:rsidR="00277A90" w:rsidRPr="00E62C8A" w:rsidRDefault="00277A90" w:rsidP="00277A90">
            <w:pPr>
              <w:pStyle w:val="Paragraphe"/>
              <w:numPr>
                <w:ilvl w:val="0"/>
                <w:numId w:val="25"/>
              </w:numPr>
              <w:spacing w:after="120" w:line="276" w:lineRule="auto"/>
              <w:rPr>
                <w:lang w:val="fr-BE"/>
              </w:rPr>
            </w:pPr>
            <w:r w:rsidRPr="00E62C8A">
              <w:rPr>
                <w:lang w:val="fr-BE"/>
              </w:rPr>
              <w:t>Adresse ses remerciements à la Présidence mauricienne de l’AP-COI et au parlement malagasy pour leur contribution au processus de redynamisation de l’Association</w:t>
            </w:r>
            <w:r>
              <w:rPr>
                <w:lang w:val="fr-BE"/>
              </w:rPr>
              <w:t> ;</w:t>
            </w:r>
          </w:p>
          <w:p w14:paraId="36635DC7" w14:textId="77777777" w:rsidR="00277A90" w:rsidRPr="00E62C8A" w:rsidRDefault="00277A90" w:rsidP="00277A90">
            <w:pPr>
              <w:pStyle w:val="Paragraphe"/>
              <w:numPr>
                <w:ilvl w:val="0"/>
                <w:numId w:val="25"/>
              </w:numPr>
              <w:spacing w:after="120" w:line="276" w:lineRule="auto"/>
              <w:rPr>
                <w:lang w:val="fr-BE"/>
              </w:rPr>
            </w:pPr>
            <w:r w:rsidRPr="00E62C8A">
              <w:rPr>
                <w:lang w:val="fr-BE"/>
              </w:rPr>
              <w:lastRenderedPageBreak/>
              <w:t xml:space="preserve">Réitère l’importance d’associer ces plateformes régionales aux actions de coopération politique et diplomatique de la COI </w:t>
            </w:r>
            <w:r w:rsidRPr="00E62C8A">
              <w:t>et confirme la volonté de la COI à appuyer ces initiatives régionales à travers le projet GPS</w:t>
            </w:r>
            <w:r>
              <w:t> ;</w:t>
            </w:r>
          </w:p>
          <w:p w14:paraId="1D116CAB" w14:textId="77777777" w:rsidR="00277A90" w:rsidRPr="00E62C8A" w:rsidRDefault="00277A90" w:rsidP="00277A90">
            <w:pPr>
              <w:pStyle w:val="Paragraphe"/>
              <w:numPr>
                <w:ilvl w:val="0"/>
                <w:numId w:val="25"/>
              </w:numPr>
              <w:spacing w:after="120" w:line="276" w:lineRule="auto"/>
              <w:rPr>
                <w:lang w:val="fr-BE"/>
              </w:rPr>
            </w:pPr>
            <w:r w:rsidRPr="00E62C8A">
              <w:rPr>
                <w:lang w:val="fr-BE"/>
              </w:rPr>
              <w:t>Convient de la création d’une « unité de gouvernance » au sein du Secrétariat général sur la base des termes de référence proposés et qui aura, notamment, pour mission d’assurer les secrétariats de l’AP-COI et de la plateforme des femmes en politique de l’océan Indien auprès du Secrétariat général de la COI</w:t>
            </w:r>
            <w:r>
              <w:rPr>
                <w:lang w:val="fr-BE"/>
              </w:rPr>
              <w:t> ;</w:t>
            </w:r>
          </w:p>
          <w:p w14:paraId="408299A3" w14:textId="77777777" w:rsidR="00277A90" w:rsidRPr="00E62C8A" w:rsidRDefault="00277A90" w:rsidP="00277A90">
            <w:pPr>
              <w:pStyle w:val="Paragraphe"/>
              <w:numPr>
                <w:ilvl w:val="0"/>
                <w:numId w:val="25"/>
              </w:numPr>
              <w:spacing w:after="120" w:line="276" w:lineRule="auto"/>
              <w:rPr>
                <w:lang w:val="fr-BE"/>
              </w:rPr>
            </w:pPr>
            <w:r w:rsidRPr="00E62C8A">
              <w:rPr>
                <w:lang w:val="fr-BE"/>
              </w:rPr>
              <w:t xml:space="preserve">Demande au Secrétariat général de mobiliser les moyens humains, techniques et financiers afin de rendre opérationnelle l’unité de gouvernance avec le concours du projet GPS et de proposer aux Etats membres un plan de pérennisation de cette unité ;  </w:t>
            </w:r>
          </w:p>
          <w:p w14:paraId="6D4CE0EC" w14:textId="77777777" w:rsidR="00277A90" w:rsidRPr="00E62C8A" w:rsidRDefault="00277A90" w:rsidP="00277A90">
            <w:pPr>
              <w:pStyle w:val="Paragraphe"/>
              <w:numPr>
                <w:ilvl w:val="0"/>
                <w:numId w:val="25"/>
              </w:numPr>
              <w:spacing w:after="120" w:line="276" w:lineRule="auto"/>
              <w:rPr>
                <w:lang w:val="fr-BE"/>
              </w:rPr>
            </w:pPr>
            <w:r w:rsidRPr="00E62C8A">
              <w:rPr>
                <w:lang w:val="fr-BE"/>
              </w:rPr>
              <w:t>Remercie l’Agence française de développement pour son appui aux actions en faveur de la gouvernance démocratique, la paix et la stabilité dans la région à travers le projet GPS.</w:t>
            </w:r>
          </w:p>
          <w:p w14:paraId="3C85FF4B" w14:textId="4207AE3F" w:rsidR="00934F28" w:rsidRPr="00277A90" w:rsidRDefault="00934F28">
            <w:pPr>
              <w:rPr>
                <w:rFonts w:ascii="Verdana" w:hAnsi="Verdana"/>
                <w:sz w:val="20"/>
                <w:szCs w:val="20"/>
                <w:lang w:val="fr-BE"/>
              </w:rPr>
            </w:pPr>
          </w:p>
        </w:tc>
        <w:tc>
          <w:tcPr>
            <w:tcW w:w="5103" w:type="dxa"/>
          </w:tcPr>
          <w:p w14:paraId="5DE3B226" w14:textId="7E36C239" w:rsidR="00934F28" w:rsidRPr="00B76BE0" w:rsidRDefault="00934F28" w:rsidP="1CB6CDDC">
            <w:pPr>
              <w:rPr>
                <w:rFonts w:ascii="Verdana" w:hAnsi="Verdana"/>
                <w:sz w:val="20"/>
                <w:szCs w:val="20"/>
              </w:rPr>
            </w:pPr>
          </w:p>
          <w:p w14:paraId="72BC1355" w14:textId="3358B7A7" w:rsidR="00934F28" w:rsidRPr="00B76BE0" w:rsidRDefault="00934F28" w:rsidP="1CB6CDDC">
            <w:pPr>
              <w:rPr>
                <w:rFonts w:ascii="Verdana" w:hAnsi="Verdana"/>
                <w:sz w:val="20"/>
                <w:szCs w:val="20"/>
              </w:rPr>
            </w:pPr>
          </w:p>
          <w:p w14:paraId="32837BAB" w14:textId="33911A23" w:rsidR="00934F28" w:rsidRPr="00B76BE0" w:rsidRDefault="00934F28" w:rsidP="1CB6CDDC">
            <w:pPr>
              <w:rPr>
                <w:rFonts w:ascii="Verdana" w:hAnsi="Verdana"/>
                <w:sz w:val="20"/>
                <w:szCs w:val="20"/>
              </w:rPr>
            </w:pPr>
          </w:p>
          <w:p w14:paraId="33A44A11" w14:textId="1AFF8491" w:rsidR="00934F28" w:rsidRPr="00B76BE0" w:rsidRDefault="31DD541E" w:rsidP="1CB6CDDC">
            <w:pPr>
              <w:rPr>
                <w:rFonts w:ascii="Verdana" w:hAnsi="Verdana"/>
                <w:sz w:val="20"/>
                <w:szCs w:val="20"/>
              </w:rPr>
            </w:pPr>
            <w:r w:rsidRPr="51304189">
              <w:rPr>
                <w:rFonts w:ascii="Verdana" w:hAnsi="Verdana"/>
                <w:sz w:val="20"/>
                <w:szCs w:val="20"/>
              </w:rPr>
              <w:t xml:space="preserve">Nous attelons actuellement </w:t>
            </w:r>
            <w:r w:rsidR="3EB87E63" w:rsidRPr="51304189">
              <w:rPr>
                <w:rFonts w:ascii="Verdana" w:hAnsi="Verdana"/>
                <w:sz w:val="20"/>
                <w:szCs w:val="20"/>
              </w:rPr>
              <w:t>à</w:t>
            </w:r>
            <w:r w:rsidRPr="51304189">
              <w:rPr>
                <w:rFonts w:ascii="Verdana" w:hAnsi="Verdana"/>
                <w:sz w:val="20"/>
                <w:szCs w:val="20"/>
              </w:rPr>
              <w:t xml:space="preserve"> la consolidation de ces plateformes et du renforcement de la collaboration avec les partenaires techniques dans le cadre de la</w:t>
            </w:r>
            <w:r w:rsidR="348550A1" w:rsidRPr="51304189">
              <w:rPr>
                <w:rFonts w:ascii="Verdana" w:hAnsi="Verdana"/>
                <w:sz w:val="20"/>
                <w:szCs w:val="20"/>
              </w:rPr>
              <w:t xml:space="preserve"> </w:t>
            </w:r>
            <w:r w:rsidR="7E196723" w:rsidRPr="51304189">
              <w:rPr>
                <w:rFonts w:ascii="Verdana" w:hAnsi="Verdana"/>
                <w:sz w:val="20"/>
                <w:szCs w:val="20"/>
              </w:rPr>
              <w:t>réflexion</w:t>
            </w:r>
            <w:r w:rsidR="348550A1" w:rsidRPr="51304189">
              <w:rPr>
                <w:rFonts w:ascii="Verdana" w:hAnsi="Verdana"/>
                <w:sz w:val="20"/>
                <w:szCs w:val="20"/>
              </w:rPr>
              <w:t xml:space="preserve"> </w:t>
            </w:r>
            <w:r w:rsidR="6858FDD8" w:rsidRPr="51304189">
              <w:rPr>
                <w:rFonts w:ascii="Verdana" w:hAnsi="Verdana"/>
                <w:sz w:val="20"/>
                <w:szCs w:val="20"/>
              </w:rPr>
              <w:t>menée</w:t>
            </w:r>
            <w:r w:rsidR="348550A1" w:rsidRPr="51304189">
              <w:rPr>
                <w:rFonts w:ascii="Verdana" w:hAnsi="Verdana"/>
                <w:sz w:val="20"/>
                <w:szCs w:val="20"/>
              </w:rPr>
              <w:t xml:space="preserve"> en vue de leur </w:t>
            </w:r>
            <w:r w:rsidR="451F14C7" w:rsidRPr="51304189">
              <w:rPr>
                <w:rFonts w:ascii="Verdana" w:hAnsi="Verdana"/>
                <w:sz w:val="20"/>
                <w:szCs w:val="20"/>
              </w:rPr>
              <w:t>pérennisation :</w:t>
            </w:r>
            <w:r w:rsidR="64ACE9E4" w:rsidRPr="51304189">
              <w:rPr>
                <w:rFonts w:ascii="Verdana" w:hAnsi="Verdana"/>
                <w:sz w:val="20"/>
                <w:szCs w:val="20"/>
              </w:rPr>
              <w:t xml:space="preserve"> mise place des trois </w:t>
            </w:r>
            <w:r w:rsidR="29154420" w:rsidRPr="51304189">
              <w:rPr>
                <w:rFonts w:ascii="Verdana" w:hAnsi="Verdana"/>
                <w:sz w:val="20"/>
                <w:szCs w:val="20"/>
              </w:rPr>
              <w:t>secrétariats</w:t>
            </w:r>
            <w:r w:rsidR="64ACE9E4" w:rsidRPr="51304189">
              <w:rPr>
                <w:rFonts w:ascii="Verdana" w:hAnsi="Verdana"/>
                <w:sz w:val="20"/>
                <w:szCs w:val="20"/>
              </w:rPr>
              <w:t xml:space="preserve"> (AP-COI/FPOI/REOI).</w:t>
            </w:r>
          </w:p>
          <w:p w14:paraId="07F770DA" w14:textId="0223B7FC" w:rsidR="00934F28" w:rsidRPr="00B76BE0" w:rsidRDefault="00934F28" w:rsidP="1CB6CDDC">
            <w:pPr>
              <w:rPr>
                <w:rFonts w:ascii="Verdana" w:hAnsi="Verdana"/>
                <w:sz w:val="20"/>
                <w:szCs w:val="20"/>
              </w:rPr>
            </w:pPr>
          </w:p>
          <w:p w14:paraId="4DAA6E48" w14:textId="6D1595D1" w:rsidR="00934F28" w:rsidRPr="00B76BE0" w:rsidRDefault="00934F28" w:rsidP="1CB6CDDC">
            <w:pPr>
              <w:rPr>
                <w:rFonts w:ascii="Verdana" w:hAnsi="Verdana"/>
                <w:sz w:val="20"/>
                <w:szCs w:val="20"/>
              </w:rPr>
            </w:pPr>
          </w:p>
          <w:p w14:paraId="64E050F0" w14:textId="54E1DB2D" w:rsidR="00934F28" w:rsidRPr="00B76BE0" w:rsidRDefault="00934F28" w:rsidP="1CB6CDDC">
            <w:pPr>
              <w:rPr>
                <w:rFonts w:ascii="Verdana" w:hAnsi="Verdana"/>
                <w:sz w:val="20"/>
                <w:szCs w:val="20"/>
              </w:rPr>
            </w:pPr>
          </w:p>
          <w:p w14:paraId="74371DBF" w14:textId="60583790" w:rsidR="00934F28" w:rsidRPr="00B76BE0" w:rsidRDefault="00934F28" w:rsidP="1CB6CDDC">
            <w:pPr>
              <w:rPr>
                <w:rFonts w:ascii="Verdana" w:hAnsi="Verdana"/>
                <w:sz w:val="20"/>
                <w:szCs w:val="20"/>
              </w:rPr>
            </w:pPr>
          </w:p>
          <w:p w14:paraId="71303ACC" w14:textId="2DCADE0D" w:rsidR="00934F28" w:rsidRPr="00B76BE0" w:rsidRDefault="00934F28" w:rsidP="1CB6CDDC">
            <w:pPr>
              <w:rPr>
                <w:rFonts w:ascii="Verdana" w:hAnsi="Verdana"/>
                <w:sz w:val="20"/>
                <w:szCs w:val="20"/>
              </w:rPr>
            </w:pPr>
          </w:p>
          <w:p w14:paraId="372A113A" w14:textId="2C51DB99" w:rsidR="00934F28" w:rsidRPr="00B76BE0" w:rsidRDefault="00934F28" w:rsidP="1CB6CDDC">
            <w:pPr>
              <w:rPr>
                <w:rFonts w:ascii="Verdana" w:hAnsi="Verdana"/>
                <w:sz w:val="20"/>
                <w:szCs w:val="20"/>
              </w:rPr>
            </w:pPr>
          </w:p>
          <w:p w14:paraId="53639A4A" w14:textId="3D62073F" w:rsidR="00934F28" w:rsidRPr="00B76BE0" w:rsidRDefault="00934F28" w:rsidP="1CB6CDDC">
            <w:pPr>
              <w:rPr>
                <w:rFonts w:ascii="Verdana" w:hAnsi="Verdana"/>
                <w:sz w:val="20"/>
                <w:szCs w:val="20"/>
              </w:rPr>
            </w:pPr>
          </w:p>
          <w:p w14:paraId="7146ADF8" w14:textId="6C29A38D" w:rsidR="00934F28" w:rsidRPr="00B76BE0" w:rsidRDefault="00934F28" w:rsidP="1CB6CDDC">
            <w:pPr>
              <w:rPr>
                <w:rFonts w:ascii="Verdana" w:hAnsi="Verdana"/>
                <w:sz w:val="20"/>
                <w:szCs w:val="20"/>
              </w:rPr>
            </w:pPr>
          </w:p>
          <w:p w14:paraId="0E81A0B5" w14:textId="20F8877D" w:rsidR="00934F28" w:rsidRPr="00B76BE0" w:rsidRDefault="00934F28" w:rsidP="1CB6CDDC">
            <w:pPr>
              <w:rPr>
                <w:rFonts w:ascii="Verdana" w:hAnsi="Verdana"/>
                <w:sz w:val="20"/>
                <w:szCs w:val="20"/>
              </w:rPr>
            </w:pPr>
          </w:p>
          <w:p w14:paraId="77912312" w14:textId="68E63E90" w:rsidR="00934F28" w:rsidRPr="00B76BE0" w:rsidRDefault="00934F28" w:rsidP="1CB6CDDC">
            <w:pPr>
              <w:rPr>
                <w:rFonts w:ascii="Verdana" w:hAnsi="Verdana"/>
                <w:sz w:val="20"/>
                <w:szCs w:val="20"/>
              </w:rPr>
            </w:pPr>
          </w:p>
          <w:p w14:paraId="3897385D" w14:textId="10E0BE5E" w:rsidR="00934F28" w:rsidRPr="00B76BE0" w:rsidRDefault="00934F28" w:rsidP="1CB6CDDC">
            <w:pPr>
              <w:rPr>
                <w:rFonts w:ascii="Verdana" w:hAnsi="Verdana"/>
                <w:sz w:val="20"/>
                <w:szCs w:val="20"/>
              </w:rPr>
            </w:pPr>
          </w:p>
          <w:p w14:paraId="3654E217" w14:textId="54A31C89" w:rsidR="00934F28" w:rsidRPr="00B76BE0" w:rsidRDefault="00934F28" w:rsidP="1CB6CDDC">
            <w:pPr>
              <w:rPr>
                <w:rFonts w:ascii="Verdana" w:hAnsi="Verdana"/>
                <w:sz w:val="20"/>
                <w:szCs w:val="20"/>
              </w:rPr>
            </w:pPr>
          </w:p>
          <w:p w14:paraId="72EAC77E" w14:textId="3E4F24C0" w:rsidR="00934F28" w:rsidRPr="00B76BE0" w:rsidRDefault="00934F28" w:rsidP="1CB6CDDC">
            <w:pPr>
              <w:rPr>
                <w:rFonts w:ascii="Verdana" w:hAnsi="Verdana"/>
                <w:sz w:val="20"/>
                <w:szCs w:val="20"/>
              </w:rPr>
            </w:pPr>
          </w:p>
          <w:p w14:paraId="0457C8E9" w14:textId="5DCB1282" w:rsidR="00934F28" w:rsidRPr="00B76BE0" w:rsidRDefault="00934F28" w:rsidP="1CB6CDDC">
            <w:pPr>
              <w:rPr>
                <w:rFonts w:ascii="Verdana" w:hAnsi="Verdana"/>
                <w:sz w:val="20"/>
                <w:szCs w:val="20"/>
              </w:rPr>
            </w:pPr>
          </w:p>
          <w:p w14:paraId="2EC96571" w14:textId="074799E7" w:rsidR="00934F28" w:rsidRPr="00B76BE0" w:rsidRDefault="0F0566BF" w:rsidP="1CB6CDDC">
            <w:pPr>
              <w:rPr>
                <w:rFonts w:ascii="Verdana" w:hAnsi="Verdana"/>
                <w:sz w:val="20"/>
                <w:szCs w:val="20"/>
              </w:rPr>
            </w:pPr>
            <w:r w:rsidRPr="51304189">
              <w:rPr>
                <w:rFonts w:ascii="Verdana" w:hAnsi="Verdana"/>
                <w:sz w:val="20"/>
                <w:szCs w:val="20"/>
              </w:rPr>
              <w:t xml:space="preserve">La réflexion est menée en vue du renforcement de la collaboration AP-COI/COI. Ces points seront traites </w:t>
            </w:r>
            <w:r w:rsidR="1AD0893D" w:rsidRPr="51304189">
              <w:rPr>
                <w:rFonts w:ascii="Verdana" w:hAnsi="Verdana"/>
                <w:sz w:val="20"/>
                <w:szCs w:val="20"/>
              </w:rPr>
              <w:t>à l’occasion de la prochaine réunion des organes de l’AP-COI.</w:t>
            </w:r>
          </w:p>
          <w:p w14:paraId="7E7BB52C" w14:textId="03C8351C" w:rsidR="00934F28" w:rsidRPr="00B76BE0" w:rsidRDefault="00934F28" w:rsidP="1CB6CDDC">
            <w:pPr>
              <w:rPr>
                <w:rFonts w:ascii="Verdana" w:hAnsi="Verdana"/>
                <w:sz w:val="20"/>
                <w:szCs w:val="20"/>
              </w:rPr>
            </w:pPr>
          </w:p>
          <w:p w14:paraId="6BC6E64C" w14:textId="1B9CD871" w:rsidR="00934F28" w:rsidRPr="00B76BE0" w:rsidRDefault="00934F28" w:rsidP="1CB6CDDC">
            <w:pPr>
              <w:rPr>
                <w:rFonts w:ascii="Verdana" w:hAnsi="Verdana"/>
                <w:sz w:val="20"/>
                <w:szCs w:val="20"/>
              </w:rPr>
            </w:pPr>
          </w:p>
          <w:p w14:paraId="4FA20032" w14:textId="15C71380" w:rsidR="00934F28" w:rsidRPr="00B76BE0" w:rsidRDefault="1AD0893D" w:rsidP="51304189">
            <w:pPr>
              <w:rPr>
                <w:rFonts w:ascii="Verdana" w:hAnsi="Verdana"/>
                <w:sz w:val="20"/>
                <w:szCs w:val="20"/>
              </w:rPr>
            </w:pPr>
            <w:r w:rsidRPr="51304189">
              <w:rPr>
                <w:rFonts w:ascii="Verdana" w:hAnsi="Verdana"/>
                <w:sz w:val="20"/>
                <w:szCs w:val="20"/>
              </w:rPr>
              <w:t xml:space="preserve">L’Unité sera opérationnelle </w:t>
            </w:r>
            <w:r w:rsidR="776CC638" w:rsidRPr="51304189">
              <w:rPr>
                <w:rFonts w:ascii="Verdana" w:hAnsi="Verdana"/>
                <w:sz w:val="20"/>
                <w:szCs w:val="20"/>
              </w:rPr>
              <w:t>à</w:t>
            </w:r>
            <w:r w:rsidRPr="51304189">
              <w:rPr>
                <w:rFonts w:ascii="Verdana" w:hAnsi="Verdana"/>
                <w:sz w:val="20"/>
                <w:szCs w:val="20"/>
              </w:rPr>
              <w:t xml:space="preserve"> l’issue du recrutement du coordonnateur, lequel est en cours de finalisation </w:t>
            </w:r>
          </w:p>
          <w:p w14:paraId="42DF1A10" w14:textId="7205330C" w:rsidR="00934F28" w:rsidRPr="00B76BE0" w:rsidRDefault="00934F28" w:rsidP="51304189">
            <w:pPr>
              <w:rPr>
                <w:rFonts w:ascii="Verdana" w:hAnsi="Verdana"/>
                <w:sz w:val="20"/>
                <w:szCs w:val="20"/>
              </w:rPr>
            </w:pPr>
          </w:p>
          <w:p w14:paraId="6FBFF427" w14:textId="324ECE95" w:rsidR="00934F28" w:rsidRPr="00B76BE0" w:rsidRDefault="00934F28" w:rsidP="51304189">
            <w:pPr>
              <w:rPr>
                <w:rFonts w:ascii="Verdana" w:hAnsi="Verdana"/>
                <w:sz w:val="20"/>
                <w:szCs w:val="20"/>
              </w:rPr>
            </w:pPr>
          </w:p>
          <w:p w14:paraId="7416E966" w14:textId="5D0B98A6" w:rsidR="00934F28" w:rsidRPr="00B76BE0" w:rsidRDefault="00934F28" w:rsidP="51304189">
            <w:pPr>
              <w:rPr>
                <w:rFonts w:ascii="Verdana" w:hAnsi="Verdana"/>
                <w:sz w:val="20"/>
                <w:szCs w:val="20"/>
              </w:rPr>
            </w:pPr>
          </w:p>
          <w:p w14:paraId="3F990FB3" w14:textId="3CD43BA5" w:rsidR="00934F28" w:rsidRPr="00B76BE0" w:rsidRDefault="00934F28" w:rsidP="51304189">
            <w:pPr>
              <w:rPr>
                <w:rFonts w:ascii="Verdana" w:hAnsi="Verdana"/>
                <w:sz w:val="20"/>
                <w:szCs w:val="20"/>
              </w:rPr>
            </w:pPr>
          </w:p>
          <w:p w14:paraId="32AF75F4" w14:textId="507C321F" w:rsidR="00934F28" w:rsidRPr="00B76BE0" w:rsidRDefault="00934F28" w:rsidP="51304189">
            <w:pPr>
              <w:rPr>
                <w:rFonts w:ascii="Verdana" w:hAnsi="Verdana"/>
                <w:sz w:val="20"/>
                <w:szCs w:val="20"/>
              </w:rPr>
            </w:pPr>
          </w:p>
          <w:p w14:paraId="7BD7F653" w14:textId="3CFD11FF" w:rsidR="00934F28" w:rsidRPr="00B76BE0" w:rsidRDefault="00934F28" w:rsidP="51304189">
            <w:pPr>
              <w:rPr>
                <w:rFonts w:ascii="Verdana" w:hAnsi="Verdana"/>
                <w:sz w:val="20"/>
                <w:szCs w:val="20"/>
              </w:rPr>
            </w:pPr>
          </w:p>
          <w:p w14:paraId="25435DC5" w14:textId="09BE4889" w:rsidR="00934F28" w:rsidRPr="00B76BE0" w:rsidRDefault="1AD0893D" w:rsidP="51304189">
            <w:pPr>
              <w:rPr>
                <w:rFonts w:ascii="Verdana" w:hAnsi="Verdana"/>
                <w:sz w:val="20"/>
                <w:szCs w:val="20"/>
              </w:rPr>
            </w:pPr>
            <w:r w:rsidRPr="51304189">
              <w:rPr>
                <w:rFonts w:ascii="Verdana" w:hAnsi="Verdana"/>
                <w:sz w:val="20"/>
                <w:szCs w:val="20"/>
              </w:rPr>
              <w:t>L</w:t>
            </w:r>
            <w:r w:rsidR="29EB43E9" w:rsidRPr="51304189">
              <w:rPr>
                <w:rFonts w:ascii="Verdana" w:hAnsi="Verdana"/>
                <w:sz w:val="20"/>
                <w:szCs w:val="20"/>
              </w:rPr>
              <w:t xml:space="preserve">’AFD a fait part de la possibilité de financement du poste de Chef d’Unité par le projet GPS (pour deux ans). </w:t>
            </w:r>
            <w:r w:rsidR="0439F301" w:rsidRPr="51304189">
              <w:rPr>
                <w:rFonts w:ascii="Verdana" w:hAnsi="Verdana"/>
                <w:sz w:val="20"/>
                <w:szCs w:val="20"/>
              </w:rPr>
              <w:t>La réflexion est cous en vue de l’établissement de ce plan de financement.</w:t>
            </w:r>
          </w:p>
          <w:p w14:paraId="3070EBF0" w14:textId="6FD4F5DB" w:rsidR="00934F28" w:rsidRPr="00B76BE0" w:rsidRDefault="00934F28" w:rsidP="1CB6CDDC">
            <w:pPr>
              <w:rPr>
                <w:rFonts w:ascii="Verdana" w:hAnsi="Verdana"/>
                <w:sz w:val="20"/>
                <w:szCs w:val="20"/>
              </w:rPr>
            </w:pPr>
          </w:p>
          <w:p w14:paraId="4B04FB15" w14:textId="0FCB9A94" w:rsidR="00934F28" w:rsidRPr="00B76BE0" w:rsidRDefault="00934F28" w:rsidP="1CB6CDDC">
            <w:pPr>
              <w:rPr>
                <w:rFonts w:ascii="Verdana" w:hAnsi="Verdana"/>
                <w:sz w:val="20"/>
                <w:szCs w:val="20"/>
              </w:rPr>
            </w:pPr>
          </w:p>
          <w:p w14:paraId="389BF6F1" w14:textId="32DB3CB8" w:rsidR="51304189" w:rsidRDefault="51304189" w:rsidP="51304189">
            <w:pPr>
              <w:rPr>
                <w:rFonts w:ascii="Verdana" w:hAnsi="Verdana"/>
                <w:sz w:val="20"/>
                <w:szCs w:val="20"/>
              </w:rPr>
            </w:pPr>
          </w:p>
          <w:p w14:paraId="7B9FA404" w14:textId="56653CDB" w:rsidR="00934F28" w:rsidRPr="00B76BE0" w:rsidRDefault="5600A8BC" w:rsidP="1CB6CDDC">
            <w:pPr>
              <w:rPr>
                <w:rFonts w:ascii="Verdana" w:hAnsi="Verdana"/>
                <w:sz w:val="20"/>
                <w:szCs w:val="20"/>
              </w:rPr>
            </w:pPr>
            <w:r w:rsidRPr="51304189">
              <w:rPr>
                <w:rFonts w:ascii="Verdana" w:hAnsi="Verdana"/>
                <w:sz w:val="20"/>
                <w:szCs w:val="20"/>
              </w:rPr>
              <w:t xml:space="preserve"> </w:t>
            </w:r>
          </w:p>
        </w:tc>
        <w:tc>
          <w:tcPr>
            <w:tcW w:w="1984" w:type="dxa"/>
          </w:tcPr>
          <w:p w14:paraId="366425CA" w14:textId="0A9FED18" w:rsidR="00934F28" w:rsidRPr="00B76BE0" w:rsidRDefault="00934F28">
            <w:pPr>
              <w:rPr>
                <w:rFonts w:ascii="Verdana" w:hAnsi="Verdana"/>
                <w:sz w:val="20"/>
                <w:szCs w:val="20"/>
              </w:rPr>
            </w:pPr>
          </w:p>
        </w:tc>
        <w:tc>
          <w:tcPr>
            <w:tcW w:w="1904" w:type="dxa"/>
          </w:tcPr>
          <w:p w14:paraId="3B0A856F" w14:textId="77777777" w:rsidR="00934F28" w:rsidRPr="00B76BE0" w:rsidRDefault="00934F28">
            <w:pPr>
              <w:rPr>
                <w:rFonts w:ascii="Verdana" w:hAnsi="Verdana"/>
                <w:sz w:val="20"/>
                <w:szCs w:val="20"/>
              </w:rPr>
            </w:pPr>
          </w:p>
        </w:tc>
      </w:tr>
      <w:tr w:rsidR="00934F28" w:rsidRPr="00B76BE0" w14:paraId="22FD3771" w14:textId="77777777" w:rsidTr="42DBEA26">
        <w:tc>
          <w:tcPr>
            <w:tcW w:w="5529" w:type="dxa"/>
          </w:tcPr>
          <w:p w14:paraId="048D4E02" w14:textId="76136684" w:rsidR="00934F28" w:rsidRPr="00B76BE0" w:rsidRDefault="00934F28">
            <w:pPr>
              <w:rPr>
                <w:rFonts w:ascii="Verdana" w:hAnsi="Verdana"/>
                <w:b/>
                <w:bCs/>
                <w:sz w:val="20"/>
                <w:szCs w:val="20"/>
              </w:rPr>
            </w:pPr>
            <w:r w:rsidRPr="00B76BE0">
              <w:rPr>
                <w:rFonts w:ascii="Verdana" w:hAnsi="Verdana"/>
                <w:b/>
                <w:bCs/>
                <w:sz w:val="20"/>
                <w:szCs w:val="20"/>
              </w:rPr>
              <w:lastRenderedPageBreak/>
              <w:t>Décision 7 – Pêche</w:t>
            </w:r>
          </w:p>
          <w:p w14:paraId="5E8EA367" w14:textId="77777777" w:rsidR="00383B0C" w:rsidRPr="000727E1" w:rsidRDefault="00383B0C" w:rsidP="00383B0C">
            <w:pPr>
              <w:pStyle w:val="Default"/>
              <w:spacing w:after="120"/>
              <w:jc w:val="both"/>
              <w:rPr>
                <w:sz w:val="20"/>
                <w:szCs w:val="20"/>
              </w:rPr>
            </w:pPr>
            <w:r w:rsidRPr="000727E1">
              <w:rPr>
                <w:sz w:val="20"/>
                <w:szCs w:val="20"/>
              </w:rPr>
              <w:t xml:space="preserve">Le Conseil des ministres : </w:t>
            </w:r>
          </w:p>
          <w:p w14:paraId="211F8ECC"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Remercie l’Union européenne pour son engagement aux côtés de la COI en faveur de la gestion durable des pêches et de la lutte contre la pêche </w:t>
            </w:r>
            <w:r>
              <w:rPr>
                <w:sz w:val="20"/>
                <w:szCs w:val="20"/>
              </w:rPr>
              <w:t>illicite, non-déclarée, non-réglementée (</w:t>
            </w:r>
            <w:r w:rsidRPr="000727E1">
              <w:rPr>
                <w:sz w:val="20"/>
                <w:szCs w:val="20"/>
              </w:rPr>
              <w:t>INN</w:t>
            </w:r>
            <w:r>
              <w:rPr>
                <w:sz w:val="20"/>
                <w:szCs w:val="20"/>
              </w:rPr>
              <w:t>)</w:t>
            </w:r>
            <w:r w:rsidRPr="000727E1">
              <w:rPr>
                <w:sz w:val="20"/>
                <w:szCs w:val="20"/>
              </w:rPr>
              <w:t xml:space="preserve"> dans la région du Sud-Ouest de l’océan Indien</w:t>
            </w:r>
            <w:r>
              <w:rPr>
                <w:sz w:val="20"/>
                <w:szCs w:val="20"/>
              </w:rPr>
              <w:t> ;</w:t>
            </w:r>
          </w:p>
          <w:p w14:paraId="52B5DC8F"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Renouvelle ses remerciements à l’endroit de la Banque mondiale pour son soutien continu à la gestion du secteur de la pêche dans la région du Sud-Ouest de l'océan Indien ; </w:t>
            </w:r>
          </w:p>
          <w:p w14:paraId="25DB397C"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Souligne la nécessité d’accélérer la mise en œuvre des activités prévues sous le Devis-programme marin par l’Unité de Gestion du programme COI-ECOFISH à travers le renforcement des ressources humaines ; </w:t>
            </w:r>
          </w:p>
          <w:p w14:paraId="66391439"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Invite le Secrétariat général à finaliser les procédures visant la collaboration entre la COI, la Commission des thons de l’océan Indien (CTOI) et l’Agence européenne de contrôle des pêches (EFCA) ; </w:t>
            </w:r>
          </w:p>
          <w:p w14:paraId="36C9C82B"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Prend note des recommandations du comité de pilotage régional du programme COI-ECOFISH relatives à l’extension sans budget additionnel de la période de mise en œuvre du Programme pour une durée de 18 mois et demande au Secrétariat </w:t>
            </w:r>
            <w:r w:rsidRPr="000727E1">
              <w:rPr>
                <w:sz w:val="20"/>
                <w:szCs w:val="20"/>
              </w:rPr>
              <w:lastRenderedPageBreak/>
              <w:t xml:space="preserve">général d’entamer les démarches auprès de la Délégation de l’Union européenne à Maurice conformément aux procédures en vigueur ; </w:t>
            </w:r>
          </w:p>
          <w:p w14:paraId="7610DDF4"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Encourage le renforcement de la collaboration entre le PRSP avec les entités œuvrant contre la pêche INN dans la région, notamment, le Centre de coordination de suivi, contrôle et surveillance de la SADC, l’Accord relatif à la pêche dans le Sud de l’océan Indien (APSOI), le programme MASE ; </w:t>
            </w:r>
          </w:p>
          <w:p w14:paraId="001FCCA9"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Prend note de l’opportunité d’étendre la surveillance des pêches dans le domaine de la petite pêche avec l’accord de l’État territorialement compétent ; </w:t>
            </w:r>
          </w:p>
          <w:p w14:paraId="5EFB1BFA"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Demande à l’U</w:t>
            </w:r>
            <w:r>
              <w:rPr>
                <w:sz w:val="20"/>
                <w:szCs w:val="20"/>
              </w:rPr>
              <w:t>nité de coordination régionale élargies (U</w:t>
            </w:r>
            <w:r w:rsidRPr="000727E1">
              <w:rPr>
                <w:sz w:val="20"/>
                <w:szCs w:val="20"/>
              </w:rPr>
              <w:t>CRE</w:t>
            </w:r>
            <w:r>
              <w:rPr>
                <w:sz w:val="20"/>
                <w:szCs w:val="20"/>
              </w:rPr>
              <w:t>)</w:t>
            </w:r>
            <w:r w:rsidRPr="000727E1">
              <w:rPr>
                <w:sz w:val="20"/>
                <w:szCs w:val="20"/>
              </w:rPr>
              <w:t xml:space="preserve"> de mener une réflexion sur les modalités d’extension des zones d’action du PRSP vers la haute-mer adjacente à la zone de coopération ; </w:t>
            </w:r>
          </w:p>
          <w:p w14:paraId="626D2295"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Prend note de l’approbation par les États participant au PRSP de l’embarquement des observateurs scientifiques à bord d’un navire de surveillance en mission sous réserve d’une autorisation préalable de l’État côtier et de la logistique à bord et de la soumission à l’État côtier du rapport sur les résultats de ces observations, </w:t>
            </w:r>
            <w:r w:rsidRPr="000727E1">
              <w:rPr>
                <w:sz w:val="20"/>
                <w:szCs w:val="20"/>
              </w:rPr>
              <w:lastRenderedPageBreak/>
              <w:t>conformément aux recommandations de l’UCRE du 02 février 2023 à La Réunion</w:t>
            </w:r>
            <w:r>
              <w:rPr>
                <w:sz w:val="20"/>
                <w:szCs w:val="20"/>
              </w:rPr>
              <w:t> ;</w:t>
            </w:r>
            <w:r w:rsidRPr="000727E1">
              <w:rPr>
                <w:sz w:val="20"/>
                <w:szCs w:val="20"/>
              </w:rPr>
              <w:t xml:space="preserve"> </w:t>
            </w:r>
          </w:p>
          <w:p w14:paraId="0FD4916A"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Souligne la nécessité d’une approbation préalable des rapports et documents juridiques issus de l’atelier du 13-17 mars 2023 à Zanzibar par les instances de la COI en vue de leur inscription à l’ordre du jour d’une troisième conférence ministérielle du PRSP ; </w:t>
            </w:r>
          </w:p>
          <w:p w14:paraId="68DB3678" w14:textId="77777777" w:rsidR="00383B0C" w:rsidRPr="000727E1" w:rsidRDefault="00383B0C" w:rsidP="00383B0C">
            <w:pPr>
              <w:pStyle w:val="Default"/>
              <w:numPr>
                <w:ilvl w:val="0"/>
                <w:numId w:val="26"/>
              </w:numPr>
              <w:spacing w:after="120"/>
              <w:jc w:val="both"/>
              <w:rPr>
                <w:sz w:val="20"/>
                <w:szCs w:val="20"/>
              </w:rPr>
            </w:pPr>
            <w:r w:rsidRPr="000727E1">
              <w:rPr>
                <w:sz w:val="20"/>
                <w:szCs w:val="20"/>
              </w:rPr>
              <w:t xml:space="preserve">Demande au Secrétariat général de poursuivre les étapes nécessaires à l’instruction d’un nouveau projet de transformation de la gestion du secteur de la pêche dans la région du Sud-Ouest de l'océan Indien sur financement de la Banque mondiale en vue de la signature de la Convention de financement par le Secrétaire général pour la mise en œuvre de la composante 1 du projet. </w:t>
            </w:r>
          </w:p>
          <w:p w14:paraId="2D854E60" w14:textId="794170BB" w:rsidR="00934F28" w:rsidRPr="00B76BE0" w:rsidRDefault="00934F28">
            <w:pPr>
              <w:rPr>
                <w:rFonts w:ascii="Verdana" w:hAnsi="Verdana"/>
                <w:sz w:val="20"/>
                <w:szCs w:val="20"/>
              </w:rPr>
            </w:pPr>
          </w:p>
        </w:tc>
        <w:tc>
          <w:tcPr>
            <w:tcW w:w="5103" w:type="dxa"/>
          </w:tcPr>
          <w:p w14:paraId="0C4E0CB8" w14:textId="3B6D6DF8" w:rsidR="00934F28" w:rsidRPr="00B76BE0" w:rsidRDefault="00934F28" w:rsidP="1CB6CDDC">
            <w:pPr>
              <w:rPr>
                <w:rFonts w:ascii="Verdana" w:hAnsi="Verdana"/>
                <w:sz w:val="20"/>
                <w:szCs w:val="20"/>
              </w:rPr>
            </w:pPr>
          </w:p>
          <w:p w14:paraId="3B7AEEDA" w14:textId="42F96042" w:rsidR="00934F28" w:rsidRPr="00B76BE0" w:rsidRDefault="00934F28" w:rsidP="1CB6CDDC">
            <w:pPr>
              <w:rPr>
                <w:rFonts w:ascii="Verdana" w:hAnsi="Verdana"/>
                <w:sz w:val="20"/>
                <w:szCs w:val="20"/>
              </w:rPr>
            </w:pPr>
          </w:p>
          <w:p w14:paraId="62B07618" w14:textId="110B7AC3" w:rsidR="00934F28" w:rsidRPr="00B76BE0" w:rsidRDefault="00934F28" w:rsidP="1CB6CDDC">
            <w:pPr>
              <w:rPr>
                <w:rFonts w:ascii="Verdana" w:hAnsi="Verdana"/>
                <w:sz w:val="20"/>
                <w:szCs w:val="20"/>
              </w:rPr>
            </w:pPr>
          </w:p>
          <w:p w14:paraId="04973C89" w14:textId="55DBA4F7" w:rsidR="00934F28" w:rsidRPr="00B76BE0" w:rsidRDefault="00934F28" w:rsidP="1CB6CDDC">
            <w:pPr>
              <w:rPr>
                <w:rFonts w:ascii="Verdana" w:hAnsi="Verdana"/>
                <w:sz w:val="20"/>
                <w:szCs w:val="20"/>
              </w:rPr>
            </w:pPr>
          </w:p>
          <w:p w14:paraId="282566B5" w14:textId="6092D51B" w:rsidR="00934F28" w:rsidRPr="00B76BE0" w:rsidRDefault="00934F28" w:rsidP="1CB6CDDC">
            <w:pPr>
              <w:rPr>
                <w:rFonts w:ascii="Verdana" w:hAnsi="Verdana"/>
                <w:sz w:val="20"/>
                <w:szCs w:val="20"/>
              </w:rPr>
            </w:pPr>
          </w:p>
          <w:p w14:paraId="2B935624" w14:textId="1BB1F99C" w:rsidR="00934F28" w:rsidRPr="00B76BE0" w:rsidRDefault="00934F28" w:rsidP="1CB6CDDC">
            <w:pPr>
              <w:rPr>
                <w:rFonts w:ascii="Verdana" w:hAnsi="Verdana"/>
                <w:sz w:val="20"/>
                <w:szCs w:val="20"/>
              </w:rPr>
            </w:pPr>
          </w:p>
          <w:p w14:paraId="667B253C" w14:textId="403CE402" w:rsidR="00934F28" w:rsidRPr="00B76BE0" w:rsidRDefault="00934F28" w:rsidP="1CB6CDDC">
            <w:pPr>
              <w:rPr>
                <w:rFonts w:ascii="Verdana" w:hAnsi="Verdana"/>
                <w:sz w:val="20"/>
                <w:szCs w:val="20"/>
              </w:rPr>
            </w:pPr>
          </w:p>
          <w:p w14:paraId="7CAA5FD5" w14:textId="512F0008" w:rsidR="00934F28" w:rsidRPr="00B76BE0" w:rsidRDefault="00934F28" w:rsidP="1CB6CDDC">
            <w:pPr>
              <w:rPr>
                <w:rFonts w:ascii="Verdana" w:hAnsi="Verdana"/>
                <w:sz w:val="20"/>
                <w:szCs w:val="20"/>
              </w:rPr>
            </w:pPr>
          </w:p>
          <w:p w14:paraId="0EDFF3B0" w14:textId="18B0C267" w:rsidR="00934F28" w:rsidRPr="00B76BE0" w:rsidRDefault="00934F28" w:rsidP="1CB6CDDC">
            <w:pPr>
              <w:rPr>
                <w:rFonts w:ascii="Verdana" w:hAnsi="Verdana"/>
                <w:sz w:val="20"/>
                <w:szCs w:val="20"/>
              </w:rPr>
            </w:pPr>
          </w:p>
          <w:p w14:paraId="7D9B81D5" w14:textId="0DFB40F0" w:rsidR="00934F28" w:rsidRPr="00B76BE0" w:rsidRDefault="00934F28" w:rsidP="1CB6CDDC">
            <w:pPr>
              <w:rPr>
                <w:rFonts w:ascii="Verdana" w:hAnsi="Verdana"/>
                <w:sz w:val="20"/>
                <w:szCs w:val="20"/>
              </w:rPr>
            </w:pPr>
          </w:p>
          <w:p w14:paraId="1260D4CA" w14:textId="6EB93885" w:rsidR="00934F28" w:rsidRPr="00B76BE0" w:rsidRDefault="00934F28" w:rsidP="1CB6CDDC">
            <w:pPr>
              <w:rPr>
                <w:rFonts w:ascii="Verdana" w:hAnsi="Verdana"/>
                <w:sz w:val="20"/>
                <w:szCs w:val="20"/>
              </w:rPr>
            </w:pPr>
          </w:p>
          <w:p w14:paraId="3CA51AE5" w14:textId="76C9423E" w:rsidR="00934F28" w:rsidRPr="00B76BE0" w:rsidRDefault="00934F28" w:rsidP="1CB6CDDC">
            <w:pPr>
              <w:rPr>
                <w:rFonts w:ascii="Verdana" w:hAnsi="Verdana"/>
                <w:sz w:val="20"/>
                <w:szCs w:val="20"/>
              </w:rPr>
            </w:pPr>
          </w:p>
          <w:p w14:paraId="46AD20DC" w14:textId="47C37694" w:rsidR="00934F28" w:rsidRPr="00B76BE0" w:rsidRDefault="00934F28" w:rsidP="1CB6CDDC">
            <w:pPr>
              <w:rPr>
                <w:rFonts w:ascii="Verdana" w:hAnsi="Verdana"/>
                <w:sz w:val="20"/>
                <w:szCs w:val="20"/>
              </w:rPr>
            </w:pPr>
          </w:p>
          <w:p w14:paraId="6A2A2BC1" w14:textId="2F2FBCB6" w:rsidR="00934F28" w:rsidRPr="00B76BE0" w:rsidRDefault="5B660B3A" w:rsidP="1CB6CDDC">
            <w:pPr>
              <w:rPr>
                <w:rFonts w:ascii="Verdana" w:hAnsi="Verdana"/>
                <w:sz w:val="20"/>
                <w:szCs w:val="20"/>
              </w:rPr>
            </w:pPr>
            <w:r w:rsidRPr="51304189">
              <w:rPr>
                <w:rFonts w:ascii="Verdana" w:hAnsi="Verdana"/>
                <w:sz w:val="20"/>
                <w:szCs w:val="20"/>
              </w:rPr>
              <w:t xml:space="preserve">La mise en œuvre des activités du programme est </w:t>
            </w:r>
            <w:r w:rsidR="036D29D2" w:rsidRPr="51304189">
              <w:rPr>
                <w:rFonts w:ascii="Verdana" w:hAnsi="Verdana"/>
                <w:sz w:val="20"/>
                <w:szCs w:val="20"/>
              </w:rPr>
              <w:t>accélérée</w:t>
            </w:r>
            <w:r w:rsidRPr="51304189">
              <w:rPr>
                <w:rFonts w:ascii="Verdana" w:hAnsi="Verdana"/>
                <w:sz w:val="20"/>
                <w:szCs w:val="20"/>
              </w:rPr>
              <w:t xml:space="preserve"> à travers l</w:t>
            </w:r>
            <w:r w:rsidR="78F23E64" w:rsidRPr="51304189">
              <w:rPr>
                <w:rFonts w:ascii="Verdana" w:hAnsi="Verdana"/>
                <w:sz w:val="20"/>
                <w:szCs w:val="20"/>
              </w:rPr>
              <w:t>e renforcement des ressources humaines notamment l</w:t>
            </w:r>
            <w:r w:rsidRPr="51304189">
              <w:rPr>
                <w:rFonts w:ascii="Verdana" w:hAnsi="Verdana"/>
                <w:sz w:val="20"/>
                <w:szCs w:val="20"/>
              </w:rPr>
              <w:t xml:space="preserve">a prise de fonction </w:t>
            </w:r>
            <w:r w:rsidR="094F8E14" w:rsidRPr="51304189">
              <w:rPr>
                <w:rFonts w:ascii="Verdana" w:hAnsi="Verdana"/>
                <w:sz w:val="20"/>
                <w:szCs w:val="20"/>
              </w:rPr>
              <w:t xml:space="preserve">du responsable </w:t>
            </w:r>
            <w:r w:rsidR="1AE36B20" w:rsidRPr="51304189">
              <w:rPr>
                <w:rFonts w:ascii="Verdana" w:hAnsi="Verdana"/>
                <w:sz w:val="20"/>
                <w:szCs w:val="20"/>
              </w:rPr>
              <w:t>régional</w:t>
            </w:r>
            <w:r w:rsidR="094F8E14" w:rsidRPr="51304189">
              <w:rPr>
                <w:rFonts w:ascii="Verdana" w:hAnsi="Verdana"/>
                <w:sz w:val="20"/>
                <w:szCs w:val="20"/>
              </w:rPr>
              <w:t xml:space="preserve"> des </w:t>
            </w:r>
            <w:r w:rsidR="490F8800" w:rsidRPr="51304189">
              <w:rPr>
                <w:rFonts w:ascii="Verdana" w:hAnsi="Verdana"/>
                <w:sz w:val="20"/>
                <w:szCs w:val="20"/>
              </w:rPr>
              <w:t>pêcheries</w:t>
            </w:r>
            <w:r w:rsidR="094F8E14" w:rsidRPr="51304189">
              <w:rPr>
                <w:rFonts w:ascii="Verdana" w:hAnsi="Verdana"/>
                <w:sz w:val="20"/>
                <w:szCs w:val="20"/>
              </w:rPr>
              <w:t xml:space="preserve"> et la finalisation du processus de recrutement de l’Assistant </w:t>
            </w:r>
            <w:r w:rsidR="7FC3F968" w:rsidRPr="51304189">
              <w:rPr>
                <w:rFonts w:ascii="Verdana" w:hAnsi="Verdana"/>
                <w:sz w:val="20"/>
                <w:szCs w:val="20"/>
              </w:rPr>
              <w:t>à</w:t>
            </w:r>
            <w:r w:rsidR="094F8E14" w:rsidRPr="51304189">
              <w:rPr>
                <w:rFonts w:ascii="Verdana" w:hAnsi="Verdana"/>
                <w:sz w:val="20"/>
                <w:szCs w:val="20"/>
              </w:rPr>
              <w:t xml:space="preserve"> la passation des march</w:t>
            </w:r>
            <w:r w:rsidR="5801E546" w:rsidRPr="51304189">
              <w:rPr>
                <w:rFonts w:ascii="Verdana" w:hAnsi="Verdana"/>
                <w:sz w:val="20"/>
                <w:szCs w:val="20"/>
              </w:rPr>
              <w:t>é</w:t>
            </w:r>
            <w:r w:rsidR="094F8E14" w:rsidRPr="51304189">
              <w:rPr>
                <w:rFonts w:ascii="Verdana" w:hAnsi="Verdana"/>
                <w:sz w:val="20"/>
                <w:szCs w:val="20"/>
              </w:rPr>
              <w:t xml:space="preserve">s. </w:t>
            </w:r>
          </w:p>
          <w:p w14:paraId="4FB62CE6" w14:textId="754676FF" w:rsidR="00934F28" w:rsidRPr="00B76BE0" w:rsidRDefault="00934F28" w:rsidP="1CB6CDDC">
            <w:pPr>
              <w:rPr>
                <w:rFonts w:ascii="Verdana" w:hAnsi="Verdana"/>
                <w:sz w:val="20"/>
                <w:szCs w:val="20"/>
              </w:rPr>
            </w:pPr>
          </w:p>
          <w:p w14:paraId="7DA6157A" w14:textId="2D60AAF9" w:rsidR="00934F28" w:rsidRPr="00B76BE0" w:rsidRDefault="7ED63A64" w:rsidP="1CB6CDDC">
            <w:pPr>
              <w:rPr>
                <w:rFonts w:ascii="Verdana" w:hAnsi="Verdana"/>
                <w:sz w:val="20"/>
                <w:szCs w:val="20"/>
              </w:rPr>
            </w:pPr>
            <w:r w:rsidRPr="1CB6CDDC">
              <w:rPr>
                <w:rFonts w:ascii="Verdana" w:hAnsi="Verdana"/>
                <w:sz w:val="20"/>
                <w:szCs w:val="20"/>
              </w:rPr>
              <w:t xml:space="preserve">Les protocoles et </w:t>
            </w:r>
            <w:r w:rsidR="3C2FAAC1" w:rsidRPr="1CB6CDDC">
              <w:rPr>
                <w:rFonts w:ascii="Verdana" w:hAnsi="Verdana"/>
                <w:sz w:val="20"/>
                <w:szCs w:val="20"/>
              </w:rPr>
              <w:t>mémorandum</w:t>
            </w:r>
            <w:r w:rsidRPr="1CB6CDDC">
              <w:rPr>
                <w:rFonts w:ascii="Verdana" w:hAnsi="Verdana"/>
                <w:sz w:val="20"/>
                <w:szCs w:val="20"/>
              </w:rPr>
              <w:t xml:space="preserve"> d’entente entre l’EFCA et la CTOI sont sign</w:t>
            </w:r>
            <w:r w:rsidR="754F7254" w:rsidRPr="1CB6CDDC">
              <w:rPr>
                <w:rFonts w:ascii="Verdana" w:hAnsi="Verdana"/>
                <w:sz w:val="20"/>
                <w:szCs w:val="20"/>
              </w:rPr>
              <w:t>é</w:t>
            </w:r>
            <w:r w:rsidRPr="1CB6CDDC">
              <w:rPr>
                <w:rFonts w:ascii="Verdana" w:hAnsi="Verdana"/>
                <w:sz w:val="20"/>
                <w:szCs w:val="20"/>
              </w:rPr>
              <w:t xml:space="preserve">s. La mise en œuvre des </w:t>
            </w:r>
            <w:r w:rsidR="2A044BD9" w:rsidRPr="1CB6CDDC">
              <w:rPr>
                <w:rFonts w:ascii="Verdana" w:hAnsi="Verdana"/>
                <w:sz w:val="20"/>
                <w:szCs w:val="20"/>
              </w:rPr>
              <w:t>activités</w:t>
            </w:r>
            <w:r w:rsidRPr="1CB6CDDC">
              <w:rPr>
                <w:rFonts w:ascii="Verdana" w:hAnsi="Verdana"/>
                <w:sz w:val="20"/>
                <w:szCs w:val="20"/>
              </w:rPr>
              <w:t xml:space="preserve"> avec l’EFCA et </w:t>
            </w:r>
            <w:r w:rsidR="77A8614D" w:rsidRPr="1CB6CDDC">
              <w:rPr>
                <w:rFonts w:ascii="Verdana" w:hAnsi="Verdana"/>
                <w:sz w:val="20"/>
                <w:szCs w:val="20"/>
              </w:rPr>
              <w:t>la CTOI a été lanc</w:t>
            </w:r>
            <w:r w:rsidR="75201FE3" w:rsidRPr="1CB6CDDC">
              <w:rPr>
                <w:rFonts w:ascii="Verdana" w:hAnsi="Verdana"/>
                <w:sz w:val="20"/>
                <w:szCs w:val="20"/>
              </w:rPr>
              <w:t>ée</w:t>
            </w:r>
            <w:r w:rsidR="77A8614D" w:rsidRPr="1CB6CDDC">
              <w:rPr>
                <w:rFonts w:ascii="Verdana" w:hAnsi="Verdana"/>
                <w:sz w:val="20"/>
                <w:szCs w:val="20"/>
              </w:rPr>
              <w:t xml:space="preserve"> officiellement, respectivement, </w:t>
            </w:r>
            <w:r w:rsidR="61313205" w:rsidRPr="1CB6CDDC">
              <w:rPr>
                <w:rFonts w:ascii="Verdana" w:hAnsi="Verdana"/>
                <w:sz w:val="20"/>
                <w:szCs w:val="20"/>
              </w:rPr>
              <w:t>à</w:t>
            </w:r>
            <w:r w:rsidR="77A8614D" w:rsidRPr="1CB6CDDC">
              <w:rPr>
                <w:rFonts w:ascii="Verdana" w:hAnsi="Verdana"/>
                <w:sz w:val="20"/>
                <w:szCs w:val="20"/>
              </w:rPr>
              <w:t xml:space="preserve"> Maurice et aux Seychelles.</w:t>
            </w:r>
          </w:p>
          <w:p w14:paraId="0947C514" w14:textId="6B4A0525" w:rsidR="00934F28" w:rsidRPr="00B76BE0" w:rsidRDefault="00934F28" w:rsidP="1CB6CDDC">
            <w:pPr>
              <w:rPr>
                <w:rFonts w:ascii="Verdana" w:hAnsi="Verdana"/>
                <w:sz w:val="20"/>
                <w:szCs w:val="20"/>
              </w:rPr>
            </w:pPr>
          </w:p>
          <w:p w14:paraId="5417AD4F" w14:textId="1C404456" w:rsidR="00934F28" w:rsidRPr="00B76BE0" w:rsidRDefault="693F7EEF" w:rsidP="1CB6CDDC">
            <w:pPr>
              <w:rPr>
                <w:rFonts w:ascii="Verdana" w:hAnsi="Verdana"/>
                <w:sz w:val="20"/>
                <w:szCs w:val="20"/>
              </w:rPr>
            </w:pPr>
            <w:r w:rsidRPr="1CB6CDDC">
              <w:rPr>
                <w:rFonts w:ascii="Verdana" w:hAnsi="Verdana"/>
                <w:sz w:val="20"/>
                <w:szCs w:val="20"/>
              </w:rPr>
              <w:t xml:space="preserve">Les </w:t>
            </w:r>
            <w:r w:rsidR="41950D3F" w:rsidRPr="1CB6CDDC">
              <w:rPr>
                <w:rFonts w:ascii="Verdana" w:hAnsi="Verdana"/>
                <w:sz w:val="20"/>
                <w:szCs w:val="20"/>
              </w:rPr>
              <w:t>démarches</w:t>
            </w:r>
            <w:r w:rsidRPr="1CB6CDDC">
              <w:rPr>
                <w:rFonts w:ascii="Verdana" w:hAnsi="Verdana"/>
                <w:sz w:val="20"/>
                <w:szCs w:val="20"/>
              </w:rPr>
              <w:t xml:space="preserve"> en vue de l’extension du programme ECOFISH ont été </w:t>
            </w:r>
            <w:r w:rsidR="3BB2A8FD" w:rsidRPr="1CB6CDDC">
              <w:rPr>
                <w:rFonts w:ascii="Verdana" w:hAnsi="Verdana"/>
                <w:sz w:val="20"/>
                <w:szCs w:val="20"/>
              </w:rPr>
              <w:t>entamés</w:t>
            </w:r>
            <w:r w:rsidRPr="1CB6CDDC">
              <w:rPr>
                <w:rFonts w:ascii="Verdana" w:hAnsi="Verdana"/>
                <w:sz w:val="20"/>
                <w:szCs w:val="20"/>
              </w:rPr>
              <w:t xml:space="preserve"> </w:t>
            </w:r>
            <w:r w:rsidR="67132B13" w:rsidRPr="1CB6CDDC">
              <w:rPr>
                <w:rFonts w:ascii="Verdana" w:hAnsi="Verdana"/>
                <w:sz w:val="20"/>
                <w:szCs w:val="20"/>
              </w:rPr>
              <w:t>auprès</w:t>
            </w:r>
            <w:r w:rsidRPr="1CB6CDDC">
              <w:rPr>
                <w:rFonts w:ascii="Verdana" w:hAnsi="Verdana"/>
                <w:sz w:val="20"/>
                <w:szCs w:val="20"/>
              </w:rPr>
              <w:t xml:space="preserve"> de la DUE. Des documents </w:t>
            </w:r>
            <w:r w:rsidR="25AA16FF" w:rsidRPr="1CB6CDDC">
              <w:rPr>
                <w:rFonts w:ascii="Verdana" w:hAnsi="Verdana"/>
                <w:sz w:val="20"/>
                <w:szCs w:val="20"/>
              </w:rPr>
              <w:t>supplémentaires</w:t>
            </w:r>
            <w:r w:rsidRPr="1CB6CDDC">
              <w:rPr>
                <w:rFonts w:ascii="Verdana" w:hAnsi="Verdana"/>
                <w:sz w:val="20"/>
                <w:szCs w:val="20"/>
              </w:rPr>
              <w:t xml:space="preserve"> ont été demand</w:t>
            </w:r>
            <w:r w:rsidR="0EB72547" w:rsidRPr="1CB6CDDC">
              <w:rPr>
                <w:rFonts w:ascii="Verdana" w:hAnsi="Verdana"/>
                <w:sz w:val="20"/>
                <w:szCs w:val="20"/>
              </w:rPr>
              <w:t>é</w:t>
            </w:r>
            <w:r w:rsidRPr="1CB6CDDC">
              <w:rPr>
                <w:rFonts w:ascii="Verdana" w:hAnsi="Verdana"/>
                <w:sz w:val="20"/>
                <w:szCs w:val="20"/>
              </w:rPr>
              <w:t xml:space="preserve">s par la DUE </w:t>
            </w:r>
            <w:r w:rsidR="11ACE5CE" w:rsidRPr="1CB6CDDC">
              <w:rPr>
                <w:rFonts w:ascii="Verdana" w:hAnsi="Verdana"/>
                <w:sz w:val="20"/>
                <w:szCs w:val="20"/>
              </w:rPr>
              <w:t>pour justifier cette demande, lesquels sont en cours de finalisation.</w:t>
            </w:r>
          </w:p>
          <w:p w14:paraId="251B1067" w14:textId="42926978" w:rsidR="00934F28" w:rsidRPr="00B76BE0" w:rsidRDefault="00934F28" w:rsidP="1CB6CDDC">
            <w:pPr>
              <w:rPr>
                <w:rFonts w:ascii="Verdana" w:hAnsi="Verdana"/>
                <w:sz w:val="20"/>
                <w:szCs w:val="20"/>
              </w:rPr>
            </w:pPr>
          </w:p>
          <w:p w14:paraId="78A55F66" w14:textId="2BFDD07C" w:rsidR="00934F28" w:rsidRPr="00B76BE0" w:rsidRDefault="00934F28" w:rsidP="1CB6CDDC">
            <w:pPr>
              <w:rPr>
                <w:rFonts w:ascii="Verdana" w:hAnsi="Verdana"/>
                <w:sz w:val="20"/>
                <w:szCs w:val="20"/>
              </w:rPr>
            </w:pPr>
          </w:p>
          <w:p w14:paraId="2210145D" w14:textId="061B30B2" w:rsidR="00934F28" w:rsidRPr="00B76BE0" w:rsidRDefault="274E163C" w:rsidP="1CB6CDDC">
            <w:pPr>
              <w:rPr>
                <w:rFonts w:ascii="Verdana" w:hAnsi="Verdana"/>
                <w:sz w:val="20"/>
                <w:szCs w:val="20"/>
              </w:rPr>
            </w:pPr>
            <w:r w:rsidRPr="1CB6CDDC">
              <w:rPr>
                <w:rFonts w:ascii="Verdana" w:hAnsi="Verdana"/>
                <w:sz w:val="20"/>
                <w:szCs w:val="20"/>
              </w:rPr>
              <w:t>La collaboration entre PRSP/MASE est en cours.</w:t>
            </w:r>
          </w:p>
          <w:p w14:paraId="7000FE67" w14:textId="0B429848" w:rsidR="00934F28" w:rsidRPr="00B76BE0" w:rsidRDefault="00934F28" w:rsidP="1CB6CDDC">
            <w:pPr>
              <w:rPr>
                <w:rFonts w:ascii="Verdana" w:hAnsi="Verdana"/>
                <w:sz w:val="20"/>
                <w:szCs w:val="20"/>
              </w:rPr>
            </w:pPr>
          </w:p>
          <w:p w14:paraId="5CCE27EB" w14:textId="223B4AEA" w:rsidR="00934F28" w:rsidRPr="00B76BE0" w:rsidRDefault="00934F28" w:rsidP="1CB6CDDC">
            <w:pPr>
              <w:rPr>
                <w:rFonts w:ascii="Verdana" w:hAnsi="Verdana"/>
                <w:sz w:val="20"/>
                <w:szCs w:val="20"/>
              </w:rPr>
            </w:pPr>
          </w:p>
          <w:p w14:paraId="29EE2FCE" w14:textId="2F3C302F" w:rsidR="00934F28" w:rsidRPr="00B76BE0" w:rsidRDefault="00934F28" w:rsidP="1CB6CDDC">
            <w:pPr>
              <w:rPr>
                <w:rFonts w:ascii="Verdana" w:hAnsi="Verdana"/>
                <w:sz w:val="20"/>
                <w:szCs w:val="20"/>
              </w:rPr>
            </w:pPr>
          </w:p>
          <w:p w14:paraId="1C1B398E" w14:textId="1574103B" w:rsidR="00934F28" w:rsidRPr="00B76BE0" w:rsidRDefault="00934F28" w:rsidP="1CB6CDDC">
            <w:pPr>
              <w:rPr>
                <w:rFonts w:ascii="Verdana" w:hAnsi="Verdana"/>
                <w:sz w:val="20"/>
                <w:szCs w:val="20"/>
              </w:rPr>
            </w:pPr>
          </w:p>
          <w:p w14:paraId="20D9658C" w14:textId="272FBDED" w:rsidR="00934F28" w:rsidRPr="00B76BE0" w:rsidRDefault="00934F28" w:rsidP="1CB6CDDC">
            <w:pPr>
              <w:rPr>
                <w:rFonts w:ascii="Verdana" w:hAnsi="Verdana"/>
                <w:sz w:val="20"/>
                <w:szCs w:val="20"/>
              </w:rPr>
            </w:pPr>
          </w:p>
          <w:p w14:paraId="3850DBDD" w14:textId="46D9AC47" w:rsidR="00934F28" w:rsidRPr="00B76BE0" w:rsidRDefault="00934F28" w:rsidP="1CB6CDDC">
            <w:pPr>
              <w:rPr>
                <w:rFonts w:ascii="Verdana" w:hAnsi="Verdana"/>
                <w:sz w:val="20"/>
                <w:szCs w:val="20"/>
              </w:rPr>
            </w:pPr>
          </w:p>
          <w:p w14:paraId="480B4C19" w14:textId="111A469E" w:rsidR="00934F28" w:rsidRPr="00B76BE0" w:rsidRDefault="00934F28" w:rsidP="1CB6CDDC">
            <w:pPr>
              <w:rPr>
                <w:rFonts w:ascii="Verdana" w:hAnsi="Verdana"/>
                <w:sz w:val="20"/>
                <w:szCs w:val="20"/>
              </w:rPr>
            </w:pPr>
          </w:p>
          <w:p w14:paraId="20E6A19F" w14:textId="0707FB5F" w:rsidR="00934F28" w:rsidRPr="00B76BE0" w:rsidRDefault="00934F28" w:rsidP="1CB6CDDC">
            <w:pPr>
              <w:rPr>
                <w:rFonts w:ascii="Verdana" w:hAnsi="Verdana"/>
                <w:sz w:val="20"/>
                <w:szCs w:val="20"/>
              </w:rPr>
            </w:pPr>
          </w:p>
          <w:p w14:paraId="22662AAA" w14:textId="681E32FA" w:rsidR="00934F28" w:rsidRPr="00B76BE0" w:rsidRDefault="00934F28" w:rsidP="1CB6CDDC">
            <w:pPr>
              <w:rPr>
                <w:rFonts w:ascii="Verdana" w:hAnsi="Verdana"/>
                <w:sz w:val="20"/>
                <w:szCs w:val="20"/>
              </w:rPr>
            </w:pPr>
          </w:p>
          <w:p w14:paraId="57EC526E" w14:textId="57484A06" w:rsidR="00934F28" w:rsidRPr="00B76BE0" w:rsidRDefault="00934F28" w:rsidP="1CB6CDDC">
            <w:pPr>
              <w:rPr>
                <w:rFonts w:ascii="Verdana" w:hAnsi="Verdana"/>
                <w:sz w:val="20"/>
                <w:szCs w:val="20"/>
              </w:rPr>
            </w:pPr>
          </w:p>
          <w:p w14:paraId="000E48B9" w14:textId="3D2A2B57" w:rsidR="00934F28" w:rsidRPr="00B76BE0" w:rsidRDefault="274E163C" w:rsidP="1CB6CDDC">
            <w:pPr>
              <w:rPr>
                <w:rFonts w:ascii="Verdana" w:hAnsi="Verdana"/>
                <w:sz w:val="20"/>
                <w:szCs w:val="20"/>
              </w:rPr>
            </w:pPr>
            <w:r w:rsidRPr="1CB6CDDC">
              <w:rPr>
                <w:rFonts w:ascii="Verdana" w:hAnsi="Verdana"/>
                <w:sz w:val="20"/>
                <w:szCs w:val="20"/>
              </w:rPr>
              <w:t xml:space="preserve">Cette question a été portée </w:t>
            </w:r>
            <w:r w:rsidR="2A7A44E1" w:rsidRPr="1CB6CDDC">
              <w:rPr>
                <w:rFonts w:ascii="Verdana" w:hAnsi="Verdana"/>
                <w:sz w:val="20"/>
                <w:szCs w:val="20"/>
              </w:rPr>
              <w:t>à</w:t>
            </w:r>
            <w:r w:rsidRPr="1CB6CDDC">
              <w:rPr>
                <w:rFonts w:ascii="Verdana" w:hAnsi="Verdana"/>
                <w:sz w:val="20"/>
                <w:szCs w:val="20"/>
              </w:rPr>
              <w:t xml:space="preserve"> l’attention des membres de l’UCRE lors de leur dernière </w:t>
            </w:r>
            <w:r w:rsidR="33D0E25A" w:rsidRPr="1CB6CDDC">
              <w:rPr>
                <w:rFonts w:ascii="Verdana" w:hAnsi="Verdana"/>
                <w:sz w:val="20"/>
                <w:szCs w:val="20"/>
                <w:u w:val="single"/>
              </w:rPr>
              <w:t>réunion</w:t>
            </w:r>
            <w:r w:rsidRPr="1CB6CDDC">
              <w:rPr>
                <w:rFonts w:ascii="Verdana" w:hAnsi="Verdana"/>
                <w:sz w:val="20"/>
                <w:szCs w:val="20"/>
              </w:rPr>
              <w:t>.</w:t>
            </w:r>
          </w:p>
          <w:p w14:paraId="0A4E1B74" w14:textId="1CBDFFB8" w:rsidR="00934F28" w:rsidRPr="00B76BE0" w:rsidRDefault="00934F28" w:rsidP="1CB6CDDC">
            <w:pPr>
              <w:rPr>
                <w:rFonts w:ascii="Verdana" w:hAnsi="Verdana"/>
                <w:sz w:val="20"/>
                <w:szCs w:val="20"/>
              </w:rPr>
            </w:pPr>
          </w:p>
          <w:p w14:paraId="37D7153E" w14:textId="322BE847" w:rsidR="00934F28" w:rsidRPr="00B76BE0" w:rsidRDefault="00934F28" w:rsidP="1CB6CDDC">
            <w:pPr>
              <w:rPr>
                <w:rFonts w:ascii="Verdana" w:hAnsi="Verdana"/>
                <w:sz w:val="20"/>
                <w:szCs w:val="20"/>
              </w:rPr>
            </w:pPr>
          </w:p>
          <w:p w14:paraId="20E9EC76" w14:textId="7602956A" w:rsidR="00934F28" w:rsidRPr="00B76BE0" w:rsidRDefault="00934F28" w:rsidP="1CB6CDDC">
            <w:pPr>
              <w:rPr>
                <w:rFonts w:ascii="Verdana" w:hAnsi="Verdana"/>
                <w:sz w:val="20"/>
                <w:szCs w:val="20"/>
              </w:rPr>
            </w:pPr>
          </w:p>
          <w:p w14:paraId="3079D5E1" w14:textId="6E3095F3" w:rsidR="00934F28" w:rsidRPr="00B76BE0" w:rsidRDefault="00934F28" w:rsidP="1CB6CDDC">
            <w:pPr>
              <w:rPr>
                <w:rFonts w:ascii="Verdana" w:hAnsi="Verdana"/>
                <w:sz w:val="20"/>
                <w:szCs w:val="20"/>
              </w:rPr>
            </w:pPr>
          </w:p>
          <w:p w14:paraId="070A5FD2" w14:textId="2D9B270F" w:rsidR="00934F28" w:rsidRPr="00B76BE0" w:rsidRDefault="00934F28" w:rsidP="1CB6CDDC">
            <w:pPr>
              <w:rPr>
                <w:rFonts w:ascii="Verdana" w:hAnsi="Verdana"/>
                <w:sz w:val="20"/>
                <w:szCs w:val="20"/>
              </w:rPr>
            </w:pPr>
          </w:p>
          <w:p w14:paraId="01792333" w14:textId="2CCDBDFE" w:rsidR="00934F28" w:rsidRPr="00B76BE0" w:rsidRDefault="00934F28" w:rsidP="1CB6CDDC">
            <w:pPr>
              <w:rPr>
                <w:rFonts w:ascii="Verdana" w:hAnsi="Verdana"/>
                <w:sz w:val="20"/>
                <w:szCs w:val="20"/>
              </w:rPr>
            </w:pPr>
          </w:p>
          <w:p w14:paraId="1CFF5E31" w14:textId="12D295BE" w:rsidR="00934F28" w:rsidRPr="00B76BE0" w:rsidRDefault="00934F28" w:rsidP="1CB6CDDC">
            <w:pPr>
              <w:rPr>
                <w:rFonts w:ascii="Verdana" w:hAnsi="Verdana"/>
                <w:sz w:val="20"/>
                <w:szCs w:val="20"/>
              </w:rPr>
            </w:pPr>
          </w:p>
          <w:p w14:paraId="5E93E238" w14:textId="2052FBF1" w:rsidR="00934F28" w:rsidRPr="00B76BE0" w:rsidRDefault="00934F28" w:rsidP="1CB6CDDC">
            <w:pPr>
              <w:rPr>
                <w:rFonts w:ascii="Verdana" w:hAnsi="Verdana"/>
                <w:sz w:val="20"/>
                <w:szCs w:val="20"/>
              </w:rPr>
            </w:pPr>
          </w:p>
          <w:p w14:paraId="5A1CC4F5" w14:textId="4865171B" w:rsidR="00934F28" w:rsidRPr="00B76BE0" w:rsidRDefault="00934F28" w:rsidP="1CB6CDDC">
            <w:pPr>
              <w:rPr>
                <w:rFonts w:ascii="Verdana" w:hAnsi="Verdana"/>
                <w:sz w:val="20"/>
                <w:szCs w:val="20"/>
              </w:rPr>
            </w:pPr>
          </w:p>
          <w:p w14:paraId="6ABB7EC6" w14:textId="5D815AEF" w:rsidR="00934F28" w:rsidRPr="00B76BE0" w:rsidRDefault="00934F28" w:rsidP="1CB6CDDC">
            <w:pPr>
              <w:rPr>
                <w:rFonts w:ascii="Verdana" w:hAnsi="Verdana"/>
                <w:sz w:val="20"/>
                <w:szCs w:val="20"/>
              </w:rPr>
            </w:pPr>
          </w:p>
          <w:p w14:paraId="62396F26" w14:textId="5EC3A857" w:rsidR="00934F28" w:rsidRPr="00B76BE0" w:rsidRDefault="00934F28" w:rsidP="1CB6CDDC">
            <w:pPr>
              <w:rPr>
                <w:rFonts w:ascii="Verdana" w:hAnsi="Verdana"/>
                <w:sz w:val="20"/>
                <w:szCs w:val="20"/>
              </w:rPr>
            </w:pPr>
          </w:p>
          <w:p w14:paraId="3B7D2776" w14:textId="35B5E712" w:rsidR="00934F28" w:rsidRPr="00B76BE0" w:rsidRDefault="00934F28" w:rsidP="1CB6CDDC">
            <w:pPr>
              <w:rPr>
                <w:rFonts w:ascii="Verdana" w:hAnsi="Verdana"/>
                <w:sz w:val="20"/>
                <w:szCs w:val="20"/>
              </w:rPr>
            </w:pPr>
          </w:p>
          <w:p w14:paraId="3C487418" w14:textId="5FAB85C0" w:rsidR="00934F28" w:rsidRPr="00B76BE0" w:rsidRDefault="00934F28" w:rsidP="1CB6CDDC">
            <w:pPr>
              <w:rPr>
                <w:rFonts w:ascii="Verdana" w:hAnsi="Verdana"/>
                <w:sz w:val="20"/>
                <w:szCs w:val="20"/>
              </w:rPr>
            </w:pPr>
          </w:p>
          <w:p w14:paraId="3AE3D449" w14:textId="489EE0FC" w:rsidR="00934F28" w:rsidRPr="00B76BE0" w:rsidRDefault="713AC22D" w:rsidP="1CB6CDDC">
            <w:pPr>
              <w:rPr>
                <w:rFonts w:ascii="Verdana" w:hAnsi="Verdana"/>
                <w:sz w:val="20"/>
                <w:szCs w:val="20"/>
              </w:rPr>
            </w:pPr>
            <w:r w:rsidRPr="1CB6CDDC">
              <w:rPr>
                <w:rFonts w:ascii="Verdana" w:hAnsi="Verdana"/>
                <w:sz w:val="20"/>
                <w:szCs w:val="20"/>
              </w:rPr>
              <w:t xml:space="preserve">Ce point a été porte à l’attention des membres de l’UCRE lors de leur dernière réunion. </w:t>
            </w:r>
          </w:p>
          <w:p w14:paraId="647A9414" w14:textId="18A82BAE" w:rsidR="00934F28" w:rsidRPr="00B76BE0" w:rsidRDefault="00934F28" w:rsidP="1CB6CDDC">
            <w:pPr>
              <w:rPr>
                <w:rFonts w:ascii="Verdana" w:hAnsi="Verdana"/>
                <w:sz w:val="20"/>
                <w:szCs w:val="20"/>
              </w:rPr>
            </w:pPr>
          </w:p>
          <w:p w14:paraId="37222A9C" w14:textId="1C3229AA" w:rsidR="00934F28" w:rsidRPr="00B76BE0" w:rsidRDefault="00934F28" w:rsidP="1CB6CDDC">
            <w:pPr>
              <w:rPr>
                <w:rFonts w:ascii="Verdana" w:hAnsi="Verdana"/>
                <w:sz w:val="20"/>
                <w:szCs w:val="20"/>
              </w:rPr>
            </w:pPr>
          </w:p>
          <w:p w14:paraId="50CB3CA2" w14:textId="2CF66671" w:rsidR="00934F28" w:rsidRPr="00B76BE0" w:rsidRDefault="00934F28" w:rsidP="1CB6CDDC">
            <w:pPr>
              <w:rPr>
                <w:rFonts w:ascii="Verdana" w:hAnsi="Verdana"/>
                <w:sz w:val="20"/>
                <w:szCs w:val="20"/>
              </w:rPr>
            </w:pPr>
          </w:p>
          <w:p w14:paraId="4BAE944E" w14:textId="45A7CDFD" w:rsidR="00934F28" w:rsidRPr="00B76BE0" w:rsidRDefault="00934F28" w:rsidP="1CB6CDDC">
            <w:pPr>
              <w:rPr>
                <w:rFonts w:ascii="Verdana" w:hAnsi="Verdana"/>
                <w:sz w:val="20"/>
                <w:szCs w:val="20"/>
              </w:rPr>
            </w:pPr>
          </w:p>
          <w:p w14:paraId="37CD6F32" w14:textId="2C354531" w:rsidR="00934F28" w:rsidRPr="00B76BE0" w:rsidRDefault="713AC22D" w:rsidP="1CB6CDDC">
            <w:pPr>
              <w:rPr>
                <w:rFonts w:ascii="Verdana" w:hAnsi="Verdana"/>
                <w:sz w:val="20"/>
                <w:szCs w:val="20"/>
              </w:rPr>
            </w:pPr>
            <w:r w:rsidRPr="51304189">
              <w:rPr>
                <w:rFonts w:ascii="Verdana" w:hAnsi="Verdana"/>
                <w:sz w:val="20"/>
                <w:szCs w:val="20"/>
              </w:rPr>
              <w:t>La convention de financement a été sign</w:t>
            </w:r>
            <w:r w:rsidR="007008B1" w:rsidRPr="51304189">
              <w:rPr>
                <w:rFonts w:ascii="Verdana" w:hAnsi="Verdana"/>
                <w:sz w:val="20"/>
                <w:szCs w:val="20"/>
              </w:rPr>
              <w:t>é</w:t>
            </w:r>
            <w:r w:rsidRPr="51304189">
              <w:rPr>
                <w:rFonts w:ascii="Verdana" w:hAnsi="Verdana"/>
                <w:sz w:val="20"/>
                <w:szCs w:val="20"/>
              </w:rPr>
              <w:t xml:space="preserve">e avec la Banque Mondiale. Le processus en vue du recrutement en vue de la mise en place de l’UGP est en </w:t>
            </w:r>
            <w:r w:rsidR="071681DD" w:rsidRPr="51304189">
              <w:rPr>
                <w:rFonts w:ascii="Verdana" w:hAnsi="Verdana"/>
                <w:sz w:val="20"/>
                <w:szCs w:val="20"/>
              </w:rPr>
              <w:t>cours. Le recrutement du coordonnateur et de l’assistant à la passation des marches est en cours de finalisation.</w:t>
            </w:r>
            <w:r w:rsidRPr="51304189">
              <w:rPr>
                <w:rFonts w:ascii="Verdana" w:hAnsi="Verdana"/>
                <w:sz w:val="20"/>
                <w:szCs w:val="20"/>
              </w:rPr>
              <w:t xml:space="preserve"> </w:t>
            </w:r>
          </w:p>
          <w:p w14:paraId="1549FAFC" w14:textId="3D96BF14" w:rsidR="4B457BEB" w:rsidRDefault="4B457BEB" w:rsidP="51304189">
            <w:pPr>
              <w:rPr>
                <w:rFonts w:ascii="Verdana" w:hAnsi="Verdana"/>
                <w:sz w:val="20"/>
                <w:szCs w:val="20"/>
              </w:rPr>
            </w:pPr>
            <w:r w:rsidRPr="51304189">
              <w:rPr>
                <w:rFonts w:ascii="Verdana" w:hAnsi="Verdana"/>
                <w:sz w:val="20"/>
                <w:szCs w:val="20"/>
              </w:rPr>
              <w:t>L’AAF a déjà pris ses fonctions.</w:t>
            </w:r>
          </w:p>
          <w:p w14:paraId="192FEE3A" w14:textId="77777777" w:rsidR="00934F28" w:rsidRDefault="713AC22D" w:rsidP="1CB6CDDC">
            <w:pPr>
              <w:rPr>
                <w:rFonts w:ascii="Verdana" w:hAnsi="Verdana"/>
                <w:sz w:val="20"/>
                <w:szCs w:val="20"/>
              </w:rPr>
            </w:pPr>
            <w:r w:rsidRPr="1CB6CDDC">
              <w:rPr>
                <w:rFonts w:ascii="Verdana" w:hAnsi="Verdana"/>
                <w:sz w:val="20"/>
                <w:szCs w:val="20"/>
              </w:rPr>
              <w:t>L</w:t>
            </w:r>
            <w:r w:rsidR="3F54D0AA" w:rsidRPr="1CB6CDDC">
              <w:rPr>
                <w:rFonts w:ascii="Verdana" w:hAnsi="Verdana"/>
                <w:sz w:val="20"/>
                <w:szCs w:val="20"/>
              </w:rPr>
              <w:t>’élaboration du contrat d’AT avec la FAO est en cours.</w:t>
            </w:r>
          </w:p>
          <w:p w14:paraId="501B4248" w14:textId="77777777" w:rsidR="007008B1" w:rsidRDefault="007008B1" w:rsidP="1CB6CDDC">
            <w:pPr>
              <w:rPr>
                <w:rFonts w:ascii="Verdana" w:hAnsi="Verdana"/>
                <w:sz w:val="20"/>
                <w:szCs w:val="20"/>
              </w:rPr>
            </w:pPr>
          </w:p>
          <w:p w14:paraId="18E09D6E" w14:textId="77777777" w:rsidR="007008B1" w:rsidRDefault="007008B1" w:rsidP="1CB6CDDC">
            <w:pPr>
              <w:rPr>
                <w:rFonts w:ascii="Verdana" w:hAnsi="Verdana"/>
                <w:sz w:val="20"/>
                <w:szCs w:val="20"/>
              </w:rPr>
            </w:pPr>
          </w:p>
          <w:p w14:paraId="6E1C7783" w14:textId="672A172C" w:rsidR="007008B1" w:rsidRPr="00B76BE0" w:rsidRDefault="007008B1" w:rsidP="1CB6CDDC">
            <w:pPr>
              <w:rPr>
                <w:rFonts w:ascii="Verdana" w:hAnsi="Verdana"/>
                <w:sz w:val="20"/>
                <w:szCs w:val="20"/>
              </w:rPr>
            </w:pPr>
          </w:p>
        </w:tc>
        <w:tc>
          <w:tcPr>
            <w:tcW w:w="1984" w:type="dxa"/>
          </w:tcPr>
          <w:p w14:paraId="5521D719" w14:textId="77777777" w:rsidR="00934F28" w:rsidRPr="00B76BE0" w:rsidRDefault="00934F28">
            <w:pPr>
              <w:rPr>
                <w:rFonts w:ascii="Verdana" w:hAnsi="Verdana"/>
                <w:sz w:val="20"/>
                <w:szCs w:val="20"/>
              </w:rPr>
            </w:pPr>
          </w:p>
        </w:tc>
        <w:tc>
          <w:tcPr>
            <w:tcW w:w="1904" w:type="dxa"/>
          </w:tcPr>
          <w:p w14:paraId="0E45B353" w14:textId="77777777" w:rsidR="00934F28" w:rsidRPr="00B76BE0" w:rsidRDefault="00934F28">
            <w:pPr>
              <w:rPr>
                <w:rFonts w:ascii="Verdana" w:hAnsi="Verdana"/>
                <w:sz w:val="20"/>
                <w:szCs w:val="20"/>
              </w:rPr>
            </w:pPr>
          </w:p>
        </w:tc>
      </w:tr>
      <w:tr w:rsidR="00934F28" w:rsidRPr="00B76BE0" w14:paraId="63C7590E" w14:textId="77777777" w:rsidTr="42DBEA26">
        <w:tc>
          <w:tcPr>
            <w:tcW w:w="5529" w:type="dxa"/>
          </w:tcPr>
          <w:p w14:paraId="781A3552" w14:textId="77777777" w:rsidR="00934F28" w:rsidRPr="00B76BE0" w:rsidRDefault="00934F28">
            <w:pPr>
              <w:rPr>
                <w:rFonts w:ascii="Verdana" w:hAnsi="Verdana"/>
                <w:b/>
                <w:bCs/>
                <w:sz w:val="20"/>
                <w:szCs w:val="20"/>
              </w:rPr>
            </w:pPr>
            <w:r w:rsidRPr="00B76BE0">
              <w:rPr>
                <w:rFonts w:ascii="Verdana" w:hAnsi="Verdana"/>
                <w:b/>
                <w:bCs/>
                <w:sz w:val="20"/>
                <w:szCs w:val="20"/>
              </w:rPr>
              <w:lastRenderedPageBreak/>
              <w:t xml:space="preserve">Décision 8 – Coopération économique </w:t>
            </w:r>
          </w:p>
          <w:p w14:paraId="2B647450" w14:textId="77777777" w:rsidR="004D7AB5" w:rsidRPr="000211CC" w:rsidRDefault="004D7AB5" w:rsidP="004D7AB5">
            <w:pPr>
              <w:pStyle w:val="Paragraphe"/>
              <w:spacing w:after="120" w:line="276" w:lineRule="auto"/>
            </w:pPr>
            <w:r w:rsidRPr="000211CC">
              <w:t>Le Conseil des ministres :</w:t>
            </w:r>
          </w:p>
          <w:p w14:paraId="47CEE625" w14:textId="77777777" w:rsidR="004D7AB5" w:rsidRPr="000211CC" w:rsidRDefault="004D7AB5" w:rsidP="004D7AB5">
            <w:pPr>
              <w:pStyle w:val="Paragraphedeliste"/>
              <w:numPr>
                <w:ilvl w:val="1"/>
                <w:numId w:val="27"/>
              </w:numPr>
              <w:spacing w:after="120" w:line="276" w:lineRule="auto"/>
              <w:ind w:left="851" w:hanging="567"/>
              <w:contextualSpacing w:val="0"/>
              <w:jc w:val="both"/>
              <w:rPr>
                <w:rFonts w:ascii="Verdana" w:hAnsi="Verdana" w:cs="Calibri"/>
                <w:sz w:val="20"/>
                <w:szCs w:val="20"/>
              </w:rPr>
            </w:pPr>
            <w:r w:rsidRPr="000211CC">
              <w:rPr>
                <w:rFonts w:ascii="Verdana" w:hAnsi="Verdana" w:cs="Calibri"/>
                <w:sz w:val="20"/>
                <w:szCs w:val="20"/>
              </w:rPr>
              <w:t>Mandate le Secrétariat général à mobiliser les ressources pour disposer d’une stratégie régionale du transport aérien de l’Indianocéanie, avec une vision globale et des</w:t>
            </w:r>
            <w:r w:rsidRPr="000211CC">
              <w:t xml:space="preserve"> </w:t>
            </w:r>
            <w:r w:rsidRPr="000211CC">
              <w:rPr>
                <w:rFonts w:ascii="Verdana" w:hAnsi="Verdana" w:cs="Calibri"/>
                <w:sz w:val="20"/>
                <w:szCs w:val="20"/>
              </w:rPr>
              <w:t>perspectives partagées d’amélioration de la connectivité aérienne ;</w:t>
            </w:r>
          </w:p>
          <w:p w14:paraId="67600569" w14:textId="77777777" w:rsidR="004D7AB5" w:rsidRPr="000211CC" w:rsidRDefault="004D7AB5" w:rsidP="004D7AB5">
            <w:pPr>
              <w:pStyle w:val="Paragraphedeliste"/>
              <w:numPr>
                <w:ilvl w:val="1"/>
                <w:numId w:val="27"/>
              </w:numPr>
              <w:spacing w:after="120" w:line="276" w:lineRule="auto"/>
              <w:ind w:left="851" w:hanging="567"/>
              <w:contextualSpacing w:val="0"/>
              <w:jc w:val="both"/>
              <w:rPr>
                <w:rFonts w:ascii="Verdana" w:hAnsi="Verdana"/>
                <w:sz w:val="20"/>
                <w:szCs w:val="20"/>
              </w:rPr>
            </w:pPr>
            <w:r w:rsidRPr="000211CC">
              <w:rPr>
                <w:rFonts w:ascii="Verdana" w:hAnsi="Verdana" w:cs="Calibri"/>
                <w:sz w:val="20"/>
                <w:szCs w:val="20"/>
              </w:rPr>
              <w:lastRenderedPageBreak/>
              <w:t>Encourage la création d’</w:t>
            </w:r>
            <w:r w:rsidRPr="000211CC">
              <w:rPr>
                <w:rFonts w:ascii="Verdana" w:hAnsi="Verdana" w:cs="Arial"/>
                <w:sz w:val="20"/>
                <w:szCs w:val="20"/>
              </w:rPr>
              <w:t xml:space="preserve">un « comité des douanes » des Etats membres de la COI, et demande au Secrétariat général </w:t>
            </w:r>
            <w:r w:rsidRPr="000211CC">
              <w:rPr>
                <w:rFonts w:ascii="Verdana" w:hAnsi="Verdana"/>
                <w:sz w:val="20"/>
                <w:szCs w:val="20"/>
              </w:rPr>
              <w:t>d'apporter les appuis nécessaires à ce comité en termes de secrétariat, de suivi et de coordination des activités et de mobilisation des ressources en tant que de besoin ;</w:t>
            </w:r>
          </w:p>
          <w:p w14:paraId="69BC8387" w14:textId="77777777" w:rsidR="004D7AB5" w:rsidRPr="000211CC" w:rsidRDefault="004D7AB5" w:rsidP="004D7AB5">
            <w:pPr>
              <w:pStyle w:val="Paragraphedeliste"/>
              <w:numPr>
                <w:ilvl w:val="1"/>
                <w:numId w:val="27"/>
              </w:numPr>
              <w:spacing w:after="120" w:line="276" w:lineRule="auto"/>
              <w:ind w:left="851" w:hanging="567"/>
              <w:contextualSpacing w:val="0"/>
              <w:jc w:val="both"/>
              <w:rPr>
                <w:rFonts w:ascii="Verdana" w:hAnsi="Verdana" w:cs="Arial"/>
                <w:sz w:val="20"/>
                <w:szCs w:val="20"/>
              </w:rPr>
            </w:pPr>
            <w:r w:rsidRPr="000211CC">
              <w:rPr>
                <w:rFonts w:ascii="Verdana" w:hAnsi="Verdana" w:cs="Arial"/>
                <w:sz w:val="20"/>
                <w:szCs w:val="20"/>
              </w:rPr>
              <w:t>Accueille favorablement l’organisation d’une conférence ministérielle sur l’économie bleue et circulaire à la fin du mois d’août 2023 aux Comores, et invite le Secrétariat à soumettre les conclusions aux prochaines instances et à mobiliser sur cette base les partenaires au développement pour l’élaboration d’un projet pour le développement de l’économie bleue et circulaire en phase avec le Plan d’action régional sur l’économie bleue (PAREB) adopté en 2021 ;</w:t>
            </w:r>
          </w:p>
          <w:p w14:paraId="000ED1F3" w14:textId="77777777" w:rsidR="004D7AB5" w:rsidRPr="000211CC" w:rsidRDefault="004D7AB5" w:rsidP="004D7AB5">
            <w:pPr>
              <w:pStyle w:val="Paragraphedeliste"/>
              <w:numPr>
                <w:ilvl w:val="1"/>
                <w:numId w:val="27"/>
              </w:numPr>
              <w:spacing w:after="120" w:line="276" w:lineRule="auto"/>
              <w:ind w:left="851" w:hanging="567"/>
              <w:contextualSpacing w:val="0"/>
              <w:jc w:val="both"/>
              <w:rPr>
                <w:rFonts w:ascii="Verdana" w:hAnsi="Verdana" w:cs="Arial"/>
                <w:sz w:val="20"/>
                <w:szCs w:val="20"/>
              </w:rPr>
            </w:pPr>
            <w:r w:rsidRPr="000211CC">
              <w:rPr>
                <w:rFonts w:ascii="Verdana" w:hAnsi="Verdana" w:cs="Arial"/>
                <w:sz w:val="20"/>
                <w:szCs w:val="20"/>
              </w:rPr>
              <w:t>Invite le Secrétariat général à poursuivre la réflexion sur un mécanisme régional d’achat groupé en concertation avec les administrations pertinentes des Etats membres dans la perspective d’un éventuel projet.</w:t>
            </w:r>
          </w:p>
          <w:p w14:paraId="6744BE0B" w14:textId="6C90086E" w:rsidR="00B76BE0" w:rsidRPr="00B76BE0" w:rsidRDefault="00B76BE0" w:rsidP="00B76BE0">
            <w:pPr>
              <w:pStyle w:val="Paragraphedeliste"/>
              <w:rPr>
                <w:rFonts w:ascii="Verdana" w:hAnsi="Verdana"/>
                <w:sz w:val="20"/>
                <w:szCs w:val="20"/>
              </w:rPr>
            </w:pPr>
          </w:p>
        </w:tc>
        <w:tc>
          <w:tcPr>
            <w:tcW w:w="5103" w:type="dxa"/>
          </w:tcPr>
          <w:p w14:paraId="58A69746" w14:textId="77777777" w:rsidR="00934F28" w:rsidRDefault="00934F28">
            <w:pPr>
              <w:rPr>
                <w:rFonts w:ascii="Verdana" w:hAnsi="Verdana"/>
                <w:sz w:val="20"/>
                <w:szCs w:val="20"/>
              </w:rPr>
            </w:pPr>
          </w:p>
          <w:p w14:paraId="29B9B372" w14:textId="77777777" w:rsidR="008D21C5" w:rsidRDefault="008D21C5">
            <w:pPr>
              <w:rPr>
                <w:rFonts w:ascii="Verdana" w:hAnsi="Verdana"/>
                <w:sz w:val="20"/>
                <w:szCs w:val="20"/>
              </w:rPr>
            </w:pPr>
          </w:p>
          <w:p w14:paraId="467DD8D4" w14:textId="77777777" w:rsidR="008D21C5" w:rsidRDefault="008D21C5">
            <w:pPr>
              <w:rPr>
                <w:rFonts w:ascii="Verdana" w:hAnsi="Verdana"/>
                <w:sz w:val="20"/>
                <w:szCs w:val="20"/>
              </w:rPr>
            </w:pPr>
          </w:p>
          <w:p w14:paraId="3F029755" w14:textId="77777777" w:rsidR="008D21C5" w:rsidRDefault="008D21C5">
            <w:pPr>
              <w:rPr>
                <w:rFonts w:ascii="Verdana" w:hAnsi="Verdana"/>
                <w:sz w:val="20"/>
                <w:szCs w:val="20"/>
              </w:rPr>
            </w:pPr>
          </w:p>
          <w:p w14:paraId="6940CDF8" w14:textId="3F85354D" w:rsidR="008D21C5" w:rsidRDefault="005D1FCC">
            <w:pPr>
              <w:rPr>
                <w:rFonts w:ascii="Verdana" w:hAnsi="Verdana"/>
                <w:sz w:val="20"/>
                <w:szCs w:val="20"/>
              </w:rPr>
            </w:pPr>
            <w:r>
              <w:rPr>
                <w:rFonts w:ascii="Verdana" w:hAnsi="Verdana"/>
                <w:sz w:val="20"/>
                <w:szCs w:val="20"/>
              </w:rPr>
              <w:t xml:space="preserve">Ressources restent à être mobilisées. Collaboration avec COMESA à travers le programme que gère l’organisation. </w:t>
            </w:r>
          </w:p>
          <w:p w14:paraId="597B5254" w14:textId="77777777" w:rsidR="008D21C5" w:rsidRDefault="008D21C5">
            <w:pPr>
              <w:rPr>
                <w:rFonts w:ascii="Verdana" w:hAnsi="Verdana"/>
                <w:sz w:val="20"/>
                <w:szCs w:val="20"/>
              </w:rPr>
            </w:pPr>
          </w:p>
          <w:p w14:paraId="2265FC69" w14:textId="77777777" w:rsidR="008D21C5" w:rsidRDefault="008D21C5">
            <w:pPr>
              <w:rPr>
                <w:rFonts w:ascii="Verdana" w:hAnsi="Verdana"/>
                <w:sz w:val="20"/>
                <w:szCs w:val="20"/>
              </w:rPr>
            </w:pPr>
          </w:p>
          <w:p w14:paraId="458045CA" w14:textId="77777777" w:rsidR="008D21C5" w:rsidRDefault="008D21C5">
            <w:pPr>
              <w:rPr>
                <w:rFonts w:ascii="Verdana" w:hAnsi="Verdana"/>
                <w:sz w:val="20"/>
                <w:szCs w:val="20"/>
              </w:rPr>
            </w:pPr>
          </w:p>
          <w:p w14:paraId="3BC357C9" w14:textId="77777777" w:rsidR="008D21C5" w:rsidRDefault="008D21C5">
            <w:pPr>
              <w:rPr>
                <w:rFonts w:ascii="Verdana" w:hAnsi="Verdana"/>
                <w:sz w:val="20"/>
                <w:szCs w:val="20"/>
              </w:rPr>
            </w:pPr>
          </w:p>
          <w:p w14:paraId="27F457BC" w14:textId="77777777" w:rsidR="008D21C5" w:rsidRDefault="008D21C5">
            <w:pPr>
              <w:rPr>
                <w:rFonts w:ascii="Verdana" w:hAnsi="Verdana"/>
                <w:sz w:val="20"/>
                <w:szCs w:val="20"/>
              </w:rPr>
            </w:pPr>
          </w:p>
          <w:p w14:paraId="37C67453" w14:textId="2172F4BB" w:rsidR="008D21C5" w:rsidRDefault="00B44E68">
            <w:pPr>
              <w:rPr>
                <w:rFonts w:ascii="Verdana" w:hAnsi="Verdana"/>
                <w:sz w:val="20"/>
                <w:szCs w:val="20"/>
              </w:rPr>
            </w:pPr>
            <w:r>
              <w:rPr>
                <w:rFonts w:ascii="Verdana" w:hAnsi="Verdana"/>
                <w:sz w:val="20"/>
                <w:szCs w:val="20"/>
              </w:rPr>
              <w:t xml:space="preserve">Suivi opéré. Le Comité des douanes a partagé une note de compréhension. Mobilisation de ressources à poursuivre. </w:t>
            </w:r>
          </w:p>
          <w:p w14:paraId="43729569" w14:textId="77777777" w:rsidR="008D21C5" w:rsidRDefault="008D21C5">
            <w:pPr>
              <w:rPr>
                <w:rFonts w:ascii="Verdana" w:hAnsi="Verdana"/>
                <w:sz w:val="20"/>
                <w:szCs w:val="20"/>
              </w:rPr>
            </w:pPr>
          </w:p>
          <w:p w14:paraId="0EBB7418" w14:textId="77777777" w:rsidR="008D21C5" w:rsidRDefault="008D21C5">
            <w:pPr>
              <w:rPr>
                <w:rFonts w:ascii="Verdana" w:hAnsi="Verdana"/>
                <w:sz w:val="20"/>
                <w:szCs w:val="20"/>
              </w:rPr>
            </w:pPr>
          </w:p>
          <w:p w14:paraId="24952569" w14:textId="77777777" w:rsidR="008D21C5" w:rsidRDefault="008D21C5">
            <w:pPr>
              <w:rPr>
                <w:rFonts w:ascii="Verdana" w:hAnsi="Verdana"/>
                <w:sz w:val="20"/>
                <w:szCs w:val="20"/>
              </w:rPr>
            </w:pPr>
          </w:p>
          <w:p w14:paraId="6F54A8FD" w14:textId="77777777" w:rsidR="008D21C5" w:rsidRDefault="008D21C5">
            <w:pPr>
              <w:rPr>
                <w:rFonts w:ascii="Verdana" w:hAnsi="Verdana"/>
                <w:sz w:val="20"/>
                <w:szCs w:val="20"/>
              </w:rPr>
            </w:pPr>
          </w:p>
          <w:p w14:paraId="03AFDC99" w14:textId="77777777" w:rsidR="008D21C5" w:rsidRDefault="008D21C5">
            <w:pPr>
              <w:rPr>
                <w:rFonts w:ascii="Verdana" w:hAnsi="Verdana"/>
                <w:sz w:val="20"/>
                <w:szCs w:val="20"/>
              </w:rPr>
            </w:pPr>
          </w:p>
          <w:p w14:paraId="7ABC83DF" w14:textId="424BDDC2" w:rsidR="008D21C5" w:rsidRDefault="00B44E68">
            <w:pPr>
              <w:rPr>
                <w:rFonts w:ascii="Verdana" w:hAnsi="Verdana"/>
                <w:sz w:val="20"/>
                <w:szCs w:val="20"/>
              </w:rPr>
            </w:pPr>
            <w:r>
              <w:rPr>
                <w:rFonts w:ascii="Verdana" w:hAnsi="Verdana"/>
                <w:sz w:val="20"/>
                <w:szCs w:val="20"/>
              </w:rPr>
              <w:t>Conférence tenue et débouchant sur une feuille de route</w:t>
            </w:r>
            <w:r w:rsidR="002A6E71">
              <w:rPr>
                <w:rFonts w:ascii="Verdana" w:hAnsi="Verdana"/>
                <w:sz w:val="20"/>
                <w:szCs w:val="20"/>
              </w:rPr>
              <w:t xml:space="preserve"> qui fournit une base convenue pour un nouveau programme. Plaidoyer auprès des partenaires sur cette base. </w:t>
            </w:r>
          </w:p>
          <w:p w14:paraId="0D2BE1B3" w14:textId="77777777" w:rsidR="008D21C5" w:rsidRDefault="008D21C5">
            <w:pPr>
              <w:rPr>
                <w:rFonts w:ascii="Verdana" w:hAnsi="Verdana"/>
                <w:sz w:val="20"/>
                <w:szCs w:val="20"/>
              </w:rPr>
            </w:pPr>
          </w:p>
          <w:p w14:paraId="66D6B617" w14:textId="77777777" w:rsidR="008D21C5" w:rsidRDefault="008D21C5">
            <w:pPr>
              <w:rPr>
                <w:rFonts w:ascii="Verdana" w:hAnsi="Verdana"/>
                <w:sz w:val="20"/>
                <w:szCs w:val="20"/>
              </w:rPr>
            </w:pPr>
          </w:p>
          <w:p w14:paraId="56C2563D" w14:textId="77777777" w:rsidR="008D21C5" w:rsidRDefault="008D21C5">
            <w:pPr>
              <w:rPr>
                <w:rFonts w:ascii="Verdana" w:hAnsi="Verdana"/>
                <w:sz w:val="20"/>
                <w:szCs w:val="20"/>
              </w:rPr>
            </w:pPr>
          </w:p>
          <w:p w14:paraId="32C4E5AA" w14:textId="77777777" w:rsidR="008D21C5" w:rsidRDefault="008D21C5">
            <w:pPr>
              <w:rPr>
                <w:rFonts w:ascii="Verdana" w:hAnsi="Verdana"/>
                <w:sz w:val="20"/>
                <w:szCs w:val="20"/>
              </w:rPr>
            </w:pPr>
          </w:p>
          <w:p w14:paraId="3FCDD269" w14:textId="77777777" w:rsidR="008D21C5" w:rsidRDefault="008D21C5">
            <w:pPr>
              <w:rPr>
                <w:rFonts w:ascii="Verdana" w:hAnsi="Verdana"/>
                <w:sz w:val="20"/>
                <w:szCs w:val="20"/>
              </w:rPr>
            </w:pPr>
          </w:p>
          <w:p w14:paraId="1B7D3D27" w14:textId="77777777" w:rsidR="008D21C5" w:rsidRDefault="008D21C5">
            <w:pPr>
              <w:rPr>
                <w:rFonts w:ascii="Verdana" w:hAnsi="Verdana"/>
                <w:sz w:val="20"/>
                <w:szCs w:val="20"/>
              </w:rPr>
            </w:pPr>
          </w:p>
          <w:p w14:paraId="1ED30AA9" w14:textId="77777777" w:rsidR="008D21C5" w:rsidRDefault="008D21C5">
            <w:pPr>
              <w:rPr>
                <w:rFonts w:ascii="Verdana" w:hAnsi="Verdana"/>
                <w:sz w:val="20"/>
                <w:szCs w:val="20"/>
              </w:rPr>
            </w:pPr>
          </w:p>
          <w:p w14:paraId="6A7601C5" w14:textId="77777777" w:rsidR="008D21C5" w:rsidRDefault="008D21C5">
            <w:pPr>
              <w:rPr>
                <w:rFonts w:ascii="Verdana" w:hAnsi="Verdana"/>
                <w:sz w:val="20"/>
                <w:szCs w:val="20"/>
              </w:rPr>
            </w:pPr>
          </w:p>
          <w:p w14:paraId="533B9D96" w14:textId="178805CE" w:rsidR="008D21C5" w:rsidRPr="00B76BE0" w:rsidRDefault="008D21C5">
            <w:pPr>
              <w:rPr>
                <w:rFonts w:ascii="Verdana" w:hAnsi="Verdana"/>
                <w:sz w:val="20"/>
                <w:szCs w:val="20"/>
              </w:rPr>
            </w:pPr>
            <w:r w:rsidRPr="002B7F9E">
              <w:rPr>
                <w:rFonts w:ascii="Verdana" w:hAnsi="Verdana"/>
                <w:sz w:val="20"/>
                <w:szCs w:val="20"/>
                <w:highlight w:val="yellow"/>
              </w:rPr>
              <w:t xml:space="preserve">COPL02/23 : Seychelles </w:t>
            </w:r>
            <w:r w:rsidR="00801075" w:rsidRPr="002B7F9E">
              <w:rPr>
                <w:rFonts w:ascii="Verdana" w:hAnsi="Verdana"/>
                <w:sz w:val="20"/>
                <w:szCs w:val="20"/>
                <w:highlight w:val="yellow"/>
              </w:rPr>
              <w:t>indique sa disponibilité à</w:t>
            </w:r>
            <w:r w:rsidRPr="002B7F9E">
              <w:rPr>
                <w:rFonts w:ascii="Verdana" w:hAnsi="Verdana"/>
                <w:sz w:val="20"/>
                <w:szCs w:val="20"/>
                <w:highlight w:val="yellow"/>
              </w:rPr>
              <w:t xml:space="preserve"> reprendre le dossier pour proposer une note conceptuelle sur le sujet. </w:t>
            </w:r>
            <w:r w:rsidR="00CB7E88" w:rsidRPr="002B7F9E">
              <w:rPr>
                <w:rFonts w:ascii="Verdana" w:hAnsi="Verdana"/>
                <w:sz w:val="20"/>
                <w:szCs w:val="20"/>
                <w:highlight w:val="yellow"/>
              </w:rPr>
              <w:t xml:space="preserve">Question posée sur l’achat groupé de médicaments à travers le réseau SEGA – One </w:t>
            </w:r>
            <w:proofErr w:type="spellStart"/>
            <w:r w:rsidR="00CB7E88" w:rsidRPr="002B7F9E">
              <w:rPr>
                <w:rFonts w:ascii="Verdana" w:hAnsi="Verdana"/>
                <w:sz w:val="20"/>
                <w:szCs w:val="20"/>
                <w:highlight w:val="yellow"/>
              </w:rPr>
              <w:t>Health</w:t>
            </w:r>
            <w:proofErr w:type="spellEnd"/>
            <w:r w:rsidR="00CB7E88" w:rsidRPr="002B7F9E">
              <w:rPr>
                <w:rFonts w:ascii="Verdana" w:hAnsi="Verdana"/>
                <w:sz w:val="20"/>
                <w:szCs w:val="20"/>
                <w:highlight w:val="yellow"/>
              </w:rPr>
              <w:t>.</w:t>
            </w:r>
            <w:r w:rsidR="00CB7E88">
              <w:rPr>
                <w:rFonts w:ascii="Verdana" w:hAnsi="Verdana"/>
                <w:sz w:val="20"/>
                <w:szCs w:val="20"/>
              </w:rPr>
              <w:t xml:space="preserve"> </w:t>
            </w:r>
          </w:p>
        </w:tc>
        <w:tc>
          <w:tcPr>
            <w:tcW w:w="1984" w:type="dxa"/>
          </w:tcPr>
          <w:p w14:paraId="31196B6B" w14:textId="77777777" w:rsidR="00934F28" w:rsidRPr="00B76BE0" w:rsidRDefault="00934F28">
            <w:pPr>
              <w:rPr>
                <w:rFonts w:ascii="Verdana" w:hAnsi="Verdana"/>
                <w:sz w:val="20"/>
                <w:szCs w:val="20"/>
              </w:rPr>
            </w:pPr>
          </w:p>
        </w:tc>
        <w:tc>
          <w:tcPr>
            <w:tcW w:w="1904" w:type="dxa"/>
          </w:tcPr>
          <w:p w14:paraId="373ABF3D" w14:textId="77777777" w:rsidR="00934F28" w:rsidRPr="00B76BE0" w:rsidRDefault="00934F28">
            <w:pPr>
              <w:rPr>
                <w:rFonts w:ascii="Verdana" w:hAnsi="Verdana"/>
                <w:sz w:val="20"/>
                <w:szCs w:val="20"/>
              </w:rPr>
            </w:pPr>
          </w:p>
        </w:tc>
      </w:tr>
      <w:tr w:rsidR="00934F28" w:rsidRPr="00B76BE0" w14:paraId="0A1B77D1" w14:textId="77777777" w:rsidTr="42DBEA26">
        <w:tc>
          <w:tcPr>
            <w:tcW w:w="5529" w:type="dxa"/>
          </w:tcPr>
          <w:p w14:paraId="71B05C61" w14:textId="4D9F4E98" w:rsidR="00934F28" w:rsidRPr="00B76BE0" w:rsidRDefault="00934F28">
            <w:pPr>
              <w:rPr>
                <w:rFonts w:ascii="Verdana" w:hAnsi="Verdana"/>
                <w:sz w:val="20"/>
                <w:szCs w:val="20"/>
              </w:rPr>
            </w:pPr>
          </w:p>
        </w:tc>
        <w:tc>
          <w:tcPr>
            <w:tcW w:w="5103" w:type="dxa"/>
          </w:tcPr>
          <w:p w14:paraId="15D4DD77" w14:textId="77777777" w:rsidR="00934F28" w:rsidRPr="00B76BE0" w:rsidRDefault="00934F28">
            <w:pPr>
              <w:rPr>
                <w:rFonts w:ascii="Verdana" w:hAnsi="Verdana"/>
                <w:sz w:val="20"/>
                <w:szCs w:val="20"/>
              </w:rPr>
            </w:pPr>
          </w:p>
        </w:tc>
        <w:tc>
          <w:tcPr>
            <w:tcW w:w="1984" w:type="dxa"/>
          </w:tcPr>
          <w:p w14:paraId="2240EB2F" w14:textId="77777777" w:rsidR="00934F28" w:rsidRPr="00B76BE0" w:rsidRDefault="00934F28">
            <w:pPr>
              <w:rPr>
                <w:rFonts w:ascii="Verdana" w:hAnsi="Verdana"/>
                <w:sz w:val="20"/>
                <w:szCs w:val="20"/>
              </w:rPr>
            </w:pPr>
          </w:p>
        </w:tc>
        <w:tc>
          <w:tcPr>
            <w:tcW w:w="1904" w:type="dxa"/>
          </w:tcPr>
          <w:p w14:paraId="2F8B3275" w14:textId="77777777" w:rsidR="00934F28" w:rsidRPr="00B76BE0" w:rsidRDefault="00934F28">
            <w:pPr>
              <w:rPr>
                <w:rFonts w:ascii="Verdana" w:hAnsi="Verdana"/>
                <w:sz w:val="20"/>
                <w:szCs w:val="20"/>
              </w:rPr>
            </w:pPr>
          </w:p>
        </w:tc>
      </w:tr>
      <w:tr w:rsidR="00934F28" w:rsidRPr="00B76BE0" w14:paraId="6C4F87A9" w14:textId="77777777" w:rsidTr="42DBEA26">
        <w:tc>
          <w:tcPr>
            <w:tcW w:w="5529" w:type="dxa"/>
          </w:tcPr>
          <w:p w14:paraId="3249FD1D" w14:textId="074A3DE9" w:rsidR="006C0034" w:rsidRPr="00B76BE0" w:rsidRDefault="006C0034" w:rsidP="00F44992">
            <w:pPr>
              <w:pBdr>
                <w:top w:val="nil"/>
                <w:left w:val="nil"/>
                <w:bottom w:val="nil"/>
                <w:right w:val="nil"/>
                <w:between w:val="nil"/>
              </w:pBdr>
              <w:spacing w:line="249" w:lineRule="auto"/>
              <w:jc w:val="both"/>
              <w:rPr>
                <w:rFonts w:ascii="Verdana" w:eastAsia="Verdana" w:hAnsi="Verdana" w:cs="Verdana"/>
                <w:color w:val="000000"/>
                <w:sz w:val="20"/>
                <w:szCs w:val="20"/>
              </w:rPr>
            </w:pPr>
          </w:p>
        </w:tc>
        <w:tc>
          <w:tcPr>
            <w:tcW w:w="5103" w:type="dxa"/>
          </w:tcPr>
          <w:p w14:paraId="5B800AD0" w14:textId="77777777" w:rsidR="00934F28" w:rsidRPr="00B76BE0" w:rsidRDefault="00934F28">
            <w:pPr>
              <w:rPr>
                <w:rFonts w:ascii="Verdana" w:hAnsi="Verdana"/>
                <w:sz w:val="20"/>
                <w:szCs w:val="20"/>
              </w:rPr>
            </w:pPr>
          </w:p>
        </w:tc>
        <w:tc>
          <w:tcPr>
            <w:tcW w:w="1984" w:type="dxa"/>
          </w:tcPr>
          <w:p w14:paraId="5A2BC020" w14:textId="77777777" w:rsidR="00934F28" w:rsidRPr="00B76BE0" w:rsidRDefault="00934F28">
            <w:pPr>
              <w:rPr>
                <w:rFonts w:ascii="Verdana" w:hAnsi="Verdana"/>
                <w:sz w:val="20"/>
                <w:szCs w:val="20"/>
              </w:rPr>
            </w:pPr>
          </w:p>
        </w:tc>
        <w:tc>
          <w:tcPr>
            <w:tcW w:w="1904" w:type="dxa"/>
          </w:tcPr>
          <w:p w14:paraId="5B768169" w14:textId="77777777" w:rsidR="00934F28" w:rsidRPr="00B76BE0" w:rsidRDefault="00934F28">
            <w:pPr>
              <w:rPr>
                <w:rFonts w:ascii="Verdana" w:hAnsi="Verdana"/>
                <w:sz w:val="20"/>
                <w:szCs w:val="20"/>
              </w:rPr>
            </w:pPr>
          </w:p>
        </w:tc>
      </w:tr>
      <w:tr w:rsidR="00934F28" w:rsidRPr="00B76BE0" w14:paraId="337B3AE3" w14:textId="77777777" w:rsidTr="42DBEA26">
        <w:tc>
          <w:tcPr>
            <w:tcW w:w="5529" w:type="dxa"/>
          </w:tcPr>
          <w:p w14:paraId="0F191F46" w14:textId="7FF46F71" w:rsidR="00934F28" w:rsidRPr="00B76BE0" w:rsidRDefault="006C0034">
            <w:pPr>
              <w:rPr>
                <w:rFonts w:ascii="Verdana" w:hAnsi="Verdana"/>
                <w:b/>
                <w:bCs/>
                <w:sz w:val="20"/>
                <w:szCs w:val="20"/>
              </w:rPr>
            </w:pPr>
            <w:r w:rsidRPr="00B76BE0">
              <w:rPr>
                <w:rFonts w:ascii="Verdana" w:hAnsi="Verdana"/>
                <w:b/>
                <w:bCs/>
                <w:sz w:val="20"/>
                <w:szCs w:val="20"/>
              </w:rPr>
              <w:t xml:space="preserve">Décision </w:t>
            </w:r>
            <w:r w:rsidR="00F44992">
              <w:rPr>
                <w:rFonts w:ascii="Verdana" w:hAnsi="Verdana"/>
                <w:b/>
                <w:bCs/>
                <w:sz w:val="20"/>
                <w:szCs w:val="20"/>
              </w:rPr>
              <w:t>9</w:t>
            </w:r>
            <w:r w:rsidRPr="00B76BE0">
              <w:rPr>
                <w:rFonts w:ascii="Verdana" w:hAnsi="Verdana"/>
                <w:b/>
                <w:bCs/>
                <w:sz w:val="20"/>
                <w:szCs w:val="20"/>
              </w:rPr>
              <w:t xml:space="preserve"> – Etats insulaires en développement</w:t>
            </w:r>
            <w:r w:rsidR="00F44992">
              <w:rPr>
                <w:rFonts w:ascii="Verdana" w:hAnsi="Verdana"/>
                <w:b/>
                <w:bCs/>
                <w:sz w:val="20"/>
                <w:szCs w:val="20"/>
              </w:rPr>
              <w:t xml:space="preserve"> et Commission des îles d’Afrique sur le climat</w:t>
            </w:r>
          </w:p>
          <w:p w14:paraId="62FFFF50" w14:textId="77777777" w:rsidR="00F44992" w:rsidRPr="000666B7" w:rsidRDefault="00F44992" w:rsidP="00F44992">
            <w:pPr>
              <w:spacing w:after="60"/>
              <w:rPr>
                <w:rFonts w:ascii="Verdana" w:hAnsi="Verdana"/>
                <w:sz w:val="20"/>
                <w:szCs w:val="20"/>
              </w:rPr>
            </w:pPr>
            <w:r w:rsidRPr="000666B7">
              <w:rPr>
                <w:rFonts w:ascii="Verdana" w:hAnsi="Verdana"/>
                <w:sz w:val="20"/>
                <w:szCs w:val="20"/>
              </w:rPr>
              <w:t xml:space="preserve">Le Conseil des ministres : </w:t>
            </w:r>
          </w:p>
          <w:p w14:paraId="11F284FE" w14:textId="77777777" w:rsidR="00F44992" w:rsidRPr="000666B7" w:rsidRDefault="00F44992" w:rsidP="00F44992">
            <w:pPr>
              <w:pStyle w:val="Paragraphedeliste"/>
              <w:numPr>
                <w:ilvl w:val="0"/>
                <w:numId w:val="18"/>
              </w:numPr>
              <w:spacing w:after="120"/>
              <w:contextualSpacing w:val="0"/>
              <w:jc w:val="both"/>
              <w:rPr>
                <w:rFonts w:ascii="Verdana" w:hAnsi="Verdana"/>
                <w:sz w:val="20"/>
                <w:szCs w:val="20"/>
              </w:rPr>
            </w:pPr>
            <w:r w:rsidRPr="000666B7">
              <w:rPr>
                <w:rFonts w:ascii="Verdana" w:hAnsi="Verdana"/>
                <w:sz w:val="20"/>
                <w:szCs w:val="20"/>
              </w:rPr>
              <w:t xml:space="preserve">Félicite les Seychelles pour son leadership dans la promotion des intérêts insulaires en Afrique à travers la constitution et la présidence de la Commission Climat des Etats Insulaires d’Afrique </w:t>
            </w:r>
            <w:r>
              <w:rPr>
                <w:rFonts w:ascii="Verdana" w:hAnsi="Verdana"/>
                <w:sz w:val="20"/>
                <w:szCs w:val="20"/>
              </w:rPr>
              <w:t xml:space="preserve">(CCEIA) </w:t>
            </w:r>
            <w:r w:rsidRPr="000666B7">
              <w:rPr>
                <w:rFonts w:ascii="Verdana" w:hAnsi="Verdana"/>
                <w:sz w:val="20"/>
                <w:szCs w:val="20"/>
              </w:rPr>
              <w:t xml:space="preserve">et confirme le soutien de la COI aux travaux et au secrétariat de la Commission à travers les projets mis en œuvre par le Secrétariat général ; </w:t>
            </w:r>
          </w:p>
          <w:p w14:paraId="1FE4D174" w14:textId="77777777" w:rsidR="00F44992" w:rsidRPr="000666B7" w:rsidRDefault="00F44992" w:rsidP="00F44992">
            <w:pPr>
              <w:pStyle w:val="Paragraphedeliste"/>
              <w:numPr>
                <w:ilvl w:val="0"/>
                <w:numId w:val="18"/>
              </w:numPr>
              <w:spacing w:after="120"/>
              <w:contextualSpacing w:val="0"/>
              <w:jc w:val="both"/>
              <w:rPr>
                <w:rFonts w:ascii="Verdana" w:hAnsi="Verdana"/>
                <w:sz w:val="20"/>
                <w:szCs w:val="20"/>
              </w:rPr>
            </w:pPr>
            <w:r w:rsidRPr="000666B7">
              <w:rPr>
                <w:rFonts w:ascii="Verdana" w:hAnsi="Verdana"/>
                <w:sz w:val="20"/>
                <w:szCs w:val="20"/>
              </w:rPr>
              <w:t xml:space="preserve">Invite le Secrétariat général à transmettre aux Etats membres des informations complémentaires sur les modalités d’accueil du secrétariat de la CCEIA en vue d’une décision à cet effet ; </w:t>
            </w:r>
          </w:p>
          <w:p w14:paraId="28440611" w14:textId="4C9C266C" w:rsidR="00F44992" w:rsidRPr="000666B7" w:rsidRDefault="00F44992" w:rsidP="00F44992">
            <w:pPr>
              <w:pStyle w:val="Paragraphedeliste"/>
              <w:numPr>
                <w:ilvl w:val="0"/>
                <w:numId w:val="18"/>
              </w:numPr>
              <w:spacing w:after="120"/>
              <w:contextualSpacing w:val="0"/>
              <w:jc w:val="both"/>
              <w:rPr>
                <w:rFonts w:ascii="Verdana" w:hAnsi="Verdana"/>
                <w:sz w:val="20"/>
                <w:szCs w:val="20"/>
              </w:rPr>
            </w:pPr>
            <w:r w:rsidRPr="000666B7">
              <w:rPr>
                <w:rFonts w:ascii="Verdana" w:hAnsi="Verdana"/>
                <w:sz w:val="20"/>
                <w:szCs w:val="20"/>
              </w:rPr>
              <w:t>Demande au Secrétariat général de répondre favorablement à la demande d’appui de Maurice pour l’organisation d’une réunion préparatoire du groupe AIS dans la perspective de la Conférence des Nations unies sur les P</w:t>
            </w:r>
            <w:r>
              <w:rPr>
                <w:rFonts w:ascii="Verdana" w:hAnsi="Verdana"/>
                <w:sz w:val="20"/>
                <w:szCs w:val="20"/>
              </w:rPr>
              <w:t>etits Etats insulaires en développement (PEID)</w:t>
            </w:r>
            <w:r w:rsidRPr="000666B7">
              <w:rPr>
                <w:rFonts w:ascii="Verdana" w:hAnsi="Verdana"/>
                <w:sz w:val="20"/>
                <w:szCs w:val="20"/>
              </w:rPr>
              <w:t xml:space="preserve"> en 2024 ; </w:t>
            </w:r>
          </w:p>
          <w:p w14:paraId="54A9731F" w14:textId="77777777" w:rsidR="00F44992" w:rsidRDefault="00F44992" w:rsidP="00F44992">
            <w:pPr>
              <w:pStyle w:val="Paragraphedeliste"/>
              <w:numPr>
                <w:ilvl w:val="0"/>
                <w:numId w:val="18"/>
              </w:numPr>
              <w:spacing w:after="120"/>
              <w:contextualSpacing w:val="0"/>
              <w:jc w:val="both"/>
              <w:rPr>
                <w:rFonts w:ascii="Verdana" w:hAnsi="Verdana"/>
                <w:sz w:val="20"/>
                <w:szCs w:val="20"/>
              </w:rPr>
            </w:pPr>
            <w:r w:rsidRPr="000666B7">
              <w:rPr>
                <w:rFonts w:ascii="Verdana" w:hAnsi="Verdana"/>
                <w:sz w:val="20"/>
                <w:szCs w:val="20"/>
              </w:rPr>
              <w:t xml:space="preserve">Prend note des informations communiquées par les Comores au sujet de la conférence de haut niveau organisée du 08 au 12 juin 2023 à Moroni par la présidence en exercice de </w:t>
            </w:r>
            <w:r w:rsidRPr="000666B7">
              <w:rPr>
                <w:rFonts w:ascii="Verdana" w:hAnsi="Verdana"/>
                <w:sz w:val="20"/>
                <w:szCs w:val="20"/>
              </w:rPr>
              <w:lastRenderedPageBreak/>
              <w:t>l’Union africaine et invite le Secrétariat général à y apporter son soutien, notamment en vue de la table ronde ministérielle sur les Etats insulaires d’Afrique</w:t>
            </w:r>
            <w:r>
              <w:rPr>
                <w:rFonts w:ascii="Verdana" w:hAnsi="Verdana"/>
                <w:sz w:val="20"/>
                <w:szCs w:val="20"/>
              </w:rPr>
              <w:t> ;</w:t>
            </w:r>
            <w:r w:rsidRPr="000666B7">
              <w:rPr>
                <w:rFonts w:ascii="Verdana" w:hAnsi="Verdana"/>
                <w:sz w:val="20"/>
                <w:szCs w:val="20"/>
              </w:rPr>
              <w:t xml:space="preserve">  </w:t>
            </w:r>
          </w:p>
          <w:p w14:paraId="03B247E7" w14:textId="77777777" w:rsidR="00F44992" w:rsidRDefault="00F44992" w:rsidP="00F44992">
            <w:pPr>
              <w:pStyle w:val="Default"/>
              <w:numPr>
                <w:ilvl w:val="0"/>
                <w:numId w:val="18"/>
              </w:numPr>
              <w:spacing w:after="120"/>
              <w:jc w:val="both"/>
              <w:rPr>
                <w:sz w:val="20"/>
                <w:szCs w:val="20"/>
              </w:rPr>
            </w:pPr>
            <w:r w:rsidRPr="00E77EDB">
              <w:rPr>
                <w:sz w:val="20"/>
                <w:szCs w:val="20"/>
              </w:rPr>
              <w:t>Encourage le Secrétariat général et la présidence en exercice à saisir les opportunités de communication, notamment en concertation avec la présidence comorienne de l’Union africaine, pour accroître la visibilité sur les problématiques insulaires</w:t>
            </w:r>
            <w:r>
              <w:rPr>
                <w:sz w:val="20"/>
                <w:szCs w:val="20"/>
              </w:rPr>
              <w:t> ;</w:t>
            </w:r>
          </w:p>
          <w:p w14:paraId="697D2203" w14:textId="77777777" w:rsidR="00F44992" w:rsidRPr="00E77EDB" w:rsidRDefault="00F44992" w:rsidP="00F44992">
            <w:pPr>
              <w:pStyle w:val="Default"/>
              <w:numPr>
                <w:ilvl w:val="0"/>
                <w:numId w:val="18"/>
              </w:numPr>
              <w:spacing w:after="120"/>
              <w:jc w:val="both"/>
              <w:rPr>
                <w:sz w:val="20"/>
                <w:szCs w:val="20"/>
              </w:rPr>
            </w:pPr>
            <w:r>
              <w:rPr>
                <w:sz w:val="20"/>
                <w:szCs w:val="20"/>
              </w:rPr>
              <w:t>Soutient la démarche de Madagascar auprès du groupe Atlantique – océan Indien et mer de Chine méridionale (AIMS) pour être reconnue comme un PEID</w:t>
            </w:r>
            <w:r w:rsidRPr="00E77EDB">
              <w:rPr>
                <w:sz w:val="20"/>
                <w:szCs w:val="20"/>
              </w:rPr>
              <w:t xml:space="preserve">. </w:t>
            </w:r>
          </w:p>
          <w:p w14:paraId="42145B86" w14:textId="742C4FD8" w:rsidR="006C0034" w:rsidRPr="00B76BE0" w:rsidRDefault="006C0034" w:rsidP="00F44992">
            <w:pPr>
              <w:pStyle w:val="Paragraphedeliste"/>
              <w:spacing w:after="120" w:line="276" w:lineRule="auto"/>
              <w:contextualSpacing w:val="0"/>
              <w:jc w:val="both"/>
              <w:rPr>
                <w:rFonts w:ascii="Verdana" w:hAnsi="Verdana"/>
                <w:sz w:val="20"/>
                <w:szCs w:val="20"/>
              </w:rPr>
            </w:pPr>
          </w:p>
        </w:tc>
        <w:tc>
          <w:tcPr>
            <w:tcW w:w="5103" w:type="dxa"/>
          </w:tcPr>
          <w:p w14:paraId="7C4DFF14" w14:textId="553AA9B3" w:rsidR="00934F28" w:rsidRPr="00B76BE0" w:rsidRDefault="5FF3BC22" w:rsidP="631993F9">
            <w:pPr>
              <w:rPr>
                <w:rFonts w:ascii="Verdana" w:hAnsi="Verdana"/>
                <w:sz w:val="20"/>
                <w:szCs w:val="20"/>
              </w:rPr>
            </w:pPr>
            <w:r w:rsidRPr="631993F9">
              <w:rPr>
                <w:rFonts w:ascii="Verdana" w:hAnsi="Verdana"/>
                <w:sz w:val="20"/>
                <w:szCs w:val="20"/>
              </w:rPr>
              <w:lastRenderedPageBreak/>
              <w:t xml:space="preserve">9a. La </w:t>
            </w:r>
            <w:r w:rsidR="00220487" w:rsidRPr="631993F9">
              <w:rPr>
                <w:rFonts w:ascii="Verdana" w:hAnsi="Verdana"/>
                <w:sz w:val="20"/>
                <w:szCs w:val="20"/>
              </w:rPr>
              <w:t>COI</w:t>
            </w:r>
            <w:r w:rsidRPr="631993F9">
              <w:rPr>
                <w:rFonts w:ascii="Verdana" w:hAnsi="Verdana"/>
                <w:sz w:val="20"/>
                <w:szCs w:val="20"/>
              </w:rPr>
              <w:t xml:space="preserve"> a soutenu l’</w:t>
            </w:r>
            <w:r w:rsidR="101672D5" w:rsidRPr="631993F9">
              <w:rPr>
                <w:rFonts w:ascii="Verdana" w:hAnsi="Verdana"/>
                <w:sz w:val="20"/>
                <w:szCs w:val="20"/>
              </w:rPr>
              <w:t xml:space="preserve">organisation des réunions et formation sur la négociation </w:t>
            </w:r>
            <w:r w:rsidR="42725D60" w:rsidRPr="631993F9">
              <w:rPr>
                <w:rFonts w:ascii="Verdana" w:hAnsi="Verdana"/>
                <w:sz w:val="20"/>
                <w:szCs w:val="20"/>
              </w:rPr>
              <w:t>pour les Etas insulaires de l'Afrique ; accompagne la</w:t>
            </w:r>
            <w:r w:rsidR="68854D45" w:rsidRPr="631993F9">
              <w:rPr>
                <w:rFonts w:ascii="Verdana" w:hAnsi="Verdana"/>
                <w:sz w:val="20"/>
                <w:szCs w:val="20"/>
              </w:rPr>
              <w:t xml:space="preserve"> présidence Seychelloise a la</w:t>
            </w:r>
            <w:r w:rsidR="42725D60" w:rsidRPr="631993F9">
              <w:rPr>
                <w:rFonts w:ascii="Verdana" w:hAnsi="Verdana"/>
                <w:sz w:val="20"/>
                <w:szCs w:val="20"/>
              </w:rPr>
              <w:t xml:space="preserve"> </w:t>
            </w:r>
            <w:r w:rsidR="4718FF85" w:rsidRPr="631993F9">
              <w:rPr>
                <w:rFonts w:ascii="Verdana" w:hAnsi="Verdana"/>
                <w:sz w:val="20"/>
                <w:szCs w:val="20"/>
              </w:rPr>
              <w:t xml:space="preserve">coordination et échanges avec les Etats membre de la </w:t>
            </w:r>
            <w:r w:rsidR="7218124E" w:rsidRPr="631993F9">
              <w:rPr>
                <w:rFonts w:ascii="Verdana" w:hAnsi="Verdana"/>
                <w:sz w:val="20"/>
                <w:szCs w:val="20"/>
              </w:rPr>
              <w:t xml:space="preserve">CCEIA </w:t>
            </w:r>
            <w:r w:rsidR="2B508C46" w:rsidRPr="631993F9">
              <w:rPr>
                <w:rFonts w:ascii="Verdana" w:hAnsi="Verdana"/>
                <w:sz w:val="20"/>
                <w:szCs w:val="20"/>
              </w:rPr>
              <w:t xml:space="preserve">sur les activités de la </w:t>
            </w:r>
            <w:r w:rsidR="0AA2FEDF" w:rsidRPr="631993F9">
              <w:rPr>
                <w:rFonts w:ascii="Verdana" w:hAnsi="Verdana"/>
                <w:sz w:val="20"/>
                <w:szCs w:val="20"/>
              </w:rPr>
              <w:t>CCEIA ;</w:t>
            </w:r>
            <w:r w:rsidR="2B508C46" w:rsidRPr="631993F9">
              <w:rPr>
                <w:rFonts w:ascii="Verdana" w:hAnsi="Verdana"/>
                <w:sz w:val="20"/>
                <w:szCs w:val="20"/>
              </w:rPr>
              <w:t xml:space="preserve"> Appui</w:t>
            </w:r>
            <w:r w:rsidR="19A22F22" w:rsidRPr="631993F9">
              <w:rPr>
                <w:rFonts w:ascii="Verdana" w:hAnsi="Verdana"/>
                <w:sz w:val="20"/>
                <w:szCs w:val="20"/>
              </w:rPr>
              <w:t xml:space="preserve"> à l’organisation des </w:t>
            </w:r>
            <w:r w:rsidR="4BFE19AD" w:rsidRPr="631993F9">
              <w:rPr>
                <w:rFonts w:ascii="Verdana" w:hAnsi="Verdana"/>
                <w:sz w:val="20"/>
                <w:szCs w:val="20"/>
              </w:rPr>
              <w:t>évènements à</w:t>
            </w:r>
            <w:r w:rsidR="19A22F22" w:rsidRPr="631993F9">
              <w:rPr>
                <w:rFonts w:ascii="Verdana" w:hAnsi="Verdana"/>
                <w:sz w:val="20"/>
                <w:szCs w:val="20"/>
              </w:rPr>
              <w:t xml:space="preserve"> la COP 28</w:t>
            </w:r>
          </w:p>
          <w:p w14:paraId="22B3BC7F" w14:textId="3AE635FD" w:rsidR="00934F28" w:rsidRPr="00B76BE0" w:rsidRDefault="00934F28" w:rsidP="631993F9">
            <w:pPr>
              <w:rPr>
                <w:rFonts w:ascii="Verdana" w:hAnsi="Verdana"/>
                <w:sz w:val="20"/>
                <w:szCs w:val="20"/>
              </w:rPr>
            </w:pPr>
          </w:p>
          <w:p w14:paraId="1A86BCD8" w14:textId="4E09FA93" w:rsidR="00934F28" w:rsidRPr="00B76BE0" w:rsidRDefault="26BA1B14" w:rsidP="631993F9">
            <w:pPr>
              <w:rPr>
                <w:rFonts w:ascii="Verdana" w:hAnsi="Verdana"/>
                <w:sz w:val="20"/>
                <w:szCs w:val="20"/>
              </w:rPr>
            </w:pPr>
            <w:r w:rsidRPr="631993F9">
              <w:rPr>
                <w:rFonts w:ascii="Verdana" w:hAnsi="Verdana"/>
                <w:sz w:val="20"/>
                <w:szCs w:val="20"/>
              </w:rPr>
              <w:t xml:space="preserve">9C- Le secretariat général a été invité en tant qu’observateur et participé à la session de travail. </w:t>
            </w:r>
          </w:p>
          <w:p w14:paraId="4DF0DFC7" w14:textId="537E2806" w:rsidR="00934F28" w:rsidRPr="00B76BE0" w:rsidRDefault="00934F28" w:rsidP="631993F9">
            <w:pPr>
              <w:rPr>
                <w:rFonts w:ascii="Verdana" w:hAnsi="Verdana"/>
                <w:sz w:val="20"/>
                <w:szCs w:val="20"/>
              </w:rPr>
            </w:pPr>
          </w:p>
          <w:p w14:paraId="22080AB5" w14:textId="7E3E47ED" w:rsidR="00934F28" w:rsidRPr="00B76BE0" w:rsidRDefault="05366C03" w:rsidP="631993F9">
            <w:pPr>
              <w:rPr>
                <w:rFonts w:ascii="Verdana" w:hAnsi="Verdana"/>
                <w:sz w:val="20"/>
                <w:szCs w:val="20"/>
              </w:rPr>
            </w:pPr>
            <w:r w:rsidRPr="631993F9">
              <w:rPr>
                <w:rFonts w:ascii="Verdana" w:hAnsi="Verdana"/>
                <w:sz w:val="20"/>
                <w:szCs w:val="20"/>
              </w:rPr>
              <w:t xml:space="preserve">9d. Le secretariat </w:t>
            </w:r>
            <w:r w:rsidR="6318E20B" w:rsidRPr="631993F9">
              <w:rPr>
                <w:rFonts w:ascii="Verdana" w:hAnsi="Verdana"/>
                <w:sz w:val="20"/>
                <w:szCs w:val="20"/>
              </w:rPr>
              <w:t>général</w:t>
            </w:r>
            <w:r w:rsidRPr="631993F9">
              <w:rPr>
                <w:rFonts w:ascii="Verdana" w:hAnsi="Verdana"/>
                <w:sz w:val="20"/>
                <w:szCs w:val="20"/>
              </w:rPr>
              <w:t xml:space="preserve"> </w:t>
            </w:r>
            <w:r w:rsidR="06F29E18" w:rsidRPr="631993F9">
              <w:rPr>
                <w:rFonts w:ascii="Verdana" w:hAnsi="Verdana"/>
                <w:sz w:val="20"/>
                <w:szCs w:val="20"/>
              </w:rPr>
              <w:t>a</w:t>
            </w:r>
            <w:r w:rsidRPr="631993F9">
              <w:rPr>
                <w:rFonts w:ascii="Verdana" w:hAnsi="Verdana"/>
                <w:sz w:val="20"/>
                <w:szCs w:val="20"/>
              </w:rPr>
              <w:t xml:space="preserve"> </w:t>
            </w:r>
            <w:r w:rsidR="4D5264E2" w:rsidRPr="631993F9">
              <w:rPr>
                <w:rFonts w:ascii="Verdana" w:hAnsi="Verdana"/>
                <w:sz w:val="20"/>
                <w:szCs w:val="20"/>
              </w:rPr>
              <w:t>appuyé l'organisation et</w:t>
            </w:r>
            <w:r w:rsidR="4EB44F4A" w:rsidRPr="631993F9">
              <w:rPr>
                <w:rFonts w:ascii="Verdana" w:hAnsi="Verdana"/>
                <w:sz w:val="20"/>
                <w:szCs w:val="20"/>
              </w:rPr>
              <w:t xml:space="preserve"> a participé de la </w:t>
            </w:r>
            <w:r w:rsidR="4A13F4EB" w:rsidRPr="631993F9">
              <w:rPr>
                <w:rFonts w:ascii="Verdana" w:hAnsi="Verdana"/>
                <w:sz w:val="20"/>
                <w:szCs w:val="20"/>
              </w:rPr>
              <w:t>ministérielle</w:t>
            </w:r>
            <w:r w:rsidR="4EB44F4A" w:rsidRPr="631993F9">
              <w:rPr>
                <w:rFonts w:ascii="Verdana" w:hAnsi="Verdana"/>
                <w:sz w:val="20"/>
                <w:szCs w:val="20"/>
              </w:rPr>
              <w:t xml:space="preserve"> et l</w:t>
            </w:r>
            <w:r w:rsidR="0259C5B7" w:rsidRPr="631993F9">
              <w:rPr>
                <w:rFonts w:ascii="Verdana" w:hAnsi="Verdana"/>
                <w:sz w:val="20"/>
                <w:szCs w:val="20"/>
              </w:rPr>
              <w:t xml:space="preserve">es tables rondes </w:t>
            </w:r>
          </w:p>
        </w:tc>
        <w:tc>
          <w:tcPr>
            <w:tcW w:w="1984" w:type="dxa"/>
          </w:tcPr>
          <w:p w14:paraId="298F923B" w14:textId="149FAEEF" w:rsidR="00934F28" w:rsidRPr="00B76BE0" w:rsidRDefault="4EB44F4A">
            <w:pPr>
              <w:rPr>
                <w:rFonts w:ascii="Verdana" w:hAnsi="Verdana"/>
                <w:sz w:val="20"/>
                <w:szCs w:val="20"/>
              </w:rPr>
            </w:pPr>
            <w:r w:rsidRPr="631993F9">
              <w:rPr>
                <w:rFonts w:ascii="Verdana" w:hAnsi="Verdana"/>
                <w:sz w:val="20"/>
                <w:szCs w:val="20"/>
              </w:rPr>
              <w:t xml:space="preserve">CM-GB </w:t>
            </w:r>
          </w:p>
        </w:tc>
        <w:tc>
          <w:tcPr>
            <w:tcW w:w="1904" w:type="dxa"/>
          </w:tcPr>
          <w:p w14:paraId="03E9980F" w14:textId="77777777" w:rsidR="00934F28" w:rsidRPr="00B76BE0" w:rsidRDefault="00934F28">
            <w:pPr>
              <w:rPr>
                <w:rFonts w:ascii="Verdana" w:hAnsi="Verdana"/>
                <w:sz w:val="20"/>
                <w:szCs w:val="20"/>
              </w:rPr>
            </w:pPr>
          </w:p>
        </w:tc>
      </w:tr>
      <w:tr w:rsidR="00934F28" w:rsidRPr="00B76BE0" w14:paraId="1114697D" w14:textId="77777777" w:rsidTr="42DBEA26">
        <w:tc>
          <w:tcPr>
            <w:tcW w:w="5529" w:type="dxa"/>
          </w:tcPr>
          <w:p w14:paraId="064C6479" w14:textId="0619CFAB" w:rsidR="00934F28" w:rsidRPr="00B76BE0" w:rsidRDefault="006C0034">
            <w:pPr>
              <w:rPr>
                <w:rFonts w:ascii="Verdana" w:hAnsi="Verdana"/>
                <w:b/>
                <w:bCs/>
                <w:sz w:val="20"/>
                <w:szCs w:val="20"/>
              </w:rPr>
            </w:pPr>
            <w:r w:rsidRPr="00B76BE0">
              <w:rPr>
                <w:rFonts w:ascii="Verdana" w:hAnsi="Verdana"/>
                <w:b/>
                <w:bCs/>
                <w:sz w:val="20"/>
                <w:szCs w:val="20"/>
              </w:rPr>
              <w:t>Décision 1</w:t>
            </w:r>
            <w:r w:rsidR="00493767">
              <w:rPr>
                <w:rFonts w:ascii="Verdana" w:hAnsi="Verdana"/>
                <w:b/>
                <w:bCs/>
                <w:sz w:val="20"/>
                <w:szCs w:val="20"/>
              </w:rPr>
              <w:t>0</w:t>
            </w:r>
            <w:r w:rsidRPr="00B76BE0">
              <w:rPr>
                <w:rFonts w:ascii="Verdana" w:hAnsi="Verdana"/>
                <w:b/>
                <w:bCs/>
                <w:sz w:val="20"/>
                <w:szCs w:val="20"/>
              </w:rPr>
              <w:t xml:space="preserve"> – Partenariats avec la COI-UNESCO et </w:t>
            </w:r>
            <w:proofErr w:type="spellStart"/>
            <w:r w:rsidRPr="00B76BE0">
              <w:rPr>
                <w:rFonts w:ascii="Verdana" w:hAnsi="Verdana"/>
                <w:b/>
                <w:bCs/>
                <w:sz w:val="20"/>
                <w:szCs w:val="20"/>
              </w:rPr>
              <w:t>RedR</w:t>
            </w:r>
            <w:proofErr w:type="spellEnd"/>
            <w:r w:rsidRPr="00B76BE0">
              <w:rPr>
                <w:rFonts w:ascii="Verdana" w:hAnsi="Verdana"/>
                <w:b/>
                <w:bCs/>
                <w:sz w:val="20"/>
                <w:szCs w:val="20"/>
              </w:rPr>
              <w:t xml:space="preserve"> </w:t>
            </w:r>
            <w:proofErr w:type="spellStart"/>
            <w:r w:rsidRPr="00B76BE0">
              <w:rPr>
                <w:rFonts w:ascii="Verdana" w:hAnsi="Verdana"/>
                <w:b/>
                <w:bCs/>
                <w:sz w:val="20"/>
                <w:szCs w:val="20"/>
              </w:rPr>
              <w:t>Australia</w:t>
            </w:r>
            <w:proofErr w:type="spellEnd"/>
          </w:p>
          <w:p w14:paraId="72D43D9A" w14:textId="77777777" w:rsidR="00493767" w:rsidRPr="00AB0730" w:rsidRDefault="00493767" w:rsidP="00493767">
            <w:pPr>
              <w:pStyle w:val="Paragraphe"/>
            </w:pPr>
            <w:r w:rsidRPr="00AB0730">
              <w:t xml:space="preserve">Le Conseil des ministres : </w:t>
            </w:r>
          </w:p>
          <w:p w14:paraId="534C3CC6" w14:textId="77777777" w:rsidR="00493767" w:rsidRPr="00AB0730" w:rsidRDefault="00493767" w:rsidP="00493767">
            <w:pPr>
              <w:pStyle w:val="Paragraphe"/>
              <w:numPr>
                <w:ilvl w:val="0"/>
                <w:numId w:val="29"/>
              </w:numPr>
            </w:pPr>
            <w:r w:rsidRPr="00AB0730">
              <w:t>Demande au Secrétariat général :</w:t>
            </w:r>
          </w:p>
          <w:p w14:paraId="2EC44D46" w14:textId="77777777" w:rsidR="00493767" w:rsidRPr="00AB0730" w:rsidRDefault="00493767" w:rsidP="00493767">
            <w:pPr>
              <w:pStyle w:val="Paragraphe"/>
              <w:numPr>
                <w:ilvl w:val="0"/>
                <w:numId w:val="30"/>
              </w:numPr>
              <w:ind w:left="1134" w:hanging="425"/>
            </w:pPr>
            <w:r w:rsidRPr="00AB0730">
              <w:t>De prendre contact avec le Secrétariat de la Commission océanographique intergouvernementale de l’UNESCO (COI-UNESCO) pour formaliser la collaboration institutionnelle entre nos institutions, y compris avec les sous-commissions géographiques pour l’Afrique et l’océan Indien central, à travers des lettres d’entente ;</w:t>
            </w:r>
          </w:p>
          <w:p w14:paraId="3BD54C00" w14:textId="77777777" w:rsidR="00493767" w:rsidRPr="00AB0730" w:rsidRDefault="00493767" w:rsidP="00493767">
            <w:pPr>
              <w:pStyle w:val="Paragraphe"/>
              <w:numPr>
                <w:ilvl w:val="0"/>
                <w:numId w:val="30"/>
              </w:numPr>
              <w:ind w:left="1134" w:hanging="425"/>
            </w:pPr>
            <w:r w:rsidRPr="00AB0730">
              <w:lastRenderedPageBreak/>
              <w:t xml:space="preserve">D’entreprendre les démarches avec </w:t>
            </w:r>
            <w:r w:rsidRPr="00AB0730">
              <w:rPr>
                <w:shd w:val="clear" w:color="auto" w:fill="FFFFFF"/>
              </w:rPr>
              <w:t>l’Institut</w:t>
            </w:r>
            <w:r w:rsidRPr="00AB0730">
              <w:t xml:space="preserve"> national des technologies océaniques et le Centre national de recherche côtière de l’Inde pour mettre en place les arrangements administratifs nécessaires pour faciliter les échanges et la mise en œuvre d’activités de formation au bénéfice des États membres ; </w:t>
            </w:r>
          </w:p>
          <w:p w14:paraId="00D1601D" w14:textId="77777777" w:rsidR="00493767" w:rsidRPr="00AB0730" w:rsidRDefault="00493767" w:rsidP="00493767">
            <w:pPr>
              <w:pStyle w:val="Paragraphe"/>
              <w:numPr>
                <w:ilvl w:val="0"/>
                <w:numId w:val="29"/>
              </w:numPr>
            </w:pPr>
            <w:r w:rsidRPr="00AB0730">
              <w:t>Autorise le Secrétaire général à signer le protocole d’accord avec l’Agence humanitaire de l’Australie (</w:t>
            </w:r>
            <w:proofErr w:type="spellStart"/>
            <w:r w:rsidRPr="00AB0730">
              <w:t>RedR</w:t>
            </w:r>
            <w:proofErr w:type="spellEnd"/>
            <w:r w:rsidRPr="00AB0730">
              <w:t xml:space="preserve"> </w:t>
            </w:r>
            <w:proofErr w:type="spellStart"/>
            <w:r w:rsidRPr="00AB0730">
              <w:t>Australia</w:t>
            </w:r>
            <w:proofErr w:type="spellEnd"/>
            <w:r w:rsidRPr="00AB0730">
              <w:t>).</w:t>
            </w:r>
          </w:p>
          <w:p w14:paraId="198EDC3A" w14:textId="27408FAA" w:rsidR="006C0034" w:rsidRPr="00B76BE0" w:rsidRDefault="006C0034">
            <w:pPr>
              <w:rPr>
                <w:rFonts w:ascii="Verdana" w:hAnsi="Verdana"/>
                <w:sz w:val="20"/>
                <w:szCs w:val="20"/>
              </w:rPr>
            </w:pPr>
          </w:p>
        </w:tc>
        <w:tc>
          <w:tcPr>
            <w:tcW w:w="5103" w:type="dxa"/>
          </w:tcPr>
          <w:p w14:paraId="679C4B0C" w14:textId="7FE0BD7F" w:rsidR="00934F28" w:rsidRPr="00B76BE0" w:rsidRDefault="4947E410" w:rsidP="631993F9">
            <w:pPr>
              <w:spacing w:line="259" w:lineRule="auto"/>
              <w:rPr>
                <w:rFonts w:ascii="Calibri" w:eastAsia="Calibri" w:hAnsi="Calibri" w:cs="Calibri"/>
              </w:rPr>
            </w:pPr>
            <w:r w:rsidRPr="631993F9">
              <w:rPr>
                <w:rFonts w:ascii="Verdana" w:hAnsi="Verdana"/>
                <w:sz w:val="20"/>
                <w:szCs w:val="20"/>
              </w:rPr>
              <w:lastRenderedPageBreak/>
              <w:t xml:space="preserve">10a) </w:t>
            </w:r>
            <w:r w:rsidR="7FCDACC8" w:rsidRPr="631993F9">
              <w:rPr>
                <w:rFonts w:ascii="Verdana" w:hAnsi="Verdana"/>
                <w:sz w:val="20"/>
                <w:szCs w:val="20"/>
              </w:rPr>
              <w:t>participation une</w:t>
            </w:r>
            <w:r w:rsidRPr="631993F9">
              <w:rPr>
                <w:rFonts w:ascii="Verdana" w:hAnsi="Verdana"/>
                <w:sz w:val="20"/>
                <w:szCs w:val="20"/>
              </w:rPr>
              <w:t xml:space="preserve"> </w:t>
            </w:r>
            <w:proofErr w:type="spellStart"/>
            <w:r w:rsidRPr="631993F9">
              <w:rPr>
                <w:rFonts w:ascii="Verdana" w:hAnsi="Verdana"/>
                <w:sz w:val="20"/>
                <w:szCs w:val="20"/>
              </w:rPr>
              <w:t>reunion</w:t>
            </w:r>
            <w:proofErr w:type="spellEnd"/>
            <w:r w:rsidRPr="631993F9">
              <w:rPr>
                <w:rFonts w:ascii="Verdana" w:hAnsi="Verdana"/>
                <w:sz w:val="20"/>
                <w:szCs w:val="20"/>
              </w:rPr>
              <w:t xml:space="preserve"> de IOC</w:t>
            </w:r>
            <w:r w:rsidR="524D979A" w:rsidRPr="631993F9">
              <w:rPr>
                <w:rFonts w:ascii="Verdana" w:hAnsi="Verdana"/>
                <w:sz w:val="20"/>
                <w:szCs w:val="20"/>
              </w:rPr>
              <w:t>INDIO</w:t>
            </w:r>
            <w:r w:rsidR="32DC119A" w:rsidRPr="631993F9">
              <w:rPr>
                <w:rFonts w:ascii="Verdana" w:hAnsi="Verdana"/>
                <w:sz w:val="20"/>
                <w:szCs w:val="20"/>
              </w:rPr>
              <w:t xml:space="preserve"> en </w:t>
            </w:r>
            <w:r w:rsidR="1DC50493" w:rsidRPr="631993F9">
              <w:rPr>
                <w:rFonts w:ascii="Verdana" w:hAnsi="Verdana"/>
                <w:sz w:val="20"/>
                <w:szCs w:val="20"/>
              </w:rPr>
              <w:t>juillet</w:t>
            </w:r>
            <w:r w:rsidR="32DC119A" w:rsidRPr="631993F9">
              <w:rPr>
                <w:rFonts w:ascii="Verdana" w:hAnsi="Verdana"/>
                <w:sz w:val="20"/>
                <w:szCs w:val="20"/>
              </w:rPr>
              <w:t xml:space="preserve"> 2023 organisé à la sui</w:t>
            </w:r>
            <w:r w:rsidR="73FAAB2A" w:rsidRPr="631993F9">
              <w:rPr>
                <w:rFonts w:ascii="Verdana" w:hAnsi="Verdana"/>
                <w:sz w:val="20"/>
                <w:szCs w:val="20"/>
              </w:rPr>
              <w:t>t</w:t>
            </w:r>
            <w:r w:rsidR="32DC119A" w:rsidRPr="631993F9">
              <w:rPr>
                <w:rFonts w:ascii="Verdana" w:hAnsi="Verdana"/>
                <w:sz w:val="20"/>
                <w:szCs w:val="20"/>
              </w:rPr>
              <w:t>e de la 32eme Session de l’</w:t>
            </w:r>
            <w:r w:rsidR="0B157389" w:rsidRPr="631993F9">
              <w:rPr>
                <w:rFonts w:ascii="Verdana" w:hAnsi="Verdana"/>
                <w:sz w:val="20"/>
                <w:szCs w:val="20"/>
              </w:rPr>
              <w:t>assemblée</w:t>
            </w:r>
            <w:r w:rsidR="32DC119A" w:rsidRPr="631993F9">
              <w:rPr>
                <w:rFonts w:ascii="Verdana" w:hAnsi="Verdana"/>
                <w:sz w:val="20"/>
                <w:szCs w:val="20"/>
              </w:rPr>
              <w:t xml:space="preserve"> de IOC –UNESCO</w:t>
            </w:r>
            <w:r w:rsidR="3AE3ACC0" w:rsidRPr="631993F9">
              <w:rPr>
                <w:rFonts w:ascii="Verdana" w:hAnsi="Verdana"/>
                <w:sz w:val="20"/>
                <w:szCs w:val="20"/>
              </w:rPr>
              <w:t xml:space="preserve"> durant lequel la décision a été pris pour l</w:t>
            </w:r>
            <w:r w:rsidR="3AE3ACC0" w:rsidRPr="631993F9">
              <w:rPr>
                <w:rFonts w:ascii="Calibri" w:eastAsia="Calibri" w:hAnsi="Calibri" w:cs="Calibri"/>
              </w:rPr>
              <w:t xml:space="preserve">a </w:t>
            </w:r>
            <w:r w:rsidR="177FE9BC" w:rsidRPr="631993F9">
              <w:rPr>
                <w:rFonts w:ascii="Calibri" w:eastAsia="Calibri" w:hAnsi="Calibri" w:cs="Calibri"/>
              </w:rPr>
              <w:t>création</w:t>
            </w:r>
            <w:r w:rsidR="3AE3ACC0" w:rsidRPr="631993F9">
              <w:rPr>
                <w:rFonts w:ascii="Calibri" w:eastAsia="Calibri" w:hAnsi="Calibri" w:cs="Calibri"/>
              </w:rPr>
              <w:t xml:space="preserve"> de la </w:t>
            </w:r>
            <w:r w:rsidR="49AB7867" w:rsidRPr="631993F9">
              <w:rPr>
                <w:rFonts w:ascii="Calibri" w:eastAsia="Calibri" w:hAnsi="Calibri" w:cs="Calibri"/>
              </w:rPr>
              <w:t>sous-commission</w:t>
            </w:r>
            <w:r w:rsidR="3AE3ACC0" w:rsidRPr="631993F9">
              <w:rPr>
                <w:rFonts w:ascii="Calibri" w:eastAsia="Calibri" w:hAnsi="Calibri" w:cs="Calibri"/>
              </w:rPr>
              <w:t xml:space="preserve"> de IOC-UNESCO pour </w:t>
            </w:r>
            <w:r w:rsidR="11195358" w:rsidRPr="631993F9">
              <w:rPr>
                <w:rFonts w:ascii="Calibri" w:eastAsia="Calibri" w:hAnsi="Calibri" w:cs="Calibri"/>
              </w:rPr>
              <w:t>l’océan</w:t>
            </w:r>
            <w:r w:rsidR="3AE3ACC0" w:rsidRPr="631993F9">
              <w:rPr>
                <w:rFonts w:ascii="Calibri" w:eastAsia="Calibri" w:hAnsi="Calibri" w:cs="Calibri"/>
              </w:rPr>
              <w:t xml:space="preserve"> </w:t>
            </w:r>
            <w:proofErr w:type="spellStart"/>
            <w:r w:rsidR="3AE3ACC0" w:rsidRPr="631993F9">
              <w:rPr>
                <w:rFonts w:ascii="Calibri" w:eastAsia="Calibri" w:hAnsi="Calibri" w:cs="Calibri"/>
              </w:rPr>
              <w:t>indian</w:t>
            </w:r>
            <w:proofErr w:type="spellEnd"/>
            <w:r w:rsidR="3AE3ACC0" w:rsidRPr="631993F9">
              <w:rPr>
                <w:rFonts w:ascii="Calibri" w:eastAsia="Calibri" w:hAnsi="Calibri" w:cs="Calibri"/>
              </w:rPr>
              <w:t xml:space="preserve"> </w:t>
            </w:r>
            <w:r w:rsidR="4537162C" w:rsidRPr="631993F9">
              <w:rPr>
                <w:rFonts w:ascii="Calibri" w:eastAsia="Calibri" w:hAnsi="Calibri" w:cs="Calibri"/>
              </w:rPr>
              <w:t>central ;</w:t>
            </w:r>
            <w:r w:rsidR="3AE3ACC0" w:rsidRPr="631993F9">
              <w:rPr>
                <w:rFonts w:ascii="Calibri" w:eastAsia="Calibri" w:hAnsi="Calibri" w:cs="Calibri"/>
              </w:rPr>
              <w:t xml:space="preserve"> (</w:t>
            </w:r>
            <w:r w:rsidR="1CBE3484" w:rsidRPr="631993F9">
              <w:rPr>
                <w:rFonts w:ascii="Calibri" w:eastAsia="Calibri" w:hAnsi="Calibri" w:cs="Calibri"/>
              </w:rPr>
              <w:t>Réf IOC</w:t>
            </w:r>
            <w:r w:rsidR="00A62C99" w:rsidRPr="631993F9">
              <w:rPr>
                <w:rFonts w:ascii="Calibri" w:eastAsia="Calibri" w:hAnsi="Calibri" w:cs="Calibri"/>
              </w:rPr>
              <w:t xml:space="preserve"> </w:t>
            </w:r>
            <w:r w:rsidR="031B56FB" w:rsidRPr="631993F9">
              <w:rPr>
                <w:rFonts w:ascii="Calibri" w:eastAsia="Calibri" w:hAnsi="Calibri" w:cs="Calibri"/>
              </w:rPr>
              <w:t>Résolution</w:t>
            </w:r>
            <w:r w:rsidR="00A62C99" w:rsidRPr="631993F9">
              <w:rPr>
                <w:rFonts w:ascii="Calibri" w:eastAsia="Calibri" w:hAnsi="Calibri" w:cs="Calibri"/>
              </w:rPr>
              <w:t xml:space="preserve"> A-32/</w:t>
            </w:r>
            <w:r w:rsidR="6874F5A5" w:rsidRPr="631993F9">
              <w:rPr>
                <w:rFonts w:ascii="Calibri" w:eastAsia="Calibri" w:hAnsi="Calibri" w:cs="Calibri"/>
              </w:rPr>
              <w:t>1 :</w:t>
            </w:r>
            <w:r w:rsidR="00A62C99" w:rsidRPr="631993F9">
              <w:rPr>
                <w:rFonts w:ascii="Calibri" w:eastAsia="Calibri" w:hAnsi="Calibri" w:cs="Calibri"/>
              </w:rPr>
              <w:t xml:space="preserve"> </w:t>
            </w:r>
            <w:r w:rsidR="0222D581" w:rsidRPr="631993F9">
              <w:rPr>
                <w:rFonts w:ascii="Calibri" w:eastAsia="Calibri" w:hAnsi="Calibri" w:cs="Calibri"/>
              </w:rPr>
              <w:t xml:space="preserve">A suivre </w:t>
            </w:r>
            <w:r w:rsidR="004B7D3F" w:rsidRPr="631993F9">
              <w:rPr>
                <w:rFonts w:ascii="Calibri" w:eastAsia="Calibri" w:hAnsi="Calibri" w:cs="Calibri"/>
              </w:rPr>
              <w:t>évolution</w:t>
            </w:r>
            <w:r w:rsidR="0222D581" w:rsidRPr="631993F9">
              <w:rPr>
                <w:rFonts w:ascii="Calibri" w:eastAsia="Calibri" w:hAnsi="Calibri" w:cs="Calibri"/>
              </w:rPr>
              <w:t xml:space="preserve"> sur la mise en place de la </w:t>
            </w:r>
            <w:r w:rsidR="12A999F3" w:rsidRPr="631993F9">
              <w:rPr>
                <w:rFonts w:ascii="Calibri" w:eastAsia="Calibri" w:hAnsi="Calibri" w:cs="Calibri"/>
              </w:rPr>
              <w:t>sous-commission</w:t>
            </w:r>
            <w:r w:rsidR="0222D581" w:rsidRPr="631993F9">
              <w:rPr>
                <w:rFonts w:ascii="Calibri" w:eastAsia="Calibri" w:hAnsi="Calibri" w:cs="Calibri"/>
              </w:rPr>
              <w:t xml:space="preserve">. </w:t>
            </w:r>
          </w:p>
          <w:p w14:paraId="7577A41C" w14:textId="5F5C64BF" w:rsidR="00934F28" w:rsidRPr="00B76BE0" w:rsidRDefault="00934F28" w:rsidP="631993F9">
            <w:pPr>
              <w:spacing w:line="259" w:lineRule="auto"/>
              <w:rPr>
                <w:rFonts w:ascii="Calibri" w:eastAsia="Calibri" w:hAnsi="Calibri" w:cs="Calibri"/>
                <w:color w:val="000000" w:themeColor="text1"/>
              </w:rPr>
            </w:pPr>
          </w:p>
          <w:p w14:paraId="18A354AB" w14:textId="2D3E0108" w:rsidR="00934F28" w:rsidRPr="002B1954" w:rsidRDefault="4704231D" w:rsidP="631993F9">
            <w:pPr>
              <w:spacing w:line="259" w:lineRule="auto"/>
              <w:rPr>
                <w:rFonts w:ascii="Calibri" w:eastAsia="Calibri" w:hAnsi="Calibri" w:cs="Calibri"/>
                <w:color w:val="000000" w:themeColor="text1"/>
              </w:rPr>
            </w:pPr>
            <w:r w:rsidRPr="631993F9">
              <w:rPr>
                <w:rFonts w:ascii="Calibri" w:eastAsia="Calibri" w:hAnsi="Calibri" w:cs="Calibri"/>
                <w:color w:val="000000" w:themeColor="text1"/>
              </w:rPr>
              <w:t>10b</w:t>
            </w:r>
            <w:r w:rsidR="390626C0" w:rsidRPr="631993F9">
              <w:rPr>
                <w:rFonts w:ascii="Calibri" w:eastAsia="Calibri" w:hAnsi="Calibri" w:cs="Calibri"/>
                <w:color w:val="000000" w:themeColor="text1"/>
              </w:rPr>
              <w:t xml:space="preserve"> L’accord de partenariat signé </w:t>
            </w:r>
            <w:r w:rsidR="31C6E0BF" w:rsidRPr="631993F9">
              <w:rPr>
                <w:rFonts w:ascii="Calibri" w:eastAsia="Calibri" w:hAnsi="Calibri" w:cs="Calibri"/>
                <w:color w:val="000000" w:themeColor="text1"/>
              </w:rPr>
              <w:t xml:space="preserve">et le </w:t>
            </w:r>
            <w:r w:rsidR="61C3F11B" w:rsidRPr="631993F9">
              <w:rPr>
                <w:rFonts w:ascii="Calibri" w:eastAsia="Calibri" w:hAnsi="Calibri" w:cs="Calibri"/>
                <w:color w:val="000000" w:themeColor="text1"/>
              </w:rPr>
              <w:t>déploiement</w:t>
            </w:r>
            <w:r w:rsidR="31C6E0BF" w:rsidRPr="631993F9">
              <w:rPr>
                <w:rFonts w:ascii="Calibri" w:eastAsia="Calibri" w:hAnsi="Calibri" w:cs="Calibri"/>
                <w:color w:val="000000" w:themeColor="text1"/>
              </w:rPr>
              <w:t xml:space="preserve"> </w:t>
            </w:r>
            <w:r w:rsidR="6FF61999" w:rsidRPr="631993F9">
              <w:rPr>
                <w:rFonts w:ascii="Calibri" w:eastAsia="Calibri" w:hAnsi="Calibri" w:cs="Calibri"/>
                <w:color w:val="000000" w:themeColor="text1"/>
              </w:rPr>
              <w:t>d’un expert</w:t>
            </w:r>
            <w:r w:rsidR="31C6E0BF" w:rsidRPr="631993F9">
              <w:rPr>
                <w:rFonts w:ascii="Calibri" w:eastAsia="Calibri" w:hAnsi="Calibri" w:cs="Calibri"/>
                <w:color w:val="000000" w:themeColor="text1"/>
              </w:rPr>
              <w:t xml:space="preserve"> </w:t>
            </w:r>
            <w:r w:rsidR="101D167C" w:rsidRPr="631993F9">
              <w:rPr>
                <w:rFonts w:ascii="Calibri" w:eastAsia="Calibri" w:hAnsi="Calibri" w:cs="Calibri"/>
                <w:color w:val="000000" w:themeColor="text1"/>
              </w:rPr>
              <w:t xml:space="preserve">pour une durée de 6mois est </w:t>
            </w:r>
            <w:r w:rsidR="31C6E0BF" w:rsidRPr="631993F9">
              <w:rPr>
                <w:rFonts w:ascii="Calibri" w:eastAsia="Calibri" w:hAnsi="Calibri" w:cs="Calibri"/>
                <w:color w:val="000000" w:themeColor="text1"/>
              </w:rPr>
              <w:t xml:space="preserve">en </w:t>
            </w:r>
            <w:r w:rsidR="5339DB5A" w:rsidRPr="631993F9">
              <w:rPr>
                <w:rFonts w:ascii="Calibri" w:eastAsia="Calibri" w:hAnsi="Calibri" w:cs="Calibri"/>
                <w:color w:val="000000" w:themeColor="text1"/>
              </w:rPr>
              <w:t>cours.</w:t>
            </w:r>
            <w:r w:rsidR="31C6E0BF" w:rsidRPr="631993F9">
              <w:rPr>
                <w:rFonts w:ascii="Calibri" w:eastAsia="Calibri" w:hAnsi="Calibri" w:cs="Calibri"/>
                <w:color w:val="000000" w:themeColor="text1"/>
              </w:rPr>
              <w:t xml:space="preserve"> </w:t>
            </w:r>
            <w:r w:rsidR="390626C0" w:rsidRPr="631993F9">
              <w:rPr>
                <w:rFonts w:ascii="Calibri" w:eastAsia="Calibri" w:hAnsi="Calibri" w:cs="Calibri"/>
                <w:color w:val="000000" w:themeColor="text1"/>
              </w:rPr>
              <w:t xml:space="preserve"> </w:t>
            </w:r>
          </w:p>
        </w:tc>
        <w:tc>
          <w:tcPr>
            <w:tcW w:w="1984" w:type="dxa"/>
          </w:tcPr>
          <w:p w14:paraId="4CF3F56B" w14:textId="74704F37" w:rsidR="00934F28" w:rsidRPr="00B76BE0" w:rsidRDefault="207B3A30">
            <w:pPr>
              <w:rPr>
                <w:rFonts w:ascii="Verdana" w:hAnsi="Verdana"/>
                <w:sz w:val="20"/>
                <w:szCs w:val="20"/>
              </w:rPr>
            </w:pPr>
            <w:r w:rsidRPr="631993F9">
              <w:rPr>
                <w:rFonts w:ascii="Verdana" w:hAnsi="Verdana"/>
                <w:sz w:val="20"/>
                <w:szCs w:val="20"/>
              </w:rPr>
              <w:t>GB</w:t>
            </w:r>
          </w:p>
        </w:tc>
        <w:tc>
          <w:tcPr>
            <w:tcW w:w="1904" w:type="dxa"/>
          </w:tcPr>
          <w:p w14:paraId="461AE6C8" w14:textId="1655AC1F" w:rsidR="00934F28" w:rsidRPr="00B76BE0" w:rsidRDefault="59B3B427">
            <w:pPr>
              <w:rPr>
                <w:rFonts w:ascii="Verdana" w:hAnsi="Verdana"/>
                <w:sz w:val="20"/>
                <w:szCs w:val="20"/>
              </w:rPr>
            </w:pPr>
            <w:r w:rsidRPr="631993F9">
              <w:rPr>
                <w:rFonts w:ascii="Verdana" w:hAnsi="Verdana"/>
                <w:sz w:val="20"/>
                <w:szCs w:val="20"/>
              </w:rPr>
              <w:t xml:space="preserve">10a i et ii </w:t>
            </w:r>
            <w:r w:rsidR="207B3A30" w:rsidRPr="631993F9">
              <w:rPr>
                <w:rFonts w:ascii="Verdana" w:hAnsi="Verdana"/>
                <w:sz w:val="20"/>
                <w:szCs w:val="20"/>
              </w:rPr>
              <w:t xml:space="preserve">A suivre </w:t>
            </w:r>
          </w:p>
        </w:tc>
      </w:tr>
      <w:tr w:rsidR="00934F28" w:rsidRPr="00B76BE0" w14:paraId="6957EB59" w14:textId="77777777" w:rsidTr="42DBEA26">
        <w:tc>
          <w:tcPr>
            <w:tcW w:w="5529" w:type="dxa"/>
          </w:tcPr>
          <w:p w14:paraId="3B7B126A" w14:textId="048B84D0" w:rsidR="00934F28" w:rsidRPr="00AD337F" w:rsidRDefault="006C0034">
            <w:pPr>
              <w:rPr>
                <w:rFonts w:ascii="Verdana" w:hAnsi="Verdana"/>
                <w:b/>
                <w:bCs/>
                <w:sz w:val="20"/>
                <w:szCs w:val="20"/>
              </w:rPr>
            </w:pPr>
            <w:r w:rsidRPr="00AD337F">
              <w:rPr>
                <w:rFonts w:ascii="Verdana" w:hAnsi="Verdana"/>
                <w:b/>
                <w:bCs/>
                <w:sz w:val="20"/>
                <w:szCs w:val="20"/>
              </w:rPr>
              <w:t>Décision 1</w:t>
            </w:r>
            <w:r w:rsidR="00676AC0" w:rsidRPr="00AD337F">
              <w:rPr>
                <w:rFonts w:ascii="Verdana" w:hAnsi="Verdana"/>
                <w:b/>
                <w:bCs/>
                <w:sz w:val="20"/>
                <w:szCs w:val="20"/>
              </w:rPr>
              <w:t>1</w:t>
            </w:r>
            <w:r w:rsidRPr="00AD337F">
              <w:rPr>
                <w:rFonts w:ascii="Verdana" w:hAnsi="Verdana"/>
                <w:b/>
                <w:bCs/>
                <w:sz w:val="20"/>
                <w:szCs w:val="20"/>
              </w:rPr>
              <w:t xml:space="preserve"> – </w:t>
            </w:r>
            <w:r w:rsidR="00676AC0" w:rsidRPr="00AD337F">
              <w:rPr>
                <w:rFonts w:ascii="Verdana" w:hAnsi="Verdana"/>
                <w:b/>
                <w:bCs/>
                <w:sz w:val="20"/>
                <w:szCs w:val="20"/>
              </w:rPr>
              <w:t>Environnement</w:t>
            </w:r>
          </w:p>
          <w:p w14:paraId="111D0CF7" w14:textId="77777777" w:rsidR="00AD337F" w:rsidRPr="000035CF" w:rsidRDefault="00AD337F" w:rsidP="00AD337F">
            <w:pPr>
              <w:pStyle w:val="Default"/>
              <w:spacing w:after="120"/>
              <w:jc w:val="both"/>
              <w:rPr>
                <w:sz w:val="20"/>
                <w:szCs w:val="20"/>
              </w:rPr>
            </w:pPr>
            <w:r w:rsidRPr="000035CF">
              <w:rPr>
                <w:sz w:val="20"/>
                <w:szCs w:val="20"/>
              </w:rPr>
              <w:t xml:space="preserve">Le Conseil des ministres demande au Secrétariat général : </w:t>
            </w:r>
          </w:p>
          <w:p w14:paraId="22872172" w14:textId="77777777" w:rsidR="00AD337F" w:rsidRPr="000035CF" w:rsidRDefault="00AD337F" w:rsidP="00AD337F">
            <w:pPr>
              <w:pStyle w:val="Default"/>
              <w:numPr>
                <w:ilvl w:val="1"/>
                <w:numId w:val="30"/>
              </w:numPr>
              <w:spacing w:before="120" w:after="120"/>
              <w:ind w:left="851"/>
              <w:jc w:val="both"/>
              <w:rPr>
                <w:sz w:val="20"/>
                <w:szCs w:val="20"/>
              </w:rPr>
            </w:pPr>
            <w:r w:rsidRPr="000035CF">
              <w:rPr>
                <w:sz w:val="20"/>
                <w:szCs w:val="20"/>
              </w:rPr>
              <w:t xml:space="preserve">D’engager, sur la base de la feuille de route présentée, les travaux de préfiguration d’une Agence de Biodiversité avec l’implication du groupe de travail et en : </w:t>
            </w:r>
          </w:p>
          <w:p w14:paraId="351AD15B" w14:textId="77777777" w:rsidR="00AD337F" w:rsidRPr="000035CF" w:rsidRDefault="00AD337F" w:rsidP="00AD337F">
            <w:pPr>
              <w:pStyle w:val="Default"/>
              <w:numPr>
                <w:ilvl w:val="0"/>
                <w:numId w:val="32"/>
              </w:numPr>
              <w:spacing w:before="120" w:after="120"/>
              <w:ind w:left="1843"/>
              <w:jc w:val="both"/>
              <w:rPr>
                <w:sz w:val="20"/>
                <w:szCs w:val="20"/>
              </w:rPr>
            </w:pPr>
            <w:r w:rsidRPr="000035CF">
              <w:rPr>
                <w:sz w:val="20"/>
                <w:szCs w:val="20"/>
              </w:rPr>
              <w:t xml:space="preserve">Se rapprochant des partenaires techniques et financiers intéressés par l’initiative ; </w:t>
            </w:r>
          </w:p>
          <w:p w14:paraId="60DE59B6" w14:textId="1B6FC7CC" w:rsidR="00AD337F" w:rsidRPr="000035CF" w:rsidRDefault="24A4BA1B" w:rsidP="00AD337F">
            <w:pPr>
              <w:pStyle w:val="Default"/>
              <w:numPr>
                <w:ilvl w:val="0"/>
                <w:numId w:val="32"/>
              </w:numPr>
              <w:spacing w:before="120" w:after="120"/>
              <w:ind w:left="1843"/>
              <w:jc w:val="both"/>
              <w:rPr>
                <w:sz w:val="20"/>
                <w:szCs w:val="20"/>
              </w:rPr>
            </w:pPr>
            <w:r w:rsidRPr="631993F9">
              <w:rPr>
                <w:sz w:val="20"/>
                <w:szCs w:val="20"/>
              </w:rPr>
              <w:t xml:space="preserve">Veillant à la bonne articulation de ce projet avec les autres initiatives et projets conduits, par la COI ou par d’autres acteurs dans la </w:t>
            </w:r>
            <w:r w:rsidR="2D5CE92D" w:rsidRPr="631993F9">
              <w:rPr>
                <w:sz w:val="20"/>
                <w:szCs w:val="20"/>
              </w:rPr>
              <w:t>région ;</w:t>
            </w:r>
            <w:r w:rsidRPr="631993F9">
              <w:rPr>
                <w:sz w:val="20"/>
                <w:szCs w:val="20"/>
              </w:rPr>
              <w:t xml:space="preserve"> </w:t>
            </w:r>
          </w:p>
          <w:p w14:paraId="4D248A29" w14:textId="77777777" w:rsidR="00AD337F" w:rsidRPr="000035CF" w:rsidRDefault="00AD337F" w:rsidP="00AD337F">
            <w:pPr>
              <w:pStyle w:val="Default"/>
              <w:numPr>
                <w:ilvl w:val="1"/>
                <w:numId w:val="30"/>
              </w:numPr>
              <w:spacing w:before="120" w:after="120"/>
              <w:ind w:left="851"/>
              <w:jc w:val="both"/>
              <w:rPr>
                <w:sz w:val="20"/>
                <w:szCs w:val="20"/>
              </w:rPr>
            </w:pPr>
            <w:r w:rsidRPr="000035CF">
              <w:rPr>
                <w:sz w:val="20"/>
                <w:szCs w:val="20"/>
              </w:rPr>
              <w:lastRenderedPageBreak/>
              <w:t xml:space="preserve">D’encourager une bonne participation de ses États membres aux évènements organisés dans le cadre de GMES et Afrique ; </w:t>
            </w:r>
          </w:p>
          <w:p w14:paraId="0DD52814" w14:textId="77777777" w:rsidR="00AD337F" w:rsidRPr="000035CF" w:rsidRDefault="00AD337F" w:rsidP="00AD337F">
            <w:pPr>
              <w:pStyle w:val="Default"/>
              <w:numPr>
                <w:ilvl w:val="1"/>
                <w:numId w:val="30"/>
              </w:numPr>
              <w:spacing w:before="120" w:after="120"/>
              <w:ind w:left="851"/>
              <w:jc w:val="both"/>
              <w:rPr>
                <w:sz w:val="20"/>
                <w:szCs w:val="20"/>
              </w:rPr>
            </w:pPr>
            <w:r w:rsidRPr="000035CF">
              <w:rPr>
                <w:sz w:val="20"/>
                <w:szCs w:val="20"/>
              </w:rPr>
              <w:t xml:space="preserve">De poursuivre le travail engagé pour l’instruction d’un projet sur les espèces exotiques envahissantes en collaboration avec le GIZ et l’Union internationale de la conservation de la nature (UICN) et en impliquant le groupe de travail des États membres sur la biodiversité ; </w:t>
            </w:r>
          </w:p>
          <w:p w14:paraId="456F514B" w14:textId="77777777" w:rsidR="00AD337F" w:rsidRPr="000035CF" w:rsidRDefault="00AD337F" w:rsidP="00AD337F">
            <w:pPr>
              <w:pStyle w:val="Default"/>
              <w:numPr>
                <w:ilvl w:val="1"/>
                <w:numId w:val="30"/>
              </w:numPr>
              <w:spacing w:before="120" w:after="120"/>
              <w:ind w:left="851"/>
              <w:jc w:val="both"/>
              <w:rPr>
                <w:sz w:val="20"/>
                <w:szCs w:val="20"/>
              </w:rPr>
            </w:pPr>
            <w:r w:rsidRPr="000035CF">
              <w:rPr>
                <w:sz w:val="20"/>
                <w:szCs w:val="20"/>
              </w:rPr>
              <w:t xml:space="preserve">D’engager une démarche de préfiguration d’un projet sur la lutte contre le trafic des espèces protégées en concertation avec les États membres et en mobilisant les partenaires techniques et financiers potentiels et de poursuivre sa collaboration avec l’ONG internationale TRAFFIC en vue d’établir un partenariat sur le sujet ; </w:t>
            </w:r>
          </w:p>
          <w:p w14:paraId="5A8E95C4" w14:textId="77777777" w:rsidR="00AD337F" w:rsidRPr="000035CF" w:rsidRDefault="00AD337F" w:rsidP="00AD337F">
            <w:pPr>
              <w:pStyle w:val="Default"/>
              <w:numPr>
                <w:ilvl w:val="1"/>
                <w:numId w:val="30"/>
              </w:numPr>
              <w:spacing w:before="120" w:after="120"/>
              <w:ind w:left="851"/>
              <w:jc w:val="both"/>
              <w:rPr>
                <w:sz w:val="20"/>
                <w:szCs w:val="20"/>
              </w:rPr>
            </w:pPr>
            <w:r w:rsidRPr="000035CF">
              <w:rPr>
                <w:sz w:val="20"/>
                <w:szCs w:val="20"/>
              </w:rPr>
              <w:t xml:space="preserve">De soumettre des informations complémentaires aux États membres sur les modalités de participation de la COI au Comité de pilotage du projet Varuna en veillant à une bonne prise en compte des intérêts des États membres dans ses activités et à saisir les opportunités de synergies avec les actions de la COI ; </w:t>
            </w:r>
          </w:p>
          <w:p w14:paraId="2B147325" w14:textId="77777777" w:rsidR="00AD337F" w:rsidRPr="000035CF" w:rsidRDefault="00AD337F" w:rsidP="00AD337F">
            <w:pPr>
              <w:pStyle w:val="Default"/>
              <w:numPr>
                <w:ilvl w:val="1"/>
                <w:numId w:val="30"/>
              </w:numPr>
              <w:spacing w:before="120" w:after="120"/>
              <w:ind w:left="851"/>
              <w:jc w:val="both"/>
              <w:rPr>
                <w:sz w:val="20"/>
                <w:szCs w:val="20"/>
              </w:rPr>
            </w:pPr>
            <w:r w:rsidRPr="000035CF">
              <w:rPr>
                <w:sz w:val="20"/>
                <w:szCs w:val="20"/>
              </w:rPr>
              <w:t xml:space="preserve">D’informer régulièrement les États membres des avancées et éventuels défis dans la mise en </w:t>
            </w:r>
            <w:proofErr w:type="spellStart"/>
            <w:r w:rsidRPr="000035CF">
              <w:rPr>
                <w:sz w:val="20"/>
                <w:szCs w:val="20"/>
              </w:rPr>
              <w:t>oeuvre</w:t>
            </w:r>
            <w:proofErr w:type="spellEnd"/>
            <w:r w:rsidRPr="000035CF">
              <w:rPr>
                <w:sz w:val="20"/>
                <w:szCs w:val="20"/>
              </w:rPr>
              <w:t xml:space="preserve"> des projets et de saisir les opportunités d’implication de la COI dans les </w:t>
            </w:r>
            <w:r w:rsidRPr="000035CF">
              <w:rPr>
                <w:sz w:val="20"/>
                <w:szCs w:val="20"/>
              </w:rPr>
              <w:lastRenderedPageBreak/>
              <w:t xml:space="preserve">projets sur la biodiversité au niveau régional et continental notamment en saisissant l’occasion de la présidence comorienne de l’Union africaine pour : </w:t>
            </w:r>
          </w:p>
          <w:p w14:paraId="4A921E58" w14:textId="77777777" w:rsidR="00AD337F" w:rsidRPr="000035CF" w:rsidRDefault="00AD337F" w:rsidP="00AD337F">
            <w:pPr>
              <w:pStyle w:val="Default"/>
              <w:numPr>
                <w:ilvl w:val="1"/>
                <w:numId w:val="31"/>
              </w:numPr>
              <w:spacing w:before="120" w:after="120"/>
              <w:ind w:left="1843"/>
              <w:jc w:val="both"/>
              <w:rPr>
                <w:sz w:val="20"/>
                <w:szCs w:val="20"/>
              </w:rPr>
            </w:pPr>
            <w:r w:rsidRPr="000035CF">
              <w:rPr>
                <w:sz w:val="20"/>
                <w:szCs w:val="20"/>
              </w:rPr>
              <w:t xml:space="preserve">Sensibiliser les organisations régionales, l’Union africaine et l’Organisation des États ACP (OEACP) aux besoins spécifiques des États insulaires d’Afrique, et, </w:t>
            </w:r>
          </w:p>
          <w:p w14:paraId="62A2EFE2" w14:textId="77777777" w:rsidR="00AD337F" w:rsidRPr="000035CF" w:rsidRDefault="00AD337F" w:rsidP="00AD337F">
            <w:pPr>
              <w:pStyle w:val="Default"/>
              <w:numPr>
                <w:ilvl w:val="1"/>
                <w:numId w:val="31"/>
              </w:numPr>
              <w:spacing w:before="120" w:after="120"/>
              <w:ind w:left="1843"/>
              <w:jc w:val="both"/>
              <w:rPr>
                <w:sz w:val="20"/>
                <w:szCs w:val="20"/>
              </w:rPr>
            </w:pPr>
            <w:r w:rsidRPr="000035CF">
              <w:rPr>
                <w:sz w:val="20"/>
                <w:szCs w:val="20"/>
              </w:rPr>
              <w:t xml:space="preserve">Faciliter la participation des États membres dans les programmes continentaux et ACP sur la biodiversité. </w:t>
            </w:r>
          </w:p>
          <w:p w14:paraId="571FAA4A" w14:textId="06DE16CB" w:rsidR="006C0034" w:rsidRPr="00B76BE0" w:rsidRDefault="006C0034">
            <w:pPr>
              <w:rPr>
                <w:rFonts w:ascii="Verdana" w:hAnsi="Verdana"/>
                <w:sz w:val="20"/>
                <w:szCs w:val="20"/>
              </w:rPr>
            </w:pPr>
          </w:p>
        </w:tc>
        <w:tc>
          <w:tcPr>
            <w:tcW w:w="5103" w:type="dxa"/>
          </w:tcPr>
          <w:p w14:paraId="2C4C5DD1" w14:textId="041F659A" w:rsidR="631993F9" w:rsidRDefault="631993F9" w:rsidP="631993F9">
            <w:pPr>
              <w:rPr>
                <w:rFonts w:ascii="Verdana" w:hAnsi="Verdana"/>
                <w:sz w:val="20"/>
                <w:szCs w:val="20"/>
              </w:rPr>
            </w:pPr>
          </w:p>
          <w:p w14:paraId="07A3E4B3" w14:textId="2D53F40E" w:rsidR="631993F9" w:rsidRDefault="631993F9" w:rsidP="631993F9">
            <w:pPr>
              <w:rPr>
                <w:rFonts w:ascii="Verdana" w:hAnsi="Verdana"/>
                <w:sz w:val="20"/>
                <w:szCs w:val="20"/>
              </w:rPr>
            </w:pPr>
          </w:p>
          <w:p w14:paraId="6E755181" w14:textId="62B0EE12" w:rsidR="00934F28" w:rsidRPr="00B76BE0" w:rsidRDefault="19FEDE7D" w:rsidP="631993F9">
            <w:pPr>
              <w:rPr>
                <w:rFonts w:ascii="Verdana" w:hAnsi="Verdana"/>
                <w:sz w:val="20"/>
                <w:szCs w:val="20"/>
              </w:rPr>
            </w:pPr>
            <w:r w:rsidRPr="631993F9">
              <w:rPr>
                <w:rFonts w:ascii="Verdana" w:hAnsi="Verdana"/>
                <w:sz w:val="20"/>
                <w:szCs w:val="20"/>
              </w:rPr>
              <w:t>11b.</w:t>
            </w:r>
            <w:r w:rsidR="5B26FE75" w:rsidRPr="631993F9">
              <w:rPr>
                <w:rFonts w:ascii="Verdana" w:hAnsi="Verdana"/>
                <w:sz w:val="20"/>
                <w:szCs w:val="20"/>
              </w:rPr>
              <w:t xml:space="preserve"> LA COI collabore avec l UA dans la mise en œuvre du Programme GMES et Afrique. </w:t>
            </w:r>
            <w:r w:rsidRPr="631993F9">
              <w:rPr>
                <w:rFonts w:ascii="Verdana" w:hAnsi="Verdana"/>
                <w:sz w:val="20"/>
                <w:szCs w:val="20"/>
              </w:rPr>
              <w:t xml:space="preserve"> </w:t>
            </w:r>
            <w:r w:rsidR="56F26B8C" w:rsidRPr="631993F9">
              <w:rPr>
                <w:rFonts w:ascii="Verdana" w:hAnsi="Verdana"/>
                <w:sz w:val="20"/>
                <w:szCs w:val="20"/>
              </w:rPr>
              <w:t xml:space="preserve">Trois </w:t>
            </w:r>
            <w:r w:rsidR="7A562E90" w:rsidRPr="631993F9">
              <w:rPr>
                <w:rFonts w:ascii="Verdana" w:hAnsi="Verdana"/>
                <w:sz w:val="20"/>
                <w:szCs w:val="20"/>
              </w:rPr>
              <w:t xml:space="preserve">étudiants </w:t>
            </w:r>
            <w:r w:rsidR="4DE3D8A5" w:rsidRPr="631993F9">
              <w:rPr>
                <w:rFonts w:ascii="Verdana" w:hAnsi="Verdana"/>
                <w:sz w:val="20"/>
                <w:szCs w:val="20"/>
              </w:rPr>
              <w:t xml:space="preserve">de Maurice, </w:t>
            </w:r>
            <w:r w:rsidR="3644DE25" w:rsidRPr="631993F9">
              <w:rPr>
                <w:rFonts w:ascii="Verdana" w:hAnsi="Verdana"/>
                <w:sz w:val="20"/>
                <w:szCs w:val="20"/>
              </w:rPr>
              <w:t>deux de</w:t>
            </w:r>
            <w:r w:rsidR="1B1BB39A" w:rsidRPr="631993F9">
              <w:rPr>
                <w:rFonts w:ascii="Verdana" w:hAnsi="Verdana"/>
                <w:sz w:val="20"/>
                <w:szCs w:val="20"/>
              </w:rPr>
              <w:t xml:space="preserve"> </w:t>
            </w:r>
            <w:r w:rsidR="7E8AC179" w:rsidRPr="631993F9">
              <w:rPr>
                <w:rFonts w:ascii="Verdana" w:hAnsi="Verdana"/>
                <w:sz w:val="20"/>
                <w:szCs w:val="20"/>
              </w:rPr>
              <w:t>Madagascar,</w:t>
            </w:r>
            <w:r w:rsidR="4DE3D8A5" w:rsidRPr="631993F9">
              <w:rPr>
                <w:rFonts w:ascii="Verdana" w:hAnsi="Verdana"/>
                <w:sz w:val="20"/>
                <w:szCs w:val="20"/>
              </w:rPr>
              <w:t xml:space="preserve"> </w:t>
            </w:r>
            <w:r w:rsidR="66C46C38" w:rsidRPr="631993F9">
              <w:rPr>
                <w:rFonts w:ascii="Verdana" w:hAnsi="Verdana"/>
                <w:sz w:val="20"/>
                <w:szCs w:val="20"/>
              </w:rPr>
              <w:t xml:space="preserve">deux des </w:t>
            </w:r>
            <w:r w:rsidR="4DE3D8A5" w:rsidRPr="631993F9">
              <w:rPr>
                <w:rFonts w:ascii="Verdana" w:hAnsi="Verdana"/>
                <w:sz w:val="20"/>
                <w:szCs w:val="20"/>
              </w:rPr>
              <w:t xml:space="preserve">Comores </w:t>
            </w:r>
            <w:r w:rsidR="05407D82" w:rsidRPr="631993F9">
              <w:rPr>
                <w:rFonts w:ascii="Verdana" w:hAnsi="Verdana"/>
                <w:sz w:val="20"/>
                <w:szCs w:val="20"/>
              </w:rPr>
              <w:t xml:space="preserve">et 5 des </w:t>
            </w:r>
            <w:proofErr w:type="spellStart"/>
            <w:r w:rsidR="05407D82" w:rsidRPr="631993F9">
              <w:rPr>
                <w:rFonts w:ascii="Verdana" w:hAnsi="Verdana"/>
                <w:sz w:val="20"/>
                <w:szCs w:val="20"/>
              </w:rPr>
              <w:t>seychelles</w:t>
            </w:r>
            <w:proofErr w:type="spellEnd"/>
            <w:r w:rsidR="05407D82" w:rsidRPr="631993F9">
              <w:rPr>
                <w:rFonts w:ascii="Verdana" w:hAnsi="Verdana"/>
                <w:sz w:val="20"/>
                <w:szCs w:val="20"/>
              </w:rPr>
              <w:t xml:space="preserve"> </w:t>
            </w:r>
            <w:r w:rsidR="4DE3D8A5" w:rsidRPr="631993F9">
              <w:rPr>
                <w:rFonts w:ascii="Verdana" w:hAnsi="Verdana"/>
                <w:sz w:val="20"/>
                <w:szCs w:val="20"/>
              </w:rPr>
              <w:t>ont</w:t>
            </w:r>
            <w:r w:rsidR="7A562E90" w:rsidRPr="631993F9">
              <w:rPr>
                <w:rFonts w:ascii="Verdana" w:hAnsi="Verdana"/>
                <w:sz w:val="20"/>
                <w:szCs w:val="20"/>
              </w:rPr>
              <w:t xml:space="preserve"> participé</w:t>
            </w:r>
            <w:r w:rsidR="2D364B3E" w:rsidRPr="631993F9">
              <w:rPr>
                <w:rFonts w:ascii="Verdana" w:hAnsi="Verdana"/>
                <w:sz w:val="20"/>
                <w:szCs w:val="20"/>
              </w:rPr>
              <w:t>s</w:t>
            </w:r>
            <w:r w:rsidR="7A562E90" w:rsidRPr="631993F9">
              <w:rPr>
                <w:rFonts w:ascii="Verdana" w:hAnsi="Verdana"/>
                <w:sz w:val="20"/>
                <w:szCs w:val="20"/>
              </w:rPr>
              <w:t xml:space="preserve"> à une formation </w:t>
            </w:r>
            <w:r w:rsidR="6E91660C" w:rsidRPr="631993F9">
              <w:rPr>
                <w:rFonts w:ascii="Verdana" w:hAnsi="Verdana"/>
                <w:sz w:val="20"/>
                <w:szCs w:val="20"/>
              </w:rPr>
              <w:t xml:space="preserve">aux Seychelles </w:t>
            </w:r>
            <w:r w:rsidR="7A562E90" w:rsidRPr="631993F9">
              <w:rPr>
                <w:rFonts w:ascii="Verdana" w:hAnsi="Verdana"/>
                <w:sz w:val="20"/>
                <w:szCs w:val="20"/>
              </w:rPr>
              <w:t>organis</w:t>
            </w:r>
            <w:r w:rsidR="7959D94F" w:rsidRPr="631993F9">
              <w:rPr>
                <w:rFonts w:ascii="Verdana" w:hAnsi="Verdana"/>
                <w:sz w:val="20"/>
                <w:szCs w:val="20"/>
              </w:rPr>
              <w:t>é</w:t>
            </w:r>
            <w:r w:rsidR="7A562E90" w:rsidRPr="631993F9">
              <w:rPr>
                <w:rFonts w:ascii="Verdana" w:hAnsi="Verdana"/>
                <w:sz w:val="20"/>
                <w:szCs w:val="20"/>
              </w:rPr>
              <w:t xml:space="preserve"> par l’UA en collaboration avec </w:t>
            </w:r>
            <w:r w:rsidR="6F674EC3" w:rsidRPr="631993F9">
              <w:rPr>
                <w:rFonts w:ascii="Verdana" w:hAnsi="Verdana"/>
                <w:sz w:val="20"/>
                <w:szCs w:val="20"/>
              </w:rPr>
              <w:t>l'Université</w:t>
            </w:r>
            <w:r w:rsidR="7A562E90" w:rsidRPr="631993F9">
              <w:rPr>
                <w:rFonts w:ascii="Verdana" w:hAnsi="Verdana"/>
                <w:sz w:val="20"/>
                <w:szCs w:val="20"/>
              </w:rPr>
              <w:t xml:space="preserve"> des </w:t>
            </w:r>
            <w:r w:rsidR="7E5F9B3E" w:rsidRPr="631993F9">
              <w:rPr>
                <w:rFonts w:ascii="Verdana" w:hAnsi="Verdana"/>
                <w:sz w:val="20"/>
                <w:szCs w:val="20"/>
              </w:rPr>
              <w:t xml:space="preserve">Seychelles ; </w:t>
            </w:r>
            <w:r w:rsidR="1BFDE722" w:rsidRPr="631993F9">
              <w:rPr>
                <w:rFonts w:ascii="Verdana" w:hAnsi="Verdana"/>
                <w:sz w:val="20"/>
                <w:szCs w:val="20"/>
              </w:rPr>
              <w:t>trois participants</w:t>
            </w:r>
            <w:r w:rsidR="71066CCF" w:rsidRPr="631993F9">
              <w:rPr>
                <w:rFonts w:ascii="Verdana" w:hAnsi="Verdana"/>
                <w:sz w:val="20"/>
                <w:szCs w:val="20"/>
              </w:rPr>
              <w:t xml:space="preserve"> de</w:t>
            </w:r>
            <w:r w:rsidR="543CA964" w:rsidRPr="631993F9">
              <w:rPr>
                <w:rFonts w:ascii="Verdana" w:hAnsi="Verdana"/>
                <w:sz w:val="20"/>
                <w:szCs w:val="20"/>
              </w:rPr>
              <w:t xml:space="preserve"> Comores, </w:t>
            </w:r>
            <w:r w:rsidR="4B1D5285" w:rsidRPr="631993F9">
              <w:rPr>
                <w:rFonts w:ascii="Verdana" w:hAnsi="Verdana"/>
                <w:sz w:val="20"/>
                <w:szCs w:val="20"/>
              </w:rPr>
              <w:t>Madagascar,</w:t>
            </w:r>
            <w:r w:rsidR="543CA964" w:rsidRPr="631993F9">
              <w:rPr>
                <w:rFonts w:ascii="Verdana" w:hAnsi="Verdana"/>
                <w:sz w:val="20"/>
                <w:szCs w:val="20"/>
              </w:rPr>
              <w:t xml:space="preserve"> deux de Maurice et </w:t>
            </w:r>
            <w:r w:rsidR="161B82E0" w:rsidRPr="631993F9">
              <w:rPr>
                <w:rFonts w:ascii="Verdana" w:hAnsi="Verdana"/>
                <w:sz w:val="20"/>
                <w:szCs w:val="20"/>
              </w:rPr>
              <w:t>5des Seychelles ont participés à l’atelier régional sur la technolo</w:t>
            </w:r>
            <w:r w:rsidR="01B6F01F" w:rsidRPr="631993F9">
              <w:rPr>
                <w:rFonts w:ascii="Verdana" w:hAnsi="Verdana"/>
                <w:sz w:val="20"/>
                <w:szCs w:val="20"/>
              </w:rPr>
              <w:t>gie</w:t>
            </w:r>
            <w:r w:rsidR="161B82E0" w:rsidRPr="631993F9">
              <w:rPr>
                <w:rFonts w:ascii="Verdana" w:hAnsi="Verdana"/>
                <w:sz w:val="20"/>
                <w:szCs w:val="20"/>
              </w:rPr>
              <w:t xml:space="preserve"> </w:t>
            </w:r>
            <w:r w:rsidR="389C1079" w:rsidRPr="631993F9">
              <w:rPr>
                <w:rFonts w:ascii="Verdana" w:hAnsi="Verdana"/>
                <w:sz w:val="20"/>
                <w:szCs w:val="20"/>
              </w:rPr>
              <w:t>spatiale</w:t>
            </w:r>
            <w:r w:rsidR="161B82E0" w:rsidRPr="631993F9">
              <w:rPr>
                <w:rFonts w:ascii="Verdana" w:hAnsi="Verdana"/>
                <w:sz w:val="20"/>
                <w:szCs w:val="20"/>
              </w:rPr>
              <w:t xml:space="preserve"> </w:t>
            </w:r>
            <w:r w:rsidR="12E11B21" w:rsidRPr="631993F9">
              <w:rPr>
                <w:rFonts w:ascii="Verdana" w:hAnsi="Verdana"/>
                <w:sz w:val="20"/>
                <w:szCs w:val="20"/>
              </w:rPr>
              <w:t xml:space="preserve">organisé au </w:t>
            </w:r>
            <w:proofErr w:type="spellStart"/>
            <w:r w:rsidR="12E11B21" w:rsidRPr="631993F9">
              <w:rPr>
                <w:rFonts w:ascii="Verdana" w:hAnsi="Verdana"/>
                <w:sz w:val="20"/>
                <w:szCs w:val="20"/>
              </w:rPr>
              <w:t>seychelles</w:t>
            </w:r>
            <w:proofErr w:type="spellEnd"/>
            <w:r w:rsidR="12E11B21" w:rsidRPr="631993F9">
              <w:rPr>
                <w:rFonts w:ascii="Verdana" w:hAnsi="Verdana"/>
                <w:sz w:val="20"/>
                <w:szCs w:val="20"/>
              </w:rPr>
              <w:t xml:space="preserve"> en collaboration avec RCMRD, ICPAC et l UA</w:t>
            </w:r>
          </w:p>
          <w:p w14:paraId="34230855" w14:textId="659543B1" w:rsidR="00934F28" w:rsidRPr="00B76BE0" w:rsidRDefault="00934F28" w:rsidP="631993F9">
            <w:pPr>
              <w:rPr>
                <w:rFonts w:ascii="Verdana" w:hAnsi="Verdana"/>
                <w:sz w:val="20"/>
                <w:szCs w:val="20"/>
              </w:rPr>
            </w:pPr>
          </w:p>
          <w:p w14:paraId="3F254E0C" w14:textId="538C036F" w:rsidR="00934F28" w:rsidRPr="00B76BE0" w:rsidRDefault="44F87E3E" w:rsidP="631993F9">
            <w:pPr>
              <w:rPr>
                <w:rFonts w:ascii="Verdana" w:hAnsi="Verdana"/>
                <w:sz w:val="20"/>
                <w:szCs w:val="20"/>
              </w:rPr>
            </w:pPr>
            <w:r w:rsidRPr="631993F9">
              <w:rPr>
                <w:rFonts w:ascii="Verdana" w:hAnsi="Verdana"/>
                <w:sz w:val="20"/>
                <w:szCs w:val="20"/>
              </w:rPr>
              <w:t xml:space="preserve">11c. La note conceptuelle du projet n’a pas été retenue par le Comité administratif de GIZ </w:t>
            </w:r>
          </w:p>
          <w:p w14:paraId="7A32ACD0" w14:textId="7A8ECA06" w:rsidR="00934F28" w:rsidRPr="00B76BE0" w:rsidRDefault="00934F28" w:rsidP="631993F9">
            <w:pPr>
              <w:rPr>
                <w:rFonts w:ascii="Verdana" w:hAnsi="Verdana"/>
                <w:sz w:val="20"/>
                <w:szCs w:val="20"/>
              </w:rPr>
            </w:pPr>
          </w:p>
          <w:p w14:paraId="74D4B677" w14:textId="12AC25DF" w:rsidR="00934F28" w:rsidRPr="00B76BE0" w:rsidRDefault="44F87E3E" w:rsidP="631993F9">
            <w:pPr>
              <w:rPr>
                <w:rFonts w:ascii="Verdana" w:hAnsi="Verdana"/>
                <w:sz w:val="20"/>
                <w:szCs w:val="20"/>
              </w:rPr>
            </w:pPr>
            <w:r w:rsidRPr="6E33F9FE">
              <w:rPr>
                <w:rFonts w:ascii="Verdana" w:hAnsi="Verdana"/>
                <w:sz w:val="20"/>
                <w:szCs w:val="20"/>
              </w:rPr>
              <w:t xml:space="preserve">11d. </w:t>
            </w:r>
            <w:r w:rsidR="2D5983BE" w:rsidRPr="6E33F9FE">
              <w:rPr>
                <w:rFonts w:ascii="Verdana" w:hAnsi="Verdana"/>
                <w:sz w:val="20"/>
                <w:szCs w:val="20"/>
              </w:rPr>
              <w:t>Des échanges en cours avec Traffic</w:t>
            </w:r>
          </w:p>
        </w:tc>
        <w:tc>
          <w:tcPr>
            <w:tcW w:w="1984" w:type="dxa"/>
          </w:tcPr>
          <w:p w14:paraId="1F68EE6A" w14:textId="6433CCF3" w:rsidR="00934F28" w:rsidRPr="00B76BE0" w:rsidRDefault="6C512977">
            <w:pPr>
              <w:rPr>
                <w:rFonts w:ascii="Verdana" w:hAnsi="Verdana"/>
                <w:sz w:val="20"/>
                <w:szCs w:val="20"/>
              </w:rPr>
            </w:pPr>
            <w:r w:rsidRPr="631993F9">
              <w:rPr>
                <w:rFonts w:ascii="Verdana" w:hAnsi="Verdana"/>
                <w:sz w:val="20"/>
                <w:szCs w:val="20"/>
              </w:rPr>
              <w:t>GB</w:t>
            </w:r>
          </w:p>
        </w:tc>
        <w:tc>
          <w:tcPr>
            <w:tcW w:w="1904" w:type="dxa"/>
          </w:tcPr>
          <w:p w14:paraId="178F23AA" w14:textId="77777777" w:rsidR="00934F28" w:rsidRPr="00B76BE0" w:rsidRDefault="00934F28">
            <w:pPr>
              <w:rPr>
                <w:rFonts w:ascii="Verdana" w:hAnsi="Verdana"/>
                <w:sz w:val="20"/>
                <w:szCs w:val="20"/>
              </w:rPr>
            </w:pPr>
          </w:p>
        </w:tc>
      </w:tr>
      <w:tr w:rsidR="00934F28" w:rsidRPr="00B76BE0" w14:paraId="73B42701" w14:textId="77777777" w:rsidTr="42DBEA26">
        <w:tc>
          <w:tcPr>
            <w:tcW w:w="5529" w:type="dxa"/>
          </w:tcPr>
          <w:p w14:paraId="0E7D42BA" w14:textId="34ECAE81" w:rsidR="00934F28" w:rsidRPr="00B76BE0" w:rsidRDefault="006C0034">
            <w:pPr>
              <w:rPr>
                <w:rFonts w:ascii="Verdana" w:hAnsi="Verdana"/>
                <w:b/>
                <w:bCs/>
                <w:sz w:val="20"/>
                <w:szCs w:val="20"/>
              </w:rPr>
            </w:pPr>
            <w:r w:rsidRPr="00B76BE0">
              <w:rPr>
                <w:rFonts w:ascii="Verdana" w:hAnsi="Verdana"/>
                <w:b/>
                <w:bCs/>
                <w:sz w:val="20"/>
                <w:szCs w:val="20"/>
              </w:rPr>
              <w:lastRenderedPageBreak/>
              <w:t>Décision 1</w:t>
            </w:r>
            <w:r w:rsidR="00786CA5">
              <w:rPr>
                <w:rFonts w:ascii="Verdana" w:hAnsi="Verdana"/>
                <w:b/>
                <w:bCs/>
                <w:sz w:val="20"/>
                <w:szCs w:val="20"/>
              </w:rPr>
              <w:t>2</w:t>
            </w:r>
            <w:r w:rsidRPr="00B76BE0">
              <w:rPr>
                <w:rFonts w:ascii="Verdana" w:hAnsi="Verdana"/>
                <w:b/>
                <w:bCs/>
                <w:sz w:val="20"/>
                <w:szCs w:val="20"/>
              </w:rPr>
              <w:t xml:space="preserve"> – Santé</w:t>
            </w:r>
          </w:p>
          <w:p w14:paraId="71FC0628" w14:textId="77777777" w:rsidR="00491FED" w:rsidRPr="008D2E1D" w:rsidRDefault="00491FED" w:rsidP="00491FED">
            <w:pPr>
              <w:pStyle w:val="Sansinterligne"/>
              <w:spacing w:after="120"/>
              <w:ind w:left="567" w:hanging="567"/>
              <w:jc w:val="both"/>
              <w:rPr>
                <w:rFonts w:ascii="Verdana" w:hAnsi="Verdana"/>
                <w:sz w:val="20"/>
                <w:szCs w:val="20"/>
              </w:rPr>
            </w:pPr>
            <w:r w:rsidRPr="008D2E1D">
              <w:rPr>
                <w:rFonts w:ascii="Verdana" w:hAnsi="Verdana"/>
                <w:sz w:val="20"/>
                <w:szCs w:val="20"/>
              </w:rPr>
              <w:t>Le Conseil des ministres :</w:t>
            </w:r>
          </w:p>
          <w:p w14:paraId="6C853353"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Remercie l’Agence franç</w:t>
            </w:r>
            <w:r w:rsidRPr="008D2E1D">
              <w:rPr>
                <w:rFonts w:ascii="Verdana" w:hAnsi="Verdana" w:cs="Arial"/>
                <w:color w:val="000000" w:themeColor="text1"/>
                <w:sz w:val="20"/>
                <w:szCs w:val="20"/>
              </w:rPr>
              <w:t>a</w:t>
            </w:r>
            <w:r w:rsidRPr="008D2E1D">
              <w:rPr>
                <w:rFonts w:ascii="Verdana" w:hAnsi="Verdana" w:cs="Verdana"/>
                <w:color w:val="000000" w:themeColor="text1"/>
                <w:sz w:val="20"/>
                <w:szCs w:val="20"/>
              </w:rPr>
              <w:t xml:space="preserve">ise de développement (AFD) et l’Union européenne (UE) pour leur soutien dans la lutte contre la pandémie de Covid-19 et les autres risques sanitaires dans les États membres de la COI ; </w:t>
            </w:r>
          </w:p>
          <w:p w14:paraId="4D0EEEAA"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 xml:space="preserve">Demande au Secrétariat général de la COI de renforcer les discussions avec l’AFD et l’UE pour confirmer la prorogation de la durée de mise en œuvre des projets RSIE3 et 4 pour que les objectifs initialement prévus soient atteints </w:t>
            </w:r>
          </w:p>
          <w:p w14:paraId="50E6BECE"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 xml:space="preserve">Prend note des décisions du comité de pilotage du réseau SEGA-One </w:t>
            </w:r>
            <w:proofErr w:type="spellStart"/>
            <w:r w:rsidRPr="008D2E1D">
              <w:rPr>
                <w:rFonts w:ascii="Verdana" w:hAnsi="Verdana" w:cs="Verdana"/>
                <w:color w:val="000000" w:themeColor="text1"/>
                <w:sz w:val="20"/>
                <w:szCs w:val="20"/>
              </w:rPr>
              <w:t>Health</w:t>
            </w:r>
            <w:proofErr w:type="spellEnd"/>
            <w:r w:rsidRPr="008D2E1D">
              <w:rPr>
                <w:rFonts w:ascii="Verdana" w:hAnsi="Verdana" w:cs="Verdana"/>
                <w:color w:val="000000" w:themeColor="text1"/>
                <w:sz w:val="20"/>
                <w:szCs w:val="20"/>
              </w:rPr>
              <w:t xml:space="preserve"> suivant </w:t>
            </w:r>
            <w:r w:rsidRPr="008D2E1D">
              <w:rPr>
                <w:rFonts w:ascii="Verdana" w:hAnsi="Verdana" w:cs="Verdana"/>
                <w:color w:val="000000" w:themeColor="text1"/>
                <w:sz w:val="20"/>
                <w:szCs w:val="20"/>
              </w:rPr>
              <w:lastRenderedPageBreak/>
              <w:t xml:space="preserve">le retour d’expérience sur la gestion régionale de la crise de la Covid-19 dans le cadre du réseau, et encourage le Secrétariat général à mettre en œuvre les recommandations y afférentes ; </w:t>
            </w:r>
          </w:p>
          <w:p w14:paraId="3F32D6E1"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Prend note de l’avancement du programme FETP et demande au Secrétariat général de soumettre dans les meilleurs délais, pour la validation par procédure écrite des États membres, la convention-cadre sur le master FETP et toutes les conventions opérationnelles relatives à ce programme, pour que les objectifs soient atteints et que le Master FETP puisse être déployé à temps ;</w:t>
            </w:r>
          </w:p>
          <w:p w14:paraId="1C6A3AC0"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 xml:space="preserve">Confirme son soutien au processus mis en œuvre par le Secrétariat général pour la pérennisation du réseau SEGA-One </w:t>
            </w:r>
            <w:proofErr w:type="spellStart"/>
            <w:r w:rsidRPr="008D2E1D">
              <w:rPr>
                <w:rFonts w:ascii="Verdana" w:hAnsi="Verdana" w:cs="Verdana"/>
                <w:color w:val="000000" w:themeColor="text1"/>
                <w:sz w:val="20"/>
                <w:szCs w:val="20"/>
              </w:rPr>
              <w:t>Health</w:t>
            </w:r>
            <w:proofErr w:type="spellEnd"/>
            <w:r w:rsidRPr="008D2E1D">
              <w:rPr>
                <w:rFonts w:ascii="Verdana" w:hAnsi="Verdana" w:cs="Verdana"/>
                <w:color w:val="000000" w:themeColor="text1"/>
                <w:sz w:val="20"/>
                <w:szCs w:val="20"/>
              </w:rPr>
              <w:t xml:space="preserve"> selon l’esprit de la Charte validée en 2017 ;</w:t>
            </w:r>
          </w:p>
          <w:p w14:paraId="325C9664"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 xml:space="preserve">Soutient le Secrétariat général de la COI pour la pérennisation du réseau SEGA-One </w:t>
            </w:r>
            <w:proofErr w:type="spellStart"/>
            <w:r w:rsidRPr="008D2E1D">
              <w:rPr>
                <w:rFonts w:ascii="Verdana" w:hAnsi="Verdana" w:cs="Verdana"/>
                <w:color w:val="000000" w:themeColor="text1"/>
                <w:sz w:val="20"/>
                <w:szCs w:val="20"/>
              </w:rPr>
              <w:t>Health</w:t>
            </w:r>
            <w:proofErr w:type="spellEnd"/>
            <w:r w:rsidRPr="008D2E1D">
              <w:rPr>
                <w:rFonts w:ascii="Verdana" w:hAnsi="Verdana" w:cs="Verdana"/>
                <w:color w:val="000000" w:themeColor="text1"/>
                <w:sz w:val="20"/>
                <w:szCs w:val="20"/>
              </w:rPr>
              <w:t xml:space="preserve">, pour la tenue de la réunion des ministres en charge de la Santé et de l’Elevage des États membres et pour la réalisation des missions de consultation en amont ; </w:t>
            </w:r>
          </w:p>
          <w:p w14:paraId="25024E79"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 xml:space="preserve">Encourage le Secrétariat général à poursuivre les démarches pour l’obtention de futurs financements du programme santé de la COI pour la pérennisation du réseau SEGA-One </w:t>
            </w:r>
            <w:proofErr w:type="spellStart"/>
            <w:r w:rsidRPr="008D2E1D">
              <w:rPr>
                <w:rFonts w:ascii="Verdana" w:hAnsi="Verdana" w:cs="Verdana"/>
                <w:color w:val="000000" w:themeColor="text1"/>
                <w:sz w:val="20"/>
                <w:szCs w:val="20"/>
              </w:rPr>
              <w:t>Health</w:t>
            </w:r>
            <w:proofErr w:type="spellEnd"/>
            <w:r w:rsidRPr="008D2E1D">
              <w:rPr>
                <w:rFonts w:ascii="Verdana" w:hAnsi="Verdana" w:cs="Verdana"/>
                <w:color w:val="000000" w:themeColor="text1"/>
                <w:sz w:val="20"/>
                <w:szCs w:val="20"/>
              </w:rPr>
              <w:t xml:space="preserve">, notamment à travers, entre autres, un projet de collaboration avec d’autres réseaux </w:t>
            </w:r>
            <w:r w:rsidRPr="008D2E1D">
              <w:rPr>
                <w:rFonts w:ascii="Verdana" w:hAnsi="Verdana" w:cs="Verdana"/>
                <w:color w:val="000000" w:themeColor="text1"/>
                <w:sz w:val="20"/>
                <w:szCs w:val="20"/>
              </w:rPr>
              <w:lastRenderedPageBreak/>
              <w:t>en Afrique, Asie et dans le Pacifique en discussion avec les partenaires et des réponses à des appels à projets ;</w:t>
            </w:r>
          </w:p>
          <w:p w14:paraId="6489511F" w14:textId="77777777" w:rsidR="00491FED" w:rsidRPr="008D2E1D" w:rsidRDefault="00491FED" w:rsidP="00491FED">
            <w:pPr>
              <w:pStyle w:val="Sansinterligne"/>
              <w:numPr>
                <w:ilvl w:val="0"/>
                <w:numId w:val="19"/>
              </w:numPr>
              <w:spacing w:after="120"/>
              <w:jc w:val="both"/>
              <w:rPr>
                <w:rFonts w:ascii="Verdana" w:hAnsi="Verdana" w:cs="Verdana"/>
                <w:color w:val="000000" w:themeColor="text1"/>
                <w:sz w:val="20"/>
                <w:szCs w:val="20"/>
              </w:rPr>
            </w:pPr>
            <w:r w:rsidRPr="008D2E1D">
              <w:rPr>
                <w:rFonts w:ascii="Verdana" w:hAnsi="Verdana" w:cs="Verdana"/>
                <w:color w:val="000000" w:themeColor="text1"/>
                <w:sz w:val="20"/>
                <w:szCs w:val="20"/>
              </w:rPr>
              <w:t>Demande au Secrétariat de soumettre de façon urgente les conventions devant être validées par une procédure de validation écrite dans un délai de 7 jours.</w:t>
            </w:r>
          </w:p>
          <w:p w14:paraId="2A1124AA" w14:textId="45809C61" w:rsidR="006C0034" w:rsidRPr="00B76BE0" w:rsidRDefault="006C0034" w:rsidP="00491FED">
            <w:pPr>
              <w:pStyle w:val="Sansinterligne"/>
              <w:spacing w:after="120" w:line="276" w:lineRule="auto"/>
              <w:ind w:left="720"/>
              <w:jc w:val="both"/>
              <w:rPr>
                <w:rFonts w:ascii="Verdana" w:hAnsi="Verdana"/>
                <w:sz w:val="20"/>
                <w:szCs w:val="20"/>
              </w:rPr>
            </w:pPr>
          </w:p>
        </w:tc>
        <w:tc>
          <w:tcPr>
            <w:tcW w:w="5103" w:type="dxa"/>
          </w:tcPr>
          <w:p w14:paraId="31336B84" w14:textId="713590E9" w:rsidR="3A164C2D" w:rsidRDefault="3A164C2D" w:rsidP="57111726">
            <w:pPr>
              <w:rPr>
                <w:rFonts w:ascii="Verdana" w:eastAsia="Verdana" w:hAnsi="Verdana" w:cs="Verdana"/>
                <w:sz w:val="20"/>
                <w:szCs w:val="20"/>
              </w:rPr>
            </w:pPr>
            <w:r w:rsidRPr="57111726">
              <w:rPr>
                <w:rFonts w:ascii="Verdana" w:eastAsia="Verdana" w:hAnsi="Verdana" w:cs="Verdana"/>
                <w:sz w:val="20"/>
                <w:szCs w:val="20"/>
              </w:rPr>
              <w:lastRenderedPageBreak/>
              <w:t xml:space="preserve">b) Les avenants aux conventions de financement de ces deux projets, en vue de la prorogation de leur mise en œuvre ont été signés. La fin du projet RSIE4 sera le 28 décembre 2024. </w:t>
            </w:r>
            <w:r w:rsidR="6682100B" w:rsidRPr="57111726">
              <w:rPr>
                <w:rFonts w:ascii="Verdana" w:eastAsia="Verdana" w:hAnsi="Verdana" w:cs="Verdana"/>
                <w:sz w:val="20"/>
                <w:szCs w:val="20"/>
              </w:rPr>
              <w:t xml:space="preserve"> Pour le projet RSIE3, la date limite de versement par l’AFD, ainsi que la date limite de demande d’un éventuel réapprovisionnement par le projet, sera le 31 décembre 2024. Il est convenu que les finalisations de paiements, et autres points administratifs (audits, par exemple), pour le RSIE3, pourront se tenir jusqu’à juin 2025.</w:t>
            </w:r>
          </w:p>
          <w:p w14:paraId="4EB5EAA6" w14:textId="31CDA0AC" w:rsidR="3A164C2D" w:rsidRDefault="3A164C2D" w:rsidP="3A164C2D">
            <w:r w:rsidRPr="3A164C2D">
              <w:rPr>
                <w:rFonts w:ascii="Verdana" w:eastAsia="Verdana" w:hAnsi="Verdana" w:cs="Verdana"/>
                <w:sz w:val="20"/>
                <w:szCs w:val="20"/>
              </w:rPr>
              <w:t xml:space="preserve"> </w:t>
            </w:r>
          </w:p>
          <w:p w14:paraId="41FCFD68" w14:textId="20D63CDD" w:rsidR="3A164C2D" w:rsidRDefault="3A164C2D" w:rsidP="57111726">
            <w:pPr>
              <w:rPr>
                <w:rFonts w:ascii="Verdana" w:eastAsia="Verdana" w:hAnsi="Verdana" w:cs="Verdana"/>
                <w:sz w:val="20"/>
                <w:szCs w:val="20"/>
              </w:rPr>
            </w:pPr>
            <w:r w:rsidRPr="57111726">
              <w:rPr>
                <w:rFonts w:ascii="Verdana" w:eastAsia="Verdana" w:hAnsi="Verdana" w:cs="Verdana"/>
                <w:sz w:val="20"/>
                <w:szCs w:val="20"/>
              </w:rPr>
              <w:t>d) La convention cadre entre la COI et les institutions de formation qui collaborent dans la mise en œuvre de ce Master a été signée.</w:t>
            </w:r>
            <w:r w:rsidRPr="57111726">
              <w:rPr>
                <w:rFonts w:ascii="Calibri" w:eastAsia="Calibri" w:hAnsi="Calibri" w:cs="Calibri"/>
              </w:rPr>
              <w:t xml:space="preserve"> </w:t>
            </w:r>
            <w:r w:rsidRPr="57111726">
              <w:rPr>
                <w:rFonts w:ascii="Verdana" w:eastAsia="Verdana" w:hAnsi="Verdana" w:cs="Verdana"/>
                <w:sz w:val="20"/>
                <w:szCs w:val="20"/>
              </w:rPr>
              <w:t xml:space="preserve">Le </w:t>
            </w:r>
            <w:r w:rsidRPr="57111726">
              <w:rPr>
                <w:rFonts w:ascii="Verdana" w:eastAsia="Verdana" w:hAnsi="Verdana" w:cs="Verdana"/>
                <w:sz w:val="20"/>
                <w:szCs w:val="20"/>
              </w:rPr>
              <w:lastRenderedPageBreak/>
              <w:t>recrutement des apprenants a été lancé mais le démarrage de ce master attend principalement son accréditation par l’</w:t>
            </w:r>
            <w:proofErr w:type="spellStart"/>
            <w:r w:rsidRPr="57111726">
              <w:rPr>
                <w:rFonts w:ascii="Verdana" w:eastAsia="Verdana" w:hAnsi="Verdana" w:cs="Verdana"/>
                <w:sz w:val="20"/>
                <w:szCs w:val="20"/>
              </w:rPr>
              <w:t>Higher</w:t>
            </w:r>
            <w:proofErr w:type="spellEnd"/>
            <w:r w:rsidRPr="57111726">
              <w:rPr>
                <w:rFonts w:ascii="Verdana" w:eastAsia="Verdana" w:hAnsi="Verdana" w:cs="Verdana"/>
                <w:sz w:val="20"/>
                <w:szCs w:val="20"/>
              </w:rPr>
              <w:t xml:space="preserve"> Education </w:t>
            </w:r>
            <w:proofErr w:type="spellStart"/>
            <w:r w:rsidRPr="57111726">
              <w:rPr>
                <w:rFonts w:ascii="Verdana" w:eastAsia="Verdana" w:hAnsi="Verdana" w:cs="Verdana"/>
                <w:sz w:val="20"/>
                <w:szCs w:val="20"/>
              </w:rPr>
              <w:t>Committee</w:t>
            </w:r>
            <w:proofErr w:type="spellEnd"/>
            <w:r w:rsidRPr="57111726">
              <w:rPr>
                <w:rFonts w:ascii="Verdana" w:eastAsia="Verdana" w:hAnsi="Verdana" w:cs="Verdana"/>
                <w:sz w:val="20"/>
                <w:szCs w:val="20"/>
              </w:rPr>
              <w:t xml:space="preserve"> (HEC) de Maurice.</w:t>
            </w:r>
            <w:r w:rsidR="5E4EDDCA" w:rsidRPr="57111726">
              <w:rPr>
                <w:rFonts w:ascii="Verdana" w:eastAsia="Verdana" w:hAnsi="Verdana" w:cs="Verdana"/>
                <w:sz w:val="20"/>
                <w:szCs w:val="20"/>
              </w:rPr>
              <w:t xml:space="preserve"> L’accréditation du Master a été obtenue en février 2024. </w:t>
            </w:r>
          </w:p>
          <w:p w14:paraId="25604BB9" w14:textId="3D0EDDD4" w:rsidR="3A164C2D" w:rsidRDefault="3A164C2D">
            <w:pPr>
              <w:rPr>
                <w:rFonts w:ascii="Verdana" w:eastAsia="Verdana" w:hAnsi="Verdana" w:cs="Verdana"/>
                <w:sz w:val="20"/>
                <w:szCs w:val="20"/>
              </w:rPr>
            </w:pPr>
          </w:p>
          <w:p w14:paraId="39D248CC" w14:textId="012E80FE" w:rsidR="3A164C2D" w:rsidRDefault="3A164C2D" w:rsidP="57111726">
            <w:pPr>
              <w:rPr>
                <w:rFonts w:ascii="Verdana" w:eastAsia="Verdana" w:hAnsi="Verdana" w:cs="Verdana"/>
                <w:sz w:val="20"/>
                <w:szCs w:val="20"/>
              </w:rPr>
            </w:pPr>
          </w:p>
          <w:p w14:paraId="6166BDAB" w14:textId="2AF62E13" w:rsidR="3A164C2D" w:rsidRDefault="3A164C2D" w:rsidP="3A164C2D">
            <w:r w:rsidRPr="3A164C2D">
              <w:rPr>
                <w:rFonts w:ascii="Verdana" w:eastAsia="Verdana" w:hAnsi="Verdana" w:cs="Verdana"/>
                <w:sz w:val="20"/>
                <w:szCs w:val="20"/>
              </w:rPr>
              <w:t xml:space="preserve"> </w:t>
            </w:r>
          </w:p>
          <w:p w14:paraId="5E222439" w14:textId="2E07A1CD" w:rsidR="3A164C2D" w:rsidRDefault="3A164C2D" w:rsidP="3A164C2D">
            <w:pPr>
              <w:spacing w:before="240" w:after="120"/>
              <w:jc w:val="both"/>
            </w:pPr>
            <w:r w:rsidRPr="3A164C2D">
              <w:rPr>
                <w:rFonts w:ascii="Verdana" w:eastAsia="Verdana" w:hAnsi="Verdana" w:cs="Verdana"/>
                <w:sz w:val="20"/>
                <w:szCs w:val="20"/>
              </w:rPr>
              <w:t xml:space="preserve">f) Une conférence ministérielle les 12-13 et 14 septembre 2023 réunissant les ministres en charge de la Santé et de l’Élevage des États membres, ou leurs représentants désignés a eu lieu à Maurice. Les Etats ont validé, à travers la déclaration sur la sécurité sanitaire dans l’océan </w:t>
            </w:r>
            <w:proofErr w:type="gramStart"/>
            <w:r w:rsidRPr="3A164C2D">
              <w:rPr>
                <w:rFonts w:ascii="Verdana" w:eastAsia="Verdana" w:hAnsi="Verdana" w:cs="Verdana"/>
                <w:sz w:val="20"/>
                <w:szCs w:val="20"/>
              </w:rPr>
              <w:t>indien</w:t>
            </w:r>
            <w:proofErr w:type="gramEnd"/>
            <w:r w:rsidRPr="3A164C2D">
              <w:rPr>
                <w:rFonts w:ascii="Verdana" w:eastAsia="Verdana" w:hAnsi="Verdana" w:cs="Verdana"/>
                <w:sz w:val="20"/>
                <w:szCs w:val="20"/>
              </w:rPr>
              <w:t xml:space="preserve"> :</w:t>
            </w:r>
          </w:p>
          <w:p w14:paraId="6608E0FD" w14:textId="2F051DA0" w:rsidR="3A164C2D" w:rsidRDefault="3A164C2D" w:rsidP="3A164C2D">
            <w:pPr>
              <w:pStyle w:val="Paragraphedeliste"/>
              <w:numPr>
                <w:ilvl w:val="0"/>
                <w:numId w:val="12"/>
              </w:numPr>
              <w:jc w:val="both"/>
              <w:rPr>
                <w:rFonts w:ascii="Verdana" w:eastAsia="Verdana" w:hAnsi="Verdana" w:cs="Verdana"/>
                <w:sz w:val="20"/>
                <w:szCs w:val="20"/>
              </w:rPr>
            </w:pPr>
            <w:proofErr w:type="gramStart"/>
            <w:r w:rsidRPr="57111726">
              <w:rPr>
                <w:rFonts w:ascii="Verdana" w:eastAsia="Verdana" w:hAnsi="Verdana" w:cs="Verdana"/>
                <w:sz w:val="20"/>
                <w:szCs w:val="20"/>
              </w:rPr>
              <w:t>le</w:t>
            </w:r>
            <w:proofErr w:type="gramEnd"/>
            <w:r w:rsidRPr="57111726">
              <w:rPr>
                <w:rFonts w:ascii="Verdana" w:eastAsia="Verdana" w:hAnsi="Verdana" w:cs="Verdana"/>
                <w:sz w:val="20"/>
                <w:szCs w:val="20"/>
              </w:rPr>
              <w:t xml:space="preserve"> projet de Statuts de ce Fonds SEGA - , qui est soumis aux instances de la COI pour sa validation finale. </w:t>
            </w:r>
          </w:p>
          <w:p w14:paraId="31D23353" w14:textId="1DD72A2E" w:rsidR="3A164C2D" w:rsidRDefault="3A164C2D" w:rsidP="3A164C2D">
            <w:pPr>
              <w:pStyle w:val="Paragraphedeliste"/>
              <w:numPr>
                <w:ilvl w:val="0"/>
                <w:numId w:val="12"/>
              </w:numPr>
              <w:jc w:val="both"/>
              <w:rPr>
                <w:rFonts w:ascii="Verdana" w:eastAsia="Verdana" w:hAnsi="Verdana" w:cs="Verdana"/>
                <w:sz w:val="20"/>
                <w:szCs w:val="20"/>
              </w:rPr>
            </w:pPr>
            <w:proofErr w:type="gramStart"/>
            <w:r w:rsidRPr="3A164C2D">
              <w:rPr>
                <w:rFonts w:ascii="Verdana" w:eastAsia="Verdana" w:hAnsi="Verdana" w:cs="Verdana"/>
                <w:sz w:val="20"/>
                <w:szCs w:val="20"/>
              </w:rPr>
              <w:t>la</w:t>
            </w:r>
            <w:proofErr w:type="gramEnd"/>
            <w:r w:rsidRPr="3A164C2D">
              <w:rPr>
                <w:rFonts w:ascii="Verdana" w:eastAsia="Verdana" w:hAnsi="Verdana" w:cs="Verdana"/>
                <w:sz w:val="20"/>
                <w:szCs w:val="20"/>
              </w:rPr>
              <w:t xml:space="preserve"> stratégie régionale de sécurité sanitaire de la COI qui cadre les actions du réseau SEGA - One </w:t>
            </w:r>
            <w:proofErr w:type="spellStart"/>
            <w:r w:rsidRPr="3A164C2D">
              <w:rPr>
                <w:rFonts w:ascii="Verdana" w:eastAsia="Verdana" w:hAnsi="Verdana" w:cs="Verdana"/>
                <w:sz w:val="20"/>
                <w:szCs w:val="20"/>
              </w:rPr>
              <w:t>Health</w:t>
            </w:r>
            <w:proofErr w:type="spellEnd"/>
            <w:r w:rsidRPr="3A164C2D">
              <w:rPr>
                <w:rFonts w:ascii="Verdana" w:eastAsia="Verdana" w:hAnsi="Verdana" w:cs="Verdana"/>
                <w:sz w:val="20"/>
                <w:szCs w:val="20"/>
              </w:rPr>
              <w:t xml:space="preserve">, </w:t>
            </w:r>
          </w:p>
          <w:p w14:paraId="54F6E9F6" w14:textId="33D88ED8" w:rsidR="3A164C2D" w:rsidRDefault="3A164C2D" w:rsidP="3A164C2D">
            <w:pPr>
              <w:pStyle w:val="Paragraphedeliste"/>
              <w:numPr>
                <w:ilvl w:val="0"/>
                <w:numId w:val="12"/>
              </w:numPr>
              <w:jc w:val="both"/>
              <w:rPr>
                <w:rFonts w:ascii="Verdana" w:eastAsia="Verdana" w:hAnsi="Verdana" w:cs="Verdana"/>
                <w:sz w:val="20"/>
                <w:szCs w:val="20"/>
              </w:rPr>
            </w:pPr>
            <w:proofErr w:type="gramStart"/>
            <w:r w:rsidRPr="3A164C2D">
              <w:rPr>
                <w:rFonts w:ascii="Verdana" w:eastAsia="Verdana" w:hAnsi="Verdana" w:cs="Verdana"/>
                <w:sz w:val="20"/>
                <w:szCs w:val="20"/>
              </w:rPr>
              <w:t>le</w:t>
            </w:r>
            <w:proofErr w:type="gramEnd"/>
            <w:r w:rsidRPr="3A164C2D">
              <w:rPr>
                <w:rFonts w:ascii="Verdana" w:eastAsia="Verdana" w:hAnsi="Verdana" w:cs="Verdana"/>
                <w:sz w:val="20"/>
                <w:szCs w:val="20"/>
              </w:rPr>
              <w:t xml:space="preserve"> changement de dénomination de l’Unité de Veille Sanitaire en, « Centre for </w:t>
            </w:r>
            <w:proofErr w:type="spellStart"/>
            <w:r w:rsidRPr="3A164C2D">
              <w:rPr>
                <w:rFonts w:ascii="Verdana" w:eastAsia="Verdana" w:hAnsi="Verdana" w:cs="Verdana"/>
                <w:sz w:val="20"/>
                <w:szCs w:val="20"/>
              </w:rPr>
              <w:t>Disease</w:t>
            </w:r>
            <w:proofErr w:type="spellEnd"/>
            <w:r w:rsidRPr="3A164C2D">
              <w:rPr>
                <w:rFonts w:ascii="Verdana" w:eastAsia="Verdana" w:hAnsi="Verdana" w:cs="Verdana"/>
                <w:sz w:val="20"/>
                <w:szCs w:val="20"/>
              </w:rPr>
              <w:t xml:space="preserve"> Control and Prevention – One </w:t>
            </w:r>
            <w:proofErr w:type="spellStart"/>
            <w:r w:rsidRPr="3A164C2D">
              <w:rPr>
                <w:rFonts w:ascii="Verdana" w:eastAsia="Verdana" w:hAnsi="Verdana" w:cs="Verdana"/>
                <w:sz w:val="20"/>
                <w:szCs w:val="20"/>
              </w:rPr>
              <w:t>Health</w:t>
            </w:r>
            <w:proofErr w:type="spellEnd"/>
            <w:r w:rsidRPr="3A164C2D">
              <w:rPr>
                <w:rFonts w:ascii="Verdana" w:eastAsia="Verdana" w:hAnsi="Verdana" w:cs="Verdana"/>
                <w:sz w:val="20"/>
                <w:szCs w:val="20"/>
              </w:rPr>
              <w:t xml:space="preserve"> of the </w:t>
            </w:r>
            <w:proofErr w:type="spellStart"/>
            <w:r w:rsidRPr="3A164C2D">
              <w:rPr>
                <w:rFonts w:ascii="Verdana" w:eastAsia="Verdana" w:hAnsi="Verdana" w:cs="Verdana"/>
                <w:sz w:val="20"/>
                <w:szCs w:val="20"/>
              </w:rPr>
              <w:t>Indian</w:t>
            </w:r>
            <w:proofErr w:type="spellEnd"/>
            <w:r w:rsidRPr="3A164C2D">
              <w:rPr>
                <w:rFonts w:ascii="Verdana" w:eastAsia="Verdana" w:hAnsi="Verdana" w:cs="Verdana"/>
                <w:sz w:val="20"/>
                <w:szCs w:val="20"/>
              </w:rPr>
              <w:t xml:space="preserve"> </w:t>
            </w:r>
            <w:proofErr w:type="spellStart"/>
            <w:r w:rsidRPr="3A164C2D">
              <w:rPr>
                <w:rFonts w:ascii="Verdana" w:eastAsia="Verdana" w:hAnsi="Verdana" w:cs="Verdana"/>
                <w:sz w:val="20"/>
                <w:szCs w:val="20"/>
              </w:rPr>
              <w:t>Ocean</w:t>
            </w:r>
            <w:proofErr w:type="spellEnd"/>
            <w:r w:rsidRPr="3A164C2D">
              <w:rPr>
                <w:rFonts w:ascii="Verdana" w:eastAsia="Verdana" w:hAnsi="Verdana" w:cs="Verdana"/>
                <w:sz w:val="20"/>
                <w:szCs w:val="20"/>
              </w:rPr>
              <w:t xml:space="preserve"> » ou « Centre de contrôle et de prévention des maladies - One </w:t>
            </w:r>
            <w:proofErr w:type="spellStart"/>
            <w:r w:rsidRPr="3A164C2D">
              <w:rPr>
                <w:rFonts w:ascii="Verdana" w:eastAsia="Verdana" w:hAnsi="Verdana" w:cs="Verdana"/>
                <w:sz w:val="20"/>
                <w:szCs w:val="20"/>
              </w:rPr>
              <w:t>Health</w:t>
            </w:r>
            <w:proofErr w:type="spellEnd"/>
            <w:r w:rsidRPr="3A164C2D">
              <w:rPr>
                <w:rFonts w:ascii="Verdana" w:eastAsia="Verdana" w:hAnsi="Verdana" w:cs="Verdana"/>
                <w:sz w:val="20"/>
                <w:szCs w:val="20"/>
              </w:rPr>
              <w:t xml:space="preserve">, de l’océan Indien » (CDC-One </w:t>
            </w:r>
            <w:proofErr w:type="spellStart"/>
            <w:r w:rsidRPr="3A164C2D">
              <w:rPr>
                <w:rFonts w:ascii="Verdana" w:eastAsia="Verdana" w:hAnsi="Verdana" w:cs="Verdana"/>
                <w:sz w:val="20"/>
                <w:szCs w:val="20"/>
              </w:rPr>
              <w:t>Health</w:t>
            </w:r>
            <w:proofErr w:type="spellEnd"/>
            <w:r w:rsidRPr="3A164C2D">
              <w:rPr>
                <w:rFonts w:ascii="Verdana" w:eastAsia="Verdana" w:hAnsi="Verdana" w:cs="Verdana"/>
                <w:sz w:val="20"/>
                <w:szCs w:val="20"/>
              </w:rPr>
              <w:t xml:space="preserve">-of </w:t>
            </w:r>
            <w:proofErr w:type="spellStart"/>
            <w:r w:rsidRPr="3A164C2D">
              <w:rPr>
                <w:rFonts w:ascii="Verdana" w:eastAsia="Verdana" w:hAnsi="Verdana" w:cs="Verdana"/>
                <w:sz w:val="20"/>
                <w:szCs w:val="20"/>
              </w:rPr>
              <w:t>Indian</w:t>
            </w:r>
            <w:proofErr w:type="spellEnd"/>
            <w:r w:rsidRPr="3A164C2D">
              <w:rPr>
                <w:rFonts w:ascii="Verdana" w:eastAsia="Verdana" w:hAnsi="Verdana" w:cs="Verdana"/>
                <w:sz w:val="20"/>
                <w:szCs w:val="20"/>
              </w:rPr>
              <w:t xml:space="preserve"> </w:t>
            </w:r>
            <w:proofErr w:type="spellStart"/>
            <w:r w:rsidRPr="3A164C2D">
              <w:rPr>
                <w:rFonts w:ascii="Verdana" w:eastAsia="Verdana" w:hAnsi="Verdana" w:cs="Verdana"/>
                <w:sz w:val="20"/>
                <w:szCs w:val="20"/>
              </w:rPr>
              <w:t>Ocean</w:t>
            </w:r>
            <w:proofErr w:type="spellEnd"/>
            <w:r w:rsidRPr="3A164C2D">
              <w:rPr>
                <w:rFonts w:ascii="Verdana" w:eastAsia="Verdana" w:hAnsi="Verdana" w:cs="Verdana"/>
                <w:sz w:val="20"/>
                <w:szCs w:val="20"/>
              </w:rPr>
              <w:t xml:space="preserve">), </w:t>
            </w:r>
          </w:p>
          <w:p w14:paraId="5F31A366" w14:textId="685FB266" w:rsidR="3A164C2D" w:rsidRDefault="3A164C2D" w:rsidP="3A164C2D">
            <w:pPr>
              <w:pStyle w:val="Paragraphedeliste"/>
              <w:numPr>
                <w:ilvl w:val="0"/>
                <w:numId w:val="12"/>
              </w:numPr>
              <w:jc w:val="both"/>
              <w:rPr>
                <w:rFonts w:ascii="Verdana" w:eastAsia="Verdana" w:hAnsi="Verdana" w:cs="Verdana"/>
                <w:sz w:val="20"/>
                <w:szCs w:val="20"/>
              </w:rPr>
            </w:pPr>
            <w:proofErr w:type="gramStart"/>
            <w:r w:rsidRPr="2E6B9154">
              <w:rPr>
                <w:rFonts w:ascii="Verdana" w:eastAsia="Verdana" w:hAnsi="Verdana" w:cs="Verdana"/>
                <w:sz w:val="20"/>
                <w:szCs w:val="20"/>
              </w:rPr>
              <w:t>et</w:t>
            </w:r>
            <w:proofErr w:type="gramEnd"/>
            <w:r w:rsidRPr="2E6B9154">
              <w:rPr>
                <w:rFonts w:ascii="Verdana" w:eastAsia="Verdana" w:hAnsi="Verdana" w:cs="Verdana"/>
                <w:sz w:val="20"/>
                <w:szCs w:val="20"/>
              </w:rPr>
              <w:t xml:space="preserve"> le principe d’amendement de la Charte du réseau SEGA - One </w:t>
            </w:r>
            <w:proofErr w:type="spellStart"/>
            <w:r w:rsidRPr="2E6B9154">
              <w:rPr>
                <w:rFonts w:ascii="Verdana" w:eastAsia="Verdana" w:hAnsi="Verdana" w:cs="Verdana"/>
                <w:sz w:val="20"/>
                <w:szCs w:val="20"/>
              </w:rPr>
              <w:t>Health</w:t>
            </w:r>
            <w:proofErr w:type="spellEnd"/>
            <w:r w:rsidRPr="2E6B9154">
              <w:rPr>
                <w:rFonts w:ascii="Verdana" w:eastAsia="Verdana" w:hAnsi="Verdana" w:cs="Verdana"/>
                <w:sz w:val="20"/>
                <w:szCs w:val="20"/>
              </w:rPr>
              <w:t xml:space="preserve"> afin de la </w:t>
            </w:r>
            <w:r w:rsidRPr="2E6B9154">
              <w:rPr>
                <w:rFonts w:ascii="Verdana" w:eastAsia="Verdana" w:hAnsi="Verdana" w:cs="Verdana"/>
                <w:sz w:val="20"/>
                <w:szCs w:val="20"/>
              </w:rPr>
              <w:lastRenderedPageBreak/>
              <w:t xml:space="preserve">mettre à jour par rapport à la mise en place du Fonds et ses organes avec notamment l’ajout d’un Conseil scientifique. </w:t>
            </w:r>
          </w:p>
          <w:p w14:paraId="6928C86E" w14:textId="6F6E8F5A" w:rsidR="3A164C2D" w:rsidRDefault="3A164C2D" w:rsidP="3A164C2D">
            <w:pPr>
              <w:spacing w:before="240" w:after="120"/>
              <w:jc w:val="both"/>
            </w:pPr>
            <w:r w:rsidRPr="3A164C2D">
              <w:rPr>
                <w:rFonts w:ascii="Verdana" w:eastAsia="Verdana" w:hAnsi="Verdana" w:cs="Verdana"/>
                <w:sz w:val="20"/>
                <w:szCs w:val="20"/>
              </w:rPr>
              <w:t xml:space="preserve">g) Financements envisagés ou recherchés : </w:t>
            </w:r>
          </w:p>
          <w:p w14:paraId="77EBD791" w14:textId="267260B5" w:rsidR="3A164C2D" w:rsidRDefault="3A164C2D" w:rsidP="57111726">
            <w:pPr>
              <w:jc w:val="both"/>
              <w:rPr>
                <w:rFonts w:ascii="Verdana" w:eastAsia="Verdana" w:hAnsi="Verdana" w:cs="Verdana"/>
                <w:sz w:val="20"/>
                <w:szCs w:val="20"/>
              </w:rPr>
            </w:pPr>
            <w:r w:rsidRPr="57111726">
              <w:rPr>
                <w:rFonts w:ascii="Verdana" w:eastAsia="Verdana" w:hAnsi="Verdana" w:cs="Verdana"/>
                <w:sz w:val="20"/>
                <w:szCs w:val="20"/>
              </w:rPr>
              <w:t xml:space="preserve">- nouveau projet de l’AFD de sécurité sanitaire en Indopacifique de 15 millions </w:t>
            </w:r>
            <w:proofErr w:type="gramStart"/>
            <w:r w:rsidRPr="57111726">
              <w:rPr>
                <w:rFonts w:ascii="Verdana" w:eastAsia="Verdana" w:hAnsi="Verdana" w:cs="Verdana"/>
                <w:sz w:val="20"/>
                <w:szCs w:val="20"/>
              </w:rPr>
              <w:t>d’euros</w:t>
            </w:r>
            <w:r w:rsidR="52192CDF" w:rsidRPr="57111726">
              <w:rPr>
                <w:rFonts w:ascii="Verdana" w:eastAsia="Verdana" w:hAnsi="Verdana" w:cs="Verdana"/>
                <w:sz w:val="20"/>
                <w:szCs w:val="20"/>
              </w:rPr>
              <w:t>:</w:t>
            </w:r>
            <w:proofErr w:type="gramEnd"/>
            <w:r w:rsidR="52192CDF" w:rsidRPr="57111726">
              <w:rPr>
                <w:rFonts w:ascii="Verdana" w:eastAsia="Verdana" w:hAnsi="Verdana" w:cs="Verdana"/>
                <w:sz w:val="20"/>
                <w:szCs w:val="20"/>
              </w:rPr>
              <w:t xml:space="preserve"> : la Convention de financement a été signée en février 2024, avec un montant de 6.5 millions d’euros sur les 15, destiné à la Commission de l'océan Indien.</w:t>
            </w:r>
          </w:p>
          <w:p w14:paraId="78D10399" w14:textId="724E5B03" w:rsidR="3A164C2D" w:rsidRDefault="3A164C2D" w:rsidP="57111726">
            <w:pPr>
              <w:jc w:val="both"/>
              <w:rPr>
                <w:rFonts w:ascii="Verdana" w:eastAsia="Verdana" w:hAnsi="Verdana" w:cs="Verdana"/>
                <w:sz w:val="20"/>
                <w:szCs w:val="20"/>
              </w:rPr>
            </w:pPr>
          </w:p>
          <w:p w14:paraId="60443E87" w14:textId="037F0E10" w:rsidR="3A164C2D" w:rsidRDefault="3A164C2D" w:rsidP="3A164C2D">
            <w:pPr>
              <w:jc w:val="both"/>
            </w:pPr>
            <w:r w:rsidRPr="3A164C2D">
              <w:rPr>
                <w:rFonts w:ascii="Verdana" w:eastAsia="Verdana" w:hAnsi="Verdana" w:cs="Verdana"/>
                <w:sz w:val="20"/>
                <w:szCs w:val="20"/>
              </w:rPr>
              <w:t xml:space="preserve">- appel à projet du </w:t>
            </w:r>
            <w:proofErr w:type="spellStart"/>
            <w:r w:rsidRPr="3A164C2D">
              <w:rPr>
                <w:rFonts w:ascii="Verdana" w:eastAsia="Verdana" w:hAnsi="Verdana" w:cs="Verdana"/>
                <w:sz w:val="20"/>
                <w:szCs w:val="20"/>
              </w:rPr>
              <w:t>Pandemic</w:t>
            </w:r>
            <w:proofErr w:type="spellEnd"/>
            <w:r w:rsidRPr="3A164C2D">
              <w:rPr>
                <w:rFonts w:ascii="Verdana" w:eastAsia="Verdana" w:hAnsi="Verdana" w:cs="Verdana"/>
                <w:sz w:val="20"/>
                <w:szCs w:val="20"/>
              </w:rPr>
              <w:t xml:space="preserve"> </w:t>
            </w:r>
            <w:proofErr w:type="spellStart"/>
            <w:r w:rsidRPr="3A164C2D">
              <w:rPr>
                <w:rFonts w:ascii="Verdana" w:eastAsia="Verdana" w:hAnsi="Verdana" w:cs="Verdana"/>
                <w:sz w:val="20"/>
                <w:szCs w:val="20"/>
              </w:rPr>
              <w:t>Fund</w:t>
            </w:r>
            <w:proofErr w:type="spellEnd"/>
            <w:r w:rsidRPr="3A164C2D">
              <w:rPr>
                <w:rFonts w:ascii="Verdana" w:eastAsia="Verdana" w:hAnsi="Verdana" w:cs="Verdana"/>
                <w:sz w:val="20"/>
                <w:szCs w:val="20"/>
              </w:rPr>
              <w:t xml:space="preserve"> </w:t>
            </w:r>
          </w:p>
          <w:p w14:paraId="76A132D5" w14:textId="1EAB9A8A" w:rsidR="3A164C2D" w:rsidRDefault="3A164C2D" w:rsidP="3A164C2D">
            <w:pPr>
              <w:jc w:val="both"/>
            </w:pPr>
            <w:r w:rsidRPr="3A164C2D">
              <w:rPr>
                <w:rFonts w:ascii="Verdana" w:eastAsia="Verdana" w:hAnsi="Verdana" w:cs="Verdana"/>
                <w:sz w:val="20"/>
                <w:szCs w:val="20"/>
              </w:rPr>
              <w:t>- obtenir du NDICI UE sur la nouvelle programmation sur l’Afrique subsaharienne</w:t>
            </w:r>
          </w:p>
          <w:p w14:paraId="28BD2B73" w14:textId="297F7FEE" w:rsidR="3A164C2D" w:rsidRDefault="3A164C2D" w:rsidP="3A164C2D">
            <w:pPr>
              <w:rPr>
                <w:rFonts w:ascii="Verdana" w:eastAsia="Verdana" w:hAnsi="Verdana" w:cs="Verdana"/>
                <w:sz w:val="20"/>
                <w:szCs w:val="20"/>
              </w:rPr>
            </w:pPr>
          </w:p>
        </w:tc>
        <w:tc>
          <w:tcPr>
            <w:tcW w:w="1984" w:type="dxa"/>
          </w:tcPr>
          <w:p w14:paraId="49E12FCA" w14:textId="46C85BA5" w:rsidR="00934F28" w:rsidRPr="00B76BE0" w:rsidRDefault="00934F28" w:rsidP="2E6B9154">
            <w:pPr>
              <w:rPr>
                <w:rFonts w:ascii="Verdana" w:hAnsi="Verdana"/>
                <w:sz w:val="20"/>
                <w:szCs w:val="20"/>
              </w:rPr>
            </w:pPr>
          </w:p>
          <w:p w14:paraId="7720196C" w14:textId="3027097F" w:rsidR="00934F28" w:rsidRPr="00B76BE0" w:rsidRDefault="00934F28" w:rsidP="2E6B9154">
            <w:pPr>
              <w:rPr>
                <w:rFonts w:ascii="Verdana" w:hAnsi="Verdana"/>
                <w:sz w:val="20"/>
                <w:szCs w:val="20"/>
              </w:rPr>
            </w:pPr>
          </w:p>
          <w:p w14:paraId="4FDC74AA" w14:textId="4C415D04" w:rsidR="00934F28" w:rsidRPr="00B76BE0" w:rsidRDefault="00934F28" w:rsidP="2E6B9154">
            <w:pPr>
              <w:rPr>
                <w:rFonts w:ascii="Verdana" w:hAnsi="Verdana"/>
                <w:sz w:val="20"/>
                <w:szCs w:val="20"/>
              </w:rPr>
            </w:pPr>
          </w:p>
          <w:p w14:paraId="2A979A8C" w14:textId="7D3825C3" w:rsidR="00934F28" w:rsidRPr="00B76BE0" w:rsidRDefault="00934F28" w:rsidP="2E6B9154">
            <w:pPr>
              <w:rPr>
                <w:rFonts w:ascii="Verdana" w:hAnsi="Verdana"/>
                <w:sz w:val="20"/>
                <w:szCs w:val="20"/>
              </w:rPr>
            </w:pPr>
          </w:p>
          <w:p w14:paraId="502526AC" w14:textId="1CB36BC1" w:rsidR="00934F28" w:rsidRPr="00B76BE0" w:rsidRDefault="00934F28" w:rsidP="2E6B9154">
            <w:pPr>
              <w:rPr>
                <w:rFonts w:ascii="Verdana" w:hAnsi="Verdana"/>
                <w:sz w:val="20"/>
                <w:szCs w:val="20"/>
              </w:rPr>
            </w:pPr>
          </w:p>
          <w:p w14:paraId="4FD966B1" w14:textId="38972F8D" w:rsidR="00934F28" w:rsidRPr="00B76BE0" w:rsidRDefault="00934F28" w:rsidP="2E6B9154">
            <w:pPr>
              <w:rPr>
                <w:rFonts w:ascii="Verdana" w:hAnsi="Verdana"/>
                <w:sz w:val="20"/>
                <w:szCs w:val="20"/>
              </w:rPr>
            </w:pPr>
          </w:p>
          <w:p w14:paraId="7BCBCD53" w14:textId="1FDE0437" w:rsidR="00934F28" w:rsidRPr="00B76BE0" w:rsidRDefault="00934F28" w:rsidP="2E6B9154">
            <w:pPr>
              <w:rPr>
                <w:rFonts w:ascii="Verdana" w:hAnsi="Verdana"/>
                <w:sz w:val="20"/>
                <w:szCs w:val="20"/>
              </w:rPr>
            </w:pPr>
          </w:p>
          <w:p w14:paraId="22A2683A" w14:textId="690365B3" w:rsidR="00934F28" w:rsidRPr="00B76BE0" w:rsidRDefault="00934F28" w:rsidP="2E6B9154">
            <w:pPr>
              <w:rPr>
                <w:rFonts w:ascii="Verdana" w:hAnsi="Verdana"/>
                <w:sz w:val="20"/>
                <w:szCs w:val="20"/>
              </w:rPr>
            </w:pPr>
          </w:p>
          <w:p w14:paraId="3F53926C" w14:textId="2573A029" w:rsidR="00934F28" w:rsidRPr="00B76BE0" w:rsidRDefault="00934F28" w:rsidP="2E6B9154">
            <w:pPr>
              <w:rPr>
                <w:rFonts w:ascii="Verdana" w:hAnsi="Verdana"/>
                <w:sz w:val="20"/>
                <w:szCs w:val="20"/>
              </w:rPr>
            </w:pPr>
          </w:p>
          <w:p w14:paraId="528A2451" w14:textId="73479A1A" w:rsidR="00934F28" w:rsidRPr="00B76BE0" w:rsidRDefault="00934F28" w:rsidP="2E6B9154">
            <w:pPr>
              <w:rPr>
                <w:rFonts w:ascii="Verdana" w:hAnsi="Verdana"/>
                <w:sz w:val="20"/>
                <w:szCs w:val="20"/>
              </w:rPr>
            </w:pPr>
          </w:p>
          <w:p w14:paraId="67E3D65A" w14:textId="65E18FBF" w:rsidR="00934F28" w:rsidRPr="00B76BE0" w:rsidRDefault="00934F28" w:rsidP="2E6B9154">
            <w:pPr>
              <w:rPr>
                <w:rFonts w:ascii="Verdana" w:hAnsi="Verdana"/>
                <w:sz w:val="20"/>
                <w:szCs w:val="20"/>
              </w:rPr>
            </w:pPr>
          </w:p>
          <w:p w14:paraId="2ADA6272" w14:textId="0CAE5F26" w:rsidR="00934F28" w:rsidRPr="00B76BE0" w:rsidRDefault="00934F28" w:rsidP="2E6B9154">
            <w:pPr>
              <w:rPr>
                <w:rFonts w:ascii="Verdana" w:hAnsi="Verdana"/>
                <w:sz w:val="20"/>
                <w:szCs w:val="20"/>
              </w:rPr>
            </w:pPr>
          </w:p>
          <w:p w14:paraId="71CC0763" w14:textId="441354FB" w:rsidR="00934F28" w:rsidRPr="00B76BE0" w:rsidRDefault="00934F28" w:rsidP="2E6B9154">
            <w:pPr>
              <w:rPr>
                <w:rFonts w:ascii="Verdana" w:hAnsi="Verdana"/>
                <w:sz w:val="20"/>
                <w:szCs w:val="20"/>
              </w:rPr>
            </w:pPr>
          </w:p>
          <w:p w14:paraId="7703A7AA" w14:textId="721C10AD" w:rsidR="00934F28" w:rsidRPr="00B76BE0" w:rsidRDefault="00934F28" w:rsidP="2E6B9154">
            <w:pPr>
              <w:rPr>
                <w:rFonts w:ascii="Verdana" w:hAnsi="Verdana"/>
                <w:sz w:val="20"/>
                <w:szCs w:val="20"/>
              </w:rPr>
            </w:pPr>
          </w:p>
          <w:p w14:paraId="53B042C7" w14:textId="31D0EF99" w:rsidR="00934F28" w:rsidRPr="00B76BE0" w:rsidRDefault="00934F28" w:rsidP="2E6B9154">
            <w:pPr>
              <w:rPr>
                <w:rFonts w:ascii="Verdana" w:hAnsi="Verdana"/>
                <w:sz w:val="20"/>
                <w:szCs w:val="20"/>
              </w:rPr>
            </w:pPr>
          </w:p>
          <w:p w14:paraId="6126512F" w14:textId="2372B8B8" w:rsidR="00934F28" w:rsidRPr="00B76BE0" w:rsidRDefault="00934F28" w:rsidP="2E6B9154">
            <w:pPr>
              <w:rPr>
                <w:rFonts w:ascii="Verdana" w:hAnsi="Verdana"/>
                <w:sz w:val="20"/>
                <w:szCs w:val="20"/>
              </w:rPr>
            </w:pPr>
          </w:p>
          <w:p w14:paraId="1FEE5005" w14:textId="3F5437CB" w:rsidR="00934F28" w:rsidRPr="00B76BE0" w:rsidRDefault="00934F28" w:rsidP="2E6B9154">
            <w:pPr>
              <w:rPr>
                <w:rFonts w:ascii="Verdana" w:hAnsi="Verdana"/>
                <w:sz w:val="20"/>
                <w:szCs w:val="20"/>
              </w:rPr>
            </w:pPr>
          </w:p>
          <w:p w14:paraId="32659606" w14:textId="4C94E0E2" w:rsidR="00934F28" w:rsidRPr="00B76BE0" w:rsidRDefault="7E3A4A10" w:rsidP="2E6B9154">
            <w:pPr>
              <w:rPr>
                <w:rFonts w:ascii="Verdana" w:hAnsi="Verdana"/>
                <w:sz w:val="20"/>
                <w:szCs w:val="20"/>
              </w:rPr>
            </w:pPr>
            <w:r w:rsidRPr="2E6B9154">
              <w:rPr>
                <w:rFonts w:ascii="Verdana" w:hAnsi="Verdana"/>
                <w:sz w:val="20"/>
                <w:szCs w:val="20"/>
              </w:rPr>
              <w:t xml:space="preserve">Conseil des ministres </w:t>
            </w:r>
          </w:p>
        </w:tc>
        <w:tc>
          <w:tcPr>
            <w:tcW w:w="1904" w:type="dxa"/>
          </w:tcPr>
          <w:p w14:paraId="26AE8C15" w14:textId="197567AE" w:rsidR="00934F28" w:rsidRPr="00B76BE0" w:rsidRDefault="00934F28" w:rsidP="2E6B9154">
            <w:pPr>
              <w:rPr>
                <w:rFonts w:ascii="Verdana" w:hAnsi="Verdana"/>
                <w:sz w:val="20"/>
                <w:szCs w:val="20"/>
              </w:rPr>
            </w:pPr>
          </w:p>
          <w:p w14:paraId="63F1C4C0" w14:textId="0E734C15" w:rsidR="00934F28" w:rsidRPr="00B76BE0" w:rsidRDefault="00934F28" w:rsidP="2E6B9154">
            <w:pPr>
              <w:rPr>
                <w:rFonts w:ascii="Verdana" w:hAnsi="Verdana"/>
                <w:sz w:val="20"/>
                <w:szCs w:val="20"/>
              </w:rPr>
            </w:pPr>
          </w:p>
          <w:p w14:paraId="7743AA78" w14:textId="7AAC404C" w:rsidR="00934F28" w:rsidRPr="00B76BE0" w:rsidRDefault="00934F28" w:rsidP="2E6B9154">
            <w:pPr>
              <w:rPr>
                <w:rFonts w:ascii="Verdana" w:hAnsi="Verdana"/>
                <w:sz w:val="20"/>
                <w:szCs w:val="20"/>
              </w:rPr>
            </w:pPr>
          </w:p>
          <w:p w14:paraId="2A0B8CA7" w14:textId="68DFEBF1" w:rsidR="00934F28" w:rsidRPr="00B76BE0" w:rsidRDefault="00934F28" w:rsidP="2E6B9154">
            <w:pPr>
              <w:rPr>
                <w:rFonts w:ascii="Verdana" w:hAnsi="Verdana"/>
                <w:sz w:val="20"/>
                <w:szCs w:val="20"/>
              </w:rPr>
            </w:pPr>
          </w:p>
          <w:p w14:paraId="6EA2DC99" w14:textId="4C3F784E" w:rsidR="00934F28" w:rsidRPr="00B76BE0" w:rsidRDefault="00934F28" w:rsidP="2E6B9154">
            <w:pPr>
              <w:rPr>
                <w:rFonts w:ascii="Verdana" w:hAnsi="Verdana"/>
                <w:sz w:val="20"/>
                <w:szCs w:val="20"/>
              </w:rPr>
            </w:pPr>
          </w:p>
          <w:p w14:paraId="3967802C" w14:textId="743492FE" w:rsidR="00934F28" w:rsidRPr="00B76BE0" w:rsidRDefault="00934F28" w:rsidP="2E6B9154">
            <w:pPr>
              <w:rPr>
                <w:rFonts w:ascii="Verdana" w:hAnsi="Verdana"/>
                <w:sz w:val="20"/>
                <w:szCs w:val="20"/>
              </w:rPr>
            </w:pPr>
          </w:p>
          <w:p w14:paraId="494A0AA2" w14:textId="1A7D5FC9" w:rsidR="00934F28" w:rsidRPr="00B76BE0" w:rsidRDefault="00934F28" w:rsidP="2E6B9154">
            <w:pPr>
              <w:rPr>
                <w:rFonts w:ascii="Verdana" w:hAnsi="Verdana"/>
                <w:sz w:val="20"/>
                <w:szCs w:val="20"/>
              </w:rPr>
            </w:pPr>
          </w:p>
          <w:p w14:paraId="5CC3C618" w14:textId="42AFDFA7" w:rsidR="00934F28" w:rsidRPr="00B76BE0" w:rsidRDefault="00934F28" w:rsidP="2E6B9154">
            <w:pPr>
              <w:rPr>
                <w:rFonts w:ascii="Verdana" w:hAnsi="Verdana"/>
                <w:sz w:val="20"/>
                <w:szCs w:val="20"/>
              </w:rPr>
            </w:pPr>
          </w:p>
          <w:p w14:paraId="3D128B53" w14:textId="2ACB3D85" w:rsidR="00934F28" w:rsidRPr="00B76BE0" w:rsidRDefault="00934F28" w:rsidP="2E6B9154">
            <w:pPr>
              <w:rPr>
                <w:rFonts w:ascii="Verdana" w:hAnsi="Verdana"/>
                <w:sz w:val="20"/>
                <w:szCs w:val="20"/>
              </w:rPr>
            </w:pPr>
          </w:p>
          <w:p w14:paraId="23BC1DA2" w14:textId="05997C1F" w:rsidR="00934F28" w:rsidRPr="00B76BE0" w:rsidRDefault="00934F28" w:rsidP="2E6B9154">
            <w:pPr>
              <w:rPr>
                <w:rFonts w:ascii="Verdana" w:hAnsi="Verdana"/>
                <w:sz w:val="20"/>
                <w:szCs w:val="20"/>
              </w:rPr>
            </w:pPr>
          </w:p>
          <w:p w14:paraId="112F2EA5" w14:textId="586201D4" w:rsidR="00934F28" w:rsidRPr="00B76BE0" w:rsidRDefault="00934F28" w:rsidP="2E6B9154">
            <w:pPr>
              <w:rPr>
                <w:rFonts w:ascii="Verdana" w:hAnsi="Verdana"/>
                <w:sz w:val="20"/>
                <w:szCs w:val="20"/>
              </w:rPr>
            </w:pPr>
          </w:p>
          <w:p w14:paraId="580C4ABD" w14:textId="656E6EB8" w:rsidR="00934F28" w:rsidRPr="00B76BE0" w:rsidRDefault="00934F28" w:rsidP="2E6B9154">
            <w:pPr>
              <w:rPr>
                <w:rFonts w:ascii="Verdana" w:hAnsi="Verdana"/>
                <w:sz w:val="20"/>
                <w:szCs w:val="20"/>
              </w:rPr>
            </w:pPr>
          </w:p>
          <w:p w14:paraId="487A5892" w14:textId="27FCC4E4" w:rsidR="00934F28" w:rsidRPr="00B76BE0" w:rsidRDefault="00934F28" w:rsidP="2E6B9154">
            <w:pPr>
              <w:rPr>
                <w:rFonts w:ascii="Verdana" w:hAnsi="Verdana"/>
                <w:sz w:val="20"/>
                <w:szCs w:val="20"/>
              </w:rPr>
            </w:pPr>
          </w:p>
          <w:p w14:paraId="3C0A97AB" w14:textId="242B6698" w:rsidR="00934F28" w:rsidRPr="00B76BE0" w:rsidRDefault="00934F28" w:rsidP="2E6B9154">
            <w:pPr>
              <w:rPr>
                <w:rFonts w:ascii="Verdana" w:hAnsi="Verdana"/>
                <w:sz w:val="20"/>
                <w:szCs w:val="20"/>
              </w:rPr>
            </w:pPr>
          </w:p>
          <w:p w14:paraId="048C5CFD" w14:textId="0784B9EC" w:rsidR="00934F28" w:rsidRPr="00B76BE0" w:rsidRDefault="00934F28" w:rsidP="2E6B9154">
            <w:pPr>
              <w:rPr>
                <w:rFonts w:ascii="Verdana" w:hAnsi="Verdana"/>
                <w:sz w:val="20"/>
                <w:szCs w:val="20"/>
              </w:rPr>
            </w:pPr>
          </w:p>
          <w:p w14:paraId="31F4226C" w14:textId="61474B4B" w:rsidR="00934F28" w:rsidRPr="00B76BE0" w:rsidRDefault="00934F28" w:rsidP="2E6B9154">
            <w:pPr>
              <w:rPr>
                <w:rFonts w:ascii="Verdana" w:hAnsi="Verdana"/>
                <w:sz w:val="20"/>
                <w:szCs w:val="20"/>
              </w:rPr>
            </w:pPr>
          </w:p>
          <w:p w14:paraId="1B013DF9" w14:textId="024F2348" w:rsidR="00934F28" w:rsidRPr="00B76BE0" w:rsidRDefault="00934F28" w:rsidP="2E6B9154">
            <w:pPr>
              <w:rPr>
                <w:rFonts w:ascii="Verdana" w:hAnsi="Verdana"/>
                <w:sz w:val="20"/>
                <w:szCs w:val="20"/>
              </w:rPr>
            </w:pPr>
          </w:p>
          <w:p w14:paraId="7E393506" w14:textId="2F134DF5" w:rsidR="00934F28" w:rsidRPr="00B76BE0" w:rsidRDefault="5236BCCF" w:rsidP="2E6B9154">
            <w:pPr>
              <w:rPr>
                <w:rFonts w:ascii="Verdana" w:hAnsi="Verdana"/>
                <w:sz w:val="20"/>
                <w:szCs w:val="20"/>
              </w:rPr>
            </w:pPr>
            <w:r w:rsidRPr="2E6B9154">
              <w:rPr>
                <w:rFonts w:ascii="Verdana" w:hAnsi="Verdana"/>
                <w:sz w:val="20"/>
                <w:szCs w:val="20"/>
              </w:rPr>
              <w:t>Prochain Conseil</w:t>
            </w:r>
          </w:p>
        </w:tc>
      </w:tr>
      <w:tr w:rsidR="00934F28" w:rsidRPr="00B76BE0" w14:paraId="153B1325" w14:textId="77777777" w:rsidTr="42DBEA26">
        <w:tc>
          <w:tcPr>
            <w:tcW w:w="5529" w:type="dxa"/>
          </w:tcPr>
          <w:p w14:paraId="3009B02E" w14:textId="644AEA54" w:rsidR="00934F28" w:rsidRPr="00B76BE0" w:rsidRDefault="00613B27">
            <w:pPr>
              <w:rPr>
                <w:rFonts w:ascii="Verdana" w:hAnsi="Verdana"/>
                <w:b/>
                <w:bCs/>
                <w:sz w:val="20"/>
                <w:szCs w:val="20"/>
              </w:rPr>
            </w:pPr>
            <w:r w:rsidRPr="00B76BE0">
              <w:rPr>
                <w:rFonts w:ascii="Verdana" w:hAnsi="Verdana"/>
                <w:b/>
                <w:bCs/>
                <w:sz w:val="20"/>
                <w:szCs w:val="20"/>
              </w:rPr>
              <w:lastRenderedPageBreak/>
              <w:t>Décision 1</w:t>
            </w:r>
            <w:r w:rsidR="000D6426">
              <w:rPr>
                <w:rFonts w:ascii="Verdana" w:hAnsi="Verdana"/>
                <w:b/>
                <w:bCs/>
                <w:sz w:val="20"/>
                <w:szCs w:val="20"/>
              </w:rPr>
              <w:t>3</w:t>
            </w:r>
            <w:r w:rsidRPr="00B76BE0">
              <w:rPr>
                <w:rFonts w:ascii="Verdana" w:hAnsi="Verdana"/>
                <w:b/>
                <w:bCs/>
                <w:sz w:val="20"/>
                <w:szCs w:val="20"/>
              </w:rPr>
              <w:t xml:space="preserve"> – Formation et coopération universitaire</w:t>
            </w:r>
          </w:p>
          <w:p w14:paraId="49CECC01" w14:textId="77777777" w:rsidR="00045FFD" w:rsidRPr="00E659E4" w:rsidRDefault="00045FFD" w:rsidP="00045FFD">
            <w:pPr>
              <w:pStyle w:val="Paragraphe"/>
            </w:pPr>
            <w:r w:rsidRPr="00E659E4">
              <w:t>Le Conseil des ministres :</w:t>
            </w:r>
          </w:p>
          <w:p w14:paraId="1D752D23" w14:textId="77777777" w:rsidR="00045FFD" w:rsidRPr="00E659E4" w:rsidRDefault="00045FFD" w:rsidP="00045FFD">
            <w:pPr>
              <w:pStyle w:val="Paragraphe"/>
              <w:numPr>
                <w:ilvl w:val="0"/>
                <w:numId w:val="34"/>
              </w:numPr>
            </w:pPr>
            <w:r w:rsidRPr="00E659E4">
              <w:t xml:space="preserve">Encourage les États membres à faciliter l’identification et la mise en contact des universités pouvant être intéressées à signer des accords-cadres avec la COI </w:t>
            </w:r>
          </w:p>
          <w:p w14:paraId="33516B56" w14:textId="77777777" w:rsidR="00045FFD" w:rsidRPr="00E659E4" w:rsidRDefault="00045FFD" w:rsidP="00045FFD">
            <w:pPr>
              <w:pStyle w:val="Paragraphe"/>
              <w:numPr>
                <w:ilvl w:val="0"/>
                <w:numId w:val="34"/>
              </w:numPr>
            </w:pPr>
            <w:r w:rsidRPr="00E659E4">
              <w:t xml:space="preserve">Donne mandat au Secrétariat général pour organiser des consultations nationales dans le cadre de la mission d’amorçage et de consultation du projet de formation professionnelle et de mobilité en tenant compte des conclusions des Assises de février </w:t>
            </w:r>
            <w:r w:rsidRPr="00E659E4">
              <w:lastRenderedPageBreak/>
              <w:t>2022 et des programmes de mobilité existants dans la zone ;</w:t>
            </w:r>
          </w:p>
          <w:p w14:paraId="558F90FE" w14:textId="77777777" w:rsidR="00045FFD" w:rsidRPr="00E659E4" w:rsidRDefault="00045FFD" w:rsidP="00045FFD">
            <w:pPr>
              <w:pStyle w:val="Paragraphe"/>
              <w:numPr>
                <w:ilvl w:val="0"/>
                <w:numId w:val="34"/>
              </w:numPr>
            </w:pPr>
            <w:r w:rsidRPr="00E659E4">
              <w:t>Demande au Secrétariat général d’organiser une conférence ministérielle sur le sujet pour valider une proposition de projet de formation professionnelle et mobilité et de présenter ce projet validé auprès des bailleurs ;</w:t>
            </w:r>
          </w:p>
          <w:p w14:paraId="7FBA3670" w14:textId="77777777" w:rsidR="00045FFD" w:rsidRPr="00E659E4" w:rsidRDefault="00045FFD" w:rsidP="00045FFD">
            <w:pPr>
              <w:pStyle w:val="Paragraphe"/>
              <w:numPr>
                <w:ilvl w:val="0"/>
                <w:numId w:val="34"/>
              </w:numPr>
            </w:pPr>
            <w:r w:rsidRPr="00E659E4">
              <w:t>Remercie la France d’avoir mis à disposition un expert technique international spécialisé dans la formation professionnelle et la mobilité auprès du Secrétariat général de la COI.</w:t>
            </w:r>
          </w:p>
          <w:p w14:paraId="61494D11" w14:textId="26774CEC" w:rsidR="00613B27" w:rsidRPr="00B76BE0" w:rsidRDefault="00613B27">
            <w:pPr>
              <w:rPr>
                <w:rFonts w:ascii="Verdana" w:hAnsi="Verdana"/>
                <w:sz w:val="20"/>
                <w:szCs w:val="20"/>
              </w:rPr>
            </w:pPr>
          </w:p>
        </w:tc>
        <w:tc>
          <w:tcPr>
            <w:tcW w:w="5103" w:type="dxa"/>
          </w:tcPr>
          <w:p w14:paraId="082E3181" w14:textId="741B180E" w:rsidR="00934F28" w:rsidRPr="00B76BE0" w:rsidRDefault="7F9AF241" w:rsidP="3A164C2D">
            <w:pPr>
              <w:pStyle w:val="Paragraphedeliste"/>
              <w:numPr>
                <w:ilvl w:val="0"/>
                <w:numId w:val="8"/>
              </w:numPr>
              <w:spacing w:line="257" w:lineRule="auto"/>
              <w:rPr>
                <w:rFonts w:ascii="Verdana" w:eastAsia="Verdana" w:hAnsi="Verdana" w:cs="Verdana"/>
                <w:sz w:val="20"/>
                <w:szCs w:val="20"/>
              </w:rPr>
            </w:pPr>
            <w:r w:rsidRPr="3A164C2D">
              <w:rPr>
                <w:rFonts w:ascii="Verdana" w:eastAsia="Verdana" w:hAnsi="Verdana" w:cs="Verdana"/>
                <w:sz w:val="20"/>
                <w:szCs w:val="20"/>
              </w:rPr>
              <w:lastRenderedPageBreak/>
              <w:t>Aucun accord cadre n’a été signé avec les universités de Madagascar.</w:t>
            </w:r>
          </w:p>
          <w:p w14:paraId="38E23D80" w14:textId="5FC9B8E9" w:rsidR="00934F28" w:rsidRPr="00B76BE0" w:rsidRDefault="7F9AF241" w:rsidP="3A164C2D">
            <w:pPr>
              <w:spacing w:after="160" w:line="257" w:lineRule="auto"/>
            </w:pPr>
            <w:r w:rsidRPr="2E6B9154">
              <w:rPr>
                <w:rFonts w:ascii="Verdana" w:eastAsia="Verdana" w:hAnsi="Verdana" w:cs="Verdana"/>
                <w:sz w:val="20"/>
                <w:szCs w:val="20"/>
              </w:rPr>
              <w:t>-Pour Maurice, accord signé avec l’université de technologie en août 2023</w:t>
            </w:r>
            <w:r w:rsidR="5143C203" w:rsidRPr="2E6B9154">
              <w:rPr>
                <w:rFonts w:ascii="Verdana" w:eastAsia="Verdana" w:hAnsi="Verdana" w:cs="Verdana"/>
                <w:sz w:val="20"/>
                <w:szCs w:val="20"/>
              </w:rPr>
              <w:t>.</w:t>
            </w:r>
          </w:p>
          <w:p w14:paraId="10FF1FE8" w14:textId="680D7B84" w:rsidR="5143C203" w:rsidRDefault="5143C203" w:rsidP="2E6B9154">
            <w:pPr>
              <w:spacing w:after="160" w:line="257" w:lineRule="auto"/>
              <w:rPr>
                <w:rFonts w:ascii="Verdana" w:eastAsia="Verdana" w:hAnsi="Verdana" w:cs="Verdana"/>
                <w:sz w:val="20"/>
                <w:szCs w:val="20"/>
              </w:rPr>
            </w:pPr>
            <w:r w:rsidRPr="2E6B9154">
              <w:rPr>
                <w:rFonts w:ascii="Verdana" w:eastAsia="Verdana" w:hAnsi="Verdana" w:cs="Verdana"/>
                <w:sz w:val="20"/>
                <w:szCs w:val="20"/>
              </w:rPr>
              <w:t>- En discussion avec l’Université de Maurice.</w:t>
            </w:r>
          </w:p>
          <w:p w14:paraId="33C90D6E" w14:textId="549B2B86" w:rsidR="5143C203" w:rsidRDefault="5143C203" w:rsidP="2E6B9154">
            <w:pPr>
              <w:spacing w:after="160" w:line="257" w:lineRule="auto"/>
              <w:rPr>
                <w:rFonts w:ascii="Verdana" w:eastAsia="Verdana" w:hAnsi="Verdana" w:cs="Verdana"/>
                <w:sz w:val="20"/>
                <w:szCs w:val="20"/>
              </w:rPr>
            </w:pPr>
            <w:r w:rsidRPr="2E6B9154">
              <w:rPr>
                <w:rFonts w:ascii="Verdana" w:eastAsia="Verdana" w:hAnsi="Verdana" w:cs="Verdana"/>
                <w:sz w:val="20"/>
                <w:szCs w:val="20"/>
              </w:rPr>
              <w:t>- Attente des retours des OPL pour Madagascar et Comores</w:t>
            </w:r>
            <w:r w:rsidR="0748DCF8" w:rsidRPr="2E6B9154">
              <w:rPr>
                <w:rFonts w:ascii="Verdana" w:eastAsia="Verdana" w:hAnsi="Verdana" w:cs="Verdana"/>
                <w:sz w:val="20"/>
                <w:szCs w:val="20"/>
              </w:rPr>
              <w:t xml:space="preserve"> pour mise en contact avec les universités </w:t>
            </w:r>
          </w:p>
          <w:p w14:paraId="613B2294" w14:textId="55EF9281" w:rsidR="00934F28" w:rsidRPr="00B76BE0" w:rsidRDefault="7F9AF241" w:rsidP="3A164C2D">
            <w:pPr>
              <w:spacing w:after="160" w:line="257" w:lineRule="auto"/>
            </w:pPr>
            <w:r w:rsidRPr="3A164C2D">
              <w:rPr>
                <w:rFonts w:ascii="Verdana" w:eastAsia="Verdana" w:hAnsi="Verdana" w:cs="Verdana"/>
                <w:sz w:val="20"/>
                <w:szCs w:val="20"/>
              </w:rPr>
              <w:t xml:space="preserve"> </w:t>
            </w:r>
          </w:p>
          <w:p w14:paraId="62CB70B0" w14:textId="223272C3" w:rsidR="00934F28" w:rsidRPr="00B76BE0" w:rsidRDefault="59ACFAC1" w:rsidP="57111726">
            <w:pPr>
              <w:rPr>
                <w:rFonts w:ascii="Verdana" w:eastAsia="Verdana" w:hAnsi="Verdana" w:cs="Verdana"/>
                <w:sz w:val="20"/>
                <w:szCs w:val="20"/>
              </w:rPr>
            </w:pPr>
            <w:proofErr w:type="gramStart"/>
            <w:r w:rsidRPr="57111726">
              <w:rPr>
                <w:rFonts w:ascii="Verdana" w:eastAsia="Verdana" w:hAnsi="Verdana" w:cs="Verdana"/>
                <w:sz w:val="20"/>
                <w:szCs w:val="20"/>
              </w:rPr>
              <w:t>B)</w:t>
            </w:r>
            <w:r w:rsidR="7F9AF241" w:rsidRPr="57111726">
              <w:rPr>
                <w:rFonts w:ascii="Verdana" w:eastAsia="Verdana" w:hAnsi="Verdana" w:cs="Verdana"/>
                <w:sz w:val="20"/>
                <w:szCs w:val="20"/>
              </w:rPr>
              <w:t>Missions</w:t>
            </w:r>
            <w:proofErr w:type="gramEnd"/>
            <w:r w:rsidR="7F9AF241" w:rsidRPr="57111726">
              <w:rPr>
                <w:rFonts w:ascii="Verdana" w:eastAsia="Verdana" w:hAnsi="Verdana" w:cs="Verdana"/>
                <w:sz w:val="20"/>
                <w:szCs w:val="20"/>
              </w:rPr>
              <w:t xml:space="preserve"> de consultation réalisées en juin et juillet 2023 sur le terrain à Maurice, aux </w:t>
            </w:r>
            <w:r w:rsidR="7F9AF241" w:rsidRPr="57111726">
              <w:rPr>
                <w:rFonts w:ascii="Verdana" w:eastAsia="Verdana" w:hAnsi="Verdana" w:cs="Verdana"/>
                <w:sz w:val="20"/>
                <w:szCs w:val="20"/>
              </w:rPr>
              <w:lastRenderedPageBreak/>
              <w:t xml:space="preserve">Comores, aux Seychelles, et à Madagascar, et en visioconférence pour la Réunion. </w:t>
            </w:r>
            <w:r w:rsidR="07C648DE" w:rsidRPr="57111726">
              <w:rPr>
                <w:rFonts w:ascii="Verdana" w:eastAsia="Verdana" w:hAnsi="Verdana" w:cs="Verdana"/>
                <w:sz w:val="20"/>
                <w:szCs w:val="20"/>
              </w:rPr>
              <w:t xml:space="preserve">Mission réalisée en avril 2024 à la Réunion. </w:t>
            </w:r>
          </w:p>
          <w:p w14:paraId="7970760D" w14:textId="1696A6A2" w:rsidR="00934F28" w:rsidRPr="00B76BE0" w:rsidRDefault="00934F28" w:rsidP="57111726">
            <w:pPr>
              <w:rPr>
                <w:rFonts w:ascii="Verdana" w:eastAsia="Verdana" w:hAnsi="Verdana" w:cs="Verdana"/>
                <w:sz w:val="20"/>
                <w:szCs w:val="20"/>
              </w:rPr>
            </w:pPr>
          </w:p>
          <w:p w14:paraId="74D516C1" w14:textId="5320AB98" w:rsidR="00934F28" w:rsidRPr="00B76BE0" w:rsidRDefault="57111726" w:rsidP="57111726">
            <w:pPr>
              <w:rPr>
                <w:rFonts w:ascii="Verdana" w:eastAsia="Verdana" w:hAnsi="Verdana" w:cs="Verdana"/>
                <w:color w:val="FF0000"/>
                <w:sz w:val="20"/>
                <w:szCs w:val="20"/>
              </w:rPr>
            </w:pPr>
            <w:r w:rsidRPr="57111726">
              <w:rPr>
                <w:rFonts w:ascii="Verdana" w:eastAsia="Verdana" w:hAnsi="Verdana" w:cs="Verdana"/>
                <w:color w:val="FF0000"/>
                <w:sz w:val="20"/>
                <w:szCs w:val="20"/>
              </w:rPr>
              <w:t xml:space="preserve">c) </w:t>
            </w:r>
            <w:r w:rsidR="123AF113" w:rsidRPr="57111726">
              <w:rPr>
                <w:rFonts w:ascii="Verdana" w:eastAsia="Verdana" w:hAnsi="Verdana" w:cs="Verdana"/>
                <w:color w:val="FF0000"/>
                <w:sz w:val="20"/>
                <w:szCs w:val="20"/>
              </w:rPr>
              <w:t>Après concertation au niveau des OPL, il a été convenu qu’il n’y aurait pas de conférence ministérielle (cf. COPL 02/23 Décision 12.a</w:t>
            </w:r>
            <w:proofErr w:type="gramStart"/>
            <w:r w:rsidR="123AF113" w:rsidRPr="57111726">
              <w:rPr>
                <w:rFonts w:ascii="Verdana" w:eastAsia="Verdana" w:hAnsi="Verdana" w:cs="Verdana"/>
                <w:color w:val="FF0000"/>
                <w:sz w:val="20"/>
                <w:szCs w:val="20"/>
              </w:rPr>
              <w:t>) .</w:t>
            </w:r>
            <w:proofErr w:type="gramEnd"/>
            <w:r w:rsidR="123AF113" w:rsidRPr="57111726">
              <w:rPr>
                <w:rFonts w:ascii="Verdana" w:eastAsia="Verdana" w:hAnsi="Verdana" w:cs="Verdana"/>
                <w:color w:val="FF0000"/>
                <w:sz w:val="20"/>
                <w:szCs w:val="20"/>
              </w:rPr>
              <w:t xml:space="preserve"> Un atelier régional de validation technique du programme s’est tenu lieu du 5 au 7 mars en présence des directeurs généraux et des référent décisionnaires en charge de la formation technique, technologique et professionnelle. Les échanges ont permis de :</w:t>
            </w:r>
          </w:p>
          <w:p w14:paraId="79DC7D97" w14:textId="12F5F71C" w:rsidR="00934F28" w:rsidRPr="00B76BE0" w:rsidRDefault="123AF113" w:rsidP="57111726">
            <w:pPr>
              <w:pStyle w:val="Paragraphedeliste"/>
              <w:numPr>
                <w:ilvl w:val="0"/>
                <w:numId w:val="6"/>
              </w:numPr>
              <w:ind w:left="1068"/>
              <w:rPr>
                <w:rFonts w:ascii="Verdana" w:eastAsia="Verdana" w:hAnsi="Verdana" w:cs="Verdana"/>
                <w:color w:val="FF0000"/>
                <w:sz w:val="20"/>
                <w:szCs w:val="20"/>
              </w:rPr>
            </w:pPr>
            <w:r w:rsidRPr="57111726">
              <w:rPr>
                <w:rFonts w:ascii="Verdana" w:eastAsia="Verdana" w:hAnsi="Verdana" w:cs="Verdana"/>
                <w:color w:val="FF0000"/>
                <w:sz w:val="20"/>
                <w:szCs w:val="20"/>
              </w:rPr>
              <w:t>Trouver un consensus sur les besoins de chacun des Etats</w:t>
            </w:r>
          </w:p>
          <w:p w14:paraId="2F449822" w14:textId="4651EADD" w:rsidR="00934F28" w:rsidRPr="00B76BE0" w:rsidRDefault="123AF113" w:rsidP="57111726">
            <w:pPr>
              <w:pStyle w:val="Paragraphedeliste"/>
              <w:numPr>
                <w:ilvl w:val="0"/>
                <w:numId w:val="6"/>
              </w:numPr>
              <w:ind w:left="1068"/>
              <w:rPr>
                <w:rFonts w:ascii="Verdana" w:eastAsia="Verdana" w:hAnsi="Verdana" w:cs="Verdana"/>
                <w:color w:val="FF0000"/>
                <w:sz w:val="20"/>
                <w:szCs w:val="20"/>
              </w:rPr>
            </w:pPr>
            <w:r w:rsidRPr="57111726">
              <w:rPr>
                <w:rFonts w:ascii="Verdana" w:eastAsia="Verdana" w:hAnsi="Verdana" w:cs="Verdana"/>
                <w:color w:val="FF0000"/>
                <w:sz w:val="20"/>
                <w:szCs w:val="20"/>
              </w:rPr>
              <w:t>Valider techniquement la philosophie et les grandes lignes du programme</w:t>
            </w:r>
          </w:p>
          <w:p w14:paraId="6F8F553F" w14:textId="30620AFB" w:rsidR="00934F28" w:rsidRPr="00B76BE0" w:rsidRDefault="123AF113" w:rsidP="57111726">
            <w:pPr>
              <w:pStyle w:val="Paragraphedeliste"/>
              <w:numPr>
                <w:ilvl w:val="0"/>
                <w:numId w:val="6"/>
              </w:numPr>
              <w:ind w:left="1068"/>
              <w:rPr>
                <w:rFonts w:ascii="Verdana" w:eastAsia="Verdana" w:hAnsi="Verdana" w:cs="Verdana"/>
                <w:color w:val="FF0000"/>
                <w:sz w:val="20"/>
                <w:szCs w:val="20"/>
              </w:rPr>
            </w:pPr>
            <w:r w:rsidRPr="57111726">
              <w:rPr>
                <w:rFonts w:ascii="Verdana" w:eastAsia="Verdana" w:hAnsi="Verdana" w:cs="Verdana"/>
                <w:color w:val="FF0000"/>
                <w:sz w:val="20"/>
                <w:szCs w:val="20"/>
              </w:rPr>
              <w:t>Réfléchir au mécanisme de financement</w:t>
            </w:r>
          </w:p>
          <w:p w14:paraId="61933EEC" w14:textId="5578FC99" w:rsidR="00934F28" w:rsidRPr="00B76BE0" w:rsidRDefault="123AF113" w:rsidP="57111726">
            <w:pPr>
              <w:pStyle w:val="Paragraphedeliste"/>
              <w:numPr>
                <w:ilvl w:val="0"/>
                <w:numId w:val="6"/>
              </w:numPr>
              <w:ind w:left="1068"/>
              <w:rPr>
                <w:rFonts w:ascii="Verdana" w:eastAsia="Verdana" w:hAnsi="Verdana" w:cs="Verdana"/>
                <w:color w:val="FF0000"/>
                <w:sz w:val="20"/>
                <w:szCs w:val="20"/>
              </w:rPr>
            </w:pPr>
            <w:r w:rsidRPr="57111726">
              <w:rPr>
                <w:rFonts w:ascii="Verdana" w:eastAsia="Verdana" w:hAnsi="Verdana" w:cs="Verdana"/>
                <w:color w:val="FF0000"/>
                <w:sz w:val="20"/>
                <w:szCs w:val="20"/>
              </w:rPr>
              <w:t>Réfléchir au plan d’action 2024/2027</w:t>
            </w:r>
          </w:p>
          <w:p w14:paraId="5AC5F7C9" w14:textId="0E63B8D3" w:rsidR="00934F28" w:rsidRPr="00B76BE0" w:rsidRDefault="123AF113" w:rsidP="57111726">
            <w:pPr>
              <w:rPr>
                <w:rFonts w:ascii="Verdana" w:eastAsia="Verdana" w:hAnsi="Verdana" w:cs="Verdana"/>
                <w:color w:val="FF0000"/>
                <w:sz w:val="20"/>
                <w:szCs w:val="20"/>
              </w:rPr>
            </w:pPr>
            <w:r w:rsidRPr="57111726">
              <w:rPr>
                <w:rFonts w:ascii="Verdana" w:eastAsia="Verdana" w:hAnsi="Verdana" w:cs="Verdana"/>
                <w:color w:val="FF0000"/>
                <w:sz w:val="20"/>
                <w:szCs w:val="20"/>
              </w:rPr>
              <w:t>Durant cet atelier, les livrables par pays     ont été transmis à chacun des Etats. Les représentants des pays ont été encouragés à faire remonter à leur ministères respectifs les échanges et les résultats ayant eu lieu lors de l’atelier.</w:t>
            </w:r>
          </w:p>
          <w:p w14:paraId="7217EDBC" w14:textId="2F56A30A" w:rsidR="00934F28" w:rsidRPr="00B76BE0" w:rsidRDefault="123AF113" w:rsidP="57111726">
            <w:pPr>
              <w:rPr>
                <w:rFonts w:ascii="Verdana" w:eastAsia="Verdana" w:hAnsi="Verdana" w:cs="Verdana"/>
                <w:color w:val="FF0000"/>
                <w:sz w:val="20"/>
                <w:szCs w:val="20"/>
              </w:rPr>
            </w:pPr>
            <w:r w:rsidRPr="57111726">
              <w:rPr>
                <w:rFonts w:ascii="Verdana" w:eastAsia="Verdana" w:hAnsi="Verdana" w:cs="Verdana"/>
                <w:color w:val="FF0000"/>
                <w:sz w:val="20"/>
                <w:szCs w:val="20"/>
              </w:rPr>
              <w:t xml:space="preserve"> </w:t>
            </w:r>
          </w:p>
          <w:p w14:paraId="0706EDEF" w14:textId="5C79408F" w:rsidR="00934F28" w:rsidRPr="00B76BE0" w:rsidRDefault="123AF113" w:rsidP="57111726">
            <w:pPr>
              <w:rPr>
                <w:rFonts w:ascii="Verdana" w:eastAsia="Verdana" w:hAnsi="Verdana" w:cs="Verdana"/>
                <w:color w:val="FF0000"/>
                <w:sz w:val="20"/>
                <w:szCs w:val="20"/>
              </w:rPr>
            </w:pPr>
            <w:r w:rsidRPr="57111726">
              <w:rPr>
                <w:rFonts w:ascii="Verdana" w:eastAsia="Verdana" w:hAnsi="Verdana" w:cs="Verdana"/>
                <w:color w:val="FF0000"/>
                <w:sz w:val="20"/>
                <w:szCs w:val="20"/>
              </w:rPr>
              <w:t>En ce qui concerne les mécanismes de financement, deux requêtes ont été adressées à l’AFD afin de solliciter leur appui pour :</w:t>
            </w:r>
          </w:p>
          <w:p w14:paraId="60261646" w14:textId="025783C8" w:rsidR="00934F28" w:rsidRPr="00B76BE0" w:rsidRDefault="123AF113" w:rsidP="57111726">
            <w:pPr>
              <w:pStyle w:val="Paragraphedeliste"/>
              <w:numPr>
                <w:ilvl w:val="0"/>
                <w:numId w:val="2"/>
              </w:numPr>
              <w:rPr>
                <w:rFonts w:ascii="Verdana" w:eastAsia="Verdana" w:hAnsi="Verdana" w:cs="Verdana"/>
                <w:color w:val="FF0000"/>
                <w:sz w:val="20"/>
                <w:szCs w:val="20"/>
              </w:rPr>
            </w:pPr>
            <w:proofErr w:type="gramStart"/>
            <w:r w:rsidRPr="57111726">
              <w:rPr>
                <w:rFonts w:ascii="Verdana" w:eastAsia="Verdana" w:hAnsi="Verdana" w:cs="Verdana"/>
                <w:color w:val="FF0000"/>
                <w:sz w:val="20"/>
                <w:szCs w:val="20"/>
              </w:rPr>
              <w:t>une</w:t>
            </w:r>
            <w:proofErr w:type="gramEnd"/>
            <w:r w:rsidRPr="57111726">
              <w:rPr>
                <w:rFonts w:ascii="Verdana" w:eastAsia="Verdana" w:hAnsi="Verdana" w:cs="Verdana"/>
                <w:color w:val="FF0000"/>
                <w:sz w:val="20"/>
                <w:szCs w:val="20"/>
              </w:rPr>
              <w:t xml:space="preserve"> évaluation et des conseils sur le mécanisme de financement</w:t>
            </w:r>
          </w:p>
          <w:p w14:paraId="486D3511" w14:textId="10669671" w:rsidR="00934F28" w:rsidRPr="00B76BE0" w:rsidRDefault="123AF113" w:rsidP="57111726">
            <w:pPr>
              <w:pStyle w:val="Paragraphedeliste"/>
              <w:numPr>
                <w:ilvl w:val="0"/>
                <w:numId w:val="2"/>
              </w:numPr>
              <w:rPr>
                <w:rFonts w:ascii="Verdana" w:eastAsia="Verdana" w:hAnsi="Verdana" w:cs="Verdana"/>
                <w:color w:val="FF0000"/>
                <w:sz w:val="20"/>
                <w:szCs w:val="20"/>
              </w:rPr>
            </w:pPr>
            <w:proofErr w:type="gramStart"/>
            <w:r w:rsidRPr="57111726">
              <w:rPr>
                <w:rFonts w:ascii="Verdana" w:eastAsia="Verdana" w:hAnsi="Verdana" w:cs="Verdana"/>
                <w:color w:val="FF0000"/>
                <w:sz w:val="20"/>
                <w:szCs w:val="20"/>
              </w:rPr>
              <w:lastRenderedPageBreak/>
              <w:t>une</w:t>
            </w:r>
            <w:proofErr w:type="gramEnd"/>
            <w:r w:rsidRPr="57111726">
              <w:rPr>
                <w:rFonts w:ascii="Verdana" w:eastAsia="Verdana" w:hAnsi="Verdana" w:cs="Verdana"/>
                <w:color w:val="FF0000"/>
                <w:sz w:val="20"/>
                <w:szCs w:val="20"/>
              </w:rPr>
              <w:t xml:space="preserve"> requête de financement</w:t>
            </w:r>
          </w:p>
          <w:p w14:paraId="1DEFFB39" w14:textId="7B5C6F43" w:rsidR="00934F28" w:rsidRPr="00B76BE0" w:rsidRDefault="00934F28" w:rsidP="57111726">
            <w:pPr>
              <w:rPr>
                <w:rFonts w:ascii="Verdana" w:eastAsia="Verdana" w:hAnsi="Verdana" w:cs="Verdana"/>
                <w:sz w:val="20"/>
                <w:szCs w:val="20"/>
              </w:rPr>
            </w:pPr>
          </w:p>
          <w:p w14:paraId="59837A61" w14:textId="2477FDBB" w:rsidR="00934F28" w:rsidRPr="00B76BE0" w:rsidRDefault="00934F28" w:rsidP="57111726">
            <w:pPr>
              <w:rPr>
                <w:rFonts w:ascii="Verdana" w:eastAsia="Verdana" w:hAnsi="Verdana" w:cs="Verdana"/>
                <w:sz w:val="20"/>
                <w:szCs w:val="20"/>
              </w:rPr>
            </w:pPr>
          </w:p>
          <w:p w14:paraId="21CFFC9E" w14:textId="182DB233" w:rsidR="00934F28" w:rsidRPr="00B76BE0" w:rsidRDefault="6288A4F3" w:rsidP="57111726">
            <w:pPr>
              <w:spacing w:after="160" w:line="257" w:lineRule="auto"/>
            </w:pPr>
            <w:r w:rsidRPr="57111726">
              <w:rPr>
                <w:rFonts w:ascii="Verdana" w:eastAsia="Verdana" w:hAnsi="Verdana" w:cs="Verdana"/>
                <w:sz w:val="20"/>
                <w:szCs w:val="20"/>
              </w:rPr>
              <w:t xml:space="preserve">La mission de configuration de l’AFD, qui répond à la requête d’évaluation et de conseils devrait commencer en avril 2024.  </w:t>
            </w:r>
          </w:p>
          <w:p w14:paraId="5D505D7F" w14:textId="58BE1EE6" w:rsidR="00934F28" w:rsidRPr="00B76BE0" w:rsidRDefault="00934F28" w:rsidP="57111726">
            <w:pPr>
              <w:rPr>
                <w:rFonts w:ascii="Verdana" w:eastAsia="Verdana" w:hAnsi="Verdana" w:cs="Verdana"/>
                <w:sz w:val="20"/>
                <w:szCs w:val="20"/>
              </w:rPr>
            </w:pPr>
          </w:p>
          <w:p w14:paraId="1CA68E09" w14:textId="4826C093" w:rsidR="00934F28" w:rsidRPr="00B76BE0" w:rsidRDefault="0D518A3F" w:rsidP="57111726">
            <w:pPr>
              <w:rPr>
                <w:rFonts w:ascii="Verdana" w:eastAsia="Verdana" w:hAnsi="Verdana" w:cs="Verdana"/>
                <w:sz w:val="20"/>
                <w:szCs w:val="20"/>
              </w:rPr>
            </w:pPr>
            <w:r w:rsidRPr="57111726">
              <w:rPr>
                <w:rFonts w:ascii="Verdana" w:eastAsia="Verdana" w:hAnsi="Verdana" w:cs="Verdana"/>
                <w:sz w:val="20"/>
                <w:szCs w:val="20"/>
              </w:rPr>
              <w:t xml:space="preserve">Par ailleurs, un consultant de la DUE </w:t>
            </w:r>
            <w:r w:rsidR="2E72A667" w:rsidRPr="57111726">
              <w:rPr>
                <w:rFonts w:ascii="Verdana" w:eastAsia="Verdana" w:hAnsi="Verdana" w:cs="Verdana"/>
                <w:sz w:val="20"/>
                <w:szCs w:val="20"/>
              </w:rPr>
              <w:t xml:space="preserve">est déployé durant le mois </w:t>
            </w:r>
            <w:proofErr w:type="gramStart"/>
            <w:r w:rsidR="2E72A667" w:rsidRPr="57111726">
              <w:rPr>
                <w:rFonts w:ascii="Verdana" w:eastAsia="Verdana" w:hAnsi="Verdana" w:cs="Verdana"/>
                <w:sz w:val="20"/>
                <w:szCs w:val="20"/>
              </w:rPr>
              <w:t xml:space="preserve">d’avril </w:t>
            </w:r>
            <w:r w:rsidR="6A081246" w:rsidRPr="57111726">
              <w:rPr>
                <w:rFonts w:ascii="Verdana" w:eastAsia="Verdana" w:hAnsi="Verdana" w:cs="Verdana"/>
                <w:sz w:val="20"/>
                <w:szCs w:val="20"/>
              </w:rPr>
              <w:t xml:space="preserve"> pour</w:t>
            </w:r>
            <w:proofErr w:type="gramEnd"/>
            <w:r w:rsidR="6A081246" w:rsidRPr="57111726">
              <w:rPr>
                <w:rFonts w:ascii="Verdana" w:eastAsia="Verdana" w:hAnsi="Verdana" w:cs="Verdana"/>
                <w:sz w:val="20"/>
                <w:szCs w:val="20"/>
              </w:rPr>
              <w:t xml:space="preserve"> aider à </w:t>
            </w:r>
            <w:r w:rsidR="71AF7F3F" w:rsidRPr="57111726">
              <w:rPr>
                <w:rFonts w:ascii="Verdana" w:eastAsia="Verdana" w:hAnsi="Verdana" w:cs="Verdana"/>
                <w:sz w:val="20"/>
                <w:szCs w:val="20"/>
              </w:rPr>
              <w:t xml:space="preserve">remplir les documents </w:t>
            </w:r>
            <w:proofErr w:type="spellStart"/>
            <w:r w:rsidR="71AF7F3F" w:rsidRPr="57111726">
              <w:rPr>
                <w:rFonts w:ascii="Verdana" w:eastAsia="Verdana" w:hAnsi="Verdana" w:cs="Verdana"/>
                <w:sz w:val="20"/>
                <w:szCs w:val="20"/>
              </w:rPr>
              <w:t>néceessaires</w:t>
            </w:r>
            <w:proofErr w:type="spellEnd"/>
            <w:r w:rsidR="71AF7F3F" w:rsidRPr="57111726">
              <w:rPr>
                <w:rFonts w:ascii="Verdana" w:eastAsia="Verdana" w:hAnsi="Verdana" w:cs="Verdana"/>
                <w:sz w:val="20"/>
                <w:szCs w:val="20"/>
              </w:rPr>
              <w:t xml:space="preserve"> liés à la </w:t>
            </w:r>
            <w:r w:rsidRPr="57111726">
              <w:rPr>
                <w:rFonts w:ascii="Verdana" w:eastAsia="Verdana" w:hAnsi="Verdana" w:cs="Verdana"/>
                <w:sz w:val="20"/>
                <w:szCs w:val="20"/>
              </w:rPr>
              <w:t>demande de financement auprès de l’UE.</w:t>
            </w:r>
          </w:p>
          <w:p w14:paraId="541E812E" w14:textId="7B6B200E" w:rsidR="00934F28" w:rsidRPr="00B76BE0" w:rsidRDefault="00934F28" w:rsidP="57111726">
            <w:pPr>
              <w:rPr>
                <w:rFonts w:ascii="Verdana" w:eastAsia="Verdana" w:hAnsi="Verdana" w:cs="Verdana"/>
                <w:sz w:val="20"/>
                <w:szCs w:val="20"/>
              </w:rPr>
            </w:pPr>
          </w:p>
        </w:tc>
        <w:tc>
          <w:tcPr>
            <w:tcW w:w="1984" w:type="dxa"/>
          </w:tcPr>
          <w:p w14:paraId="1540894B" w14:textId="0BE43ECC" w:rsidR="00934F28" w:rsidRPr="00B76BE0" w:rsidRDefault="00934F28" w:rsidP="2E6B9154">
            <w:pPr>
              <w:rPr>
                <w:rFonts w:ascii="Verdana" w:hAnsi="Verdana"/>
                <w:sz w:val="20"/>
                <w:szCs w:val="20"/>
              </w:rPr>
            </w:pPr>
          </w:p>
          <w:p w14:paraId="24C44C30" w14:textId="55D3D592" w:rsidR="00934F28" w:rsidRPr="00B76BE0" w:rsidRDefault="00934F28" w:rsidP="2E6B9154">
            <w:pPr>
              <w:rPr>
                <w:rFonts w:ascii="Verdana" w:hAnsi="Verdana"/>
                <w:sz w:val="20"/>
                <w:szCs w:val="20"/>
              </w:rPr>
            </w:pPr>
          </w:p>
          <w:p w14:paraId="7C35BA04" w14:textId="56BAFCCC" w:rsidR="00934F28" w:rsidRPr="00B76BE0" w:rsidRDefault="00934F28" w:rsidP="2E6B9154">
            <w:pPr>
              <w:rPr>
                <w:rFonts w:ascii="Verdana" w:hAnsi="Verdana"/>
                <w:sz w:val="20"/>
                <w:szCs w:val="20"/>
              </w:rPr>
            </w:pPr>
          </w:p>
          <w:p w14:paraId="43A86800" w14:textId="23E69284" w:rsidR="00934F28" w:rsidRPr="00B76BE0" w:rsidRDefault="00934F28" w:rsidP="2E6B9154">
            <w:pPr>
              <w:rPr>
                <w:rFonts w:ascii="Verdana" w:hAnsi="Verdana"/>
                <w:sz w:val="20"/>
                <w:szCs w:val="20"/>
              </w:rPr>
            </w:pPr>
          </w:p>
          <w:p w14:paraId="111E346A" w14:textId="0D23F689" w:rsidR="00934F28" w:rsidRPr="00B76BE0" w:rsidRDefault="00934F28" w:rsidP="2E6B9154">
            <w:pPr>
              <w:rPr>
                <w:rFonts w:ascii="Verdana" w:hAnsi="Verdana"/>
                <w:sz w:val="20"/>
                <w:szCs w:val="20"/>
              </w:rPr>
            </w:pPr>
          </w:p>
          <w:p w14:paraId="5B02270F" w14:textId="2EF74EFC" w:rsidR="00934F28" w:rsidRPr="00B76BE0" w:rsidRDefault="00934F28" w:rsidP="2E6B9154">
            <w:pPr>
              <w:rPr>
                <w:rFonts w:ascii="Verdana" w:hAnsi="Verdana"/>
                <w:sz w:val="20"/>
                <w:szCs w:val="20"/>
              </w:rPr>
            </w:pPr>
          </w:p>
          <w:p w14:paraId="314EB327" w14:textId="42EFA057" w:rsidR="00934F28" w:rsidRPr="00B76BE0" w:rsidRDefault="411A19EB" w:rsidP="2E6B9154">
            <w:pPr>
              <w:rPr>
                <w:rFonts w:ascii="Verdana" w:hAnsi="Verdana"/>
                <w:sz w:val="20"/>
                <w:szCs w:val="20"/>
              </w:rPr>
            </w:pPr>
            <w:r w:rsidRPr="2E6B9154">
              <w:rPr>
                <w:rFonts w:ascii="Verdana" w:hAnsi="Verdana"/>
                <w:sz w:val="20"/>
                <w:szCs w:val="20"/>
              </w:rPr>
              <w:t>OPL</w:t>
            </w:r>
          </w:p>
        </w:tc>
        <w:tc>
          <w:tcPr>
            <w:tcW w:w="1904" w:type="dxa"/>
          </w:tcPr>
          <w:p w14:paraId="333BB928" w14:textId="77777777" w:rsidR="00934F28" w:rsidRPr="00B76BE0" w:rsidRDefault="00934F28">
            <w:pPr>
              <w:rPr>
                <w:rFonts w:ascii="Verdana" w:hAnsi="Verdana"/>
                <w:sz w:val="20"/>
                <w:szCs w:val="20"/>
              </w:rPr>
            </w:pPr>
          </w:p>
        </w:tc>
      </w:tr>
      <w:tr w:rsidR="00934F28" w:rsidRPr="00B76BE0" w14:paraId="5F2D39C0" w14:textId="77777777" w:rsidTr="42DBEA26">
        <w:tc>
          <w:tcPr>
            <w:tcW w:w="5529" w:type="dxa"/>
          </w:tcPr>
          <w:p w14:paraId="2FD0F98B" w14:textId="3B6E1031" w:rsidR="00934F28" w:rsidRPr="00B76BE0" w:rsidRDefault="00613B27">
            <w:pPr>
              <w:rPr>
                <w:rFonts w:ascii="Verdana" w:hAnsi="Verdana"/>
                <w:b/>
                <w:bCs/>
                <w:sz w:val="20"/>
                <w:szCs w:val="20"/>
              </w:rPr>
            </w:pPr>
            <w:r w:rsidRPr="00B76BE0">
              <w:rPr>
                <w:rFonts w:ascii="Verdana" w:hAnsi="Verdana"/>
                <w:b/>
                <w:bCs/>
                <w:sz w:val="20"/>
                <w:szCs w:val="20"/>
              </w:rPr>
              <w:lastRenderedPageBreak/>
              <w:t>Décision 1</w:t>
            </w:r>
            <w:r w:rsidR="002958A1">
              <w:rPr>
                <w:rFonts w:ascii="Verdana" w:hAnsi="Verdana"/>
                <w:b/>
                <w:bCs/>
                <w:sz w:val="20"/>
                <w:szCs w:val="20"/>
              </w:rPr>
              <w:t>4</w:t>
            </w:r>
            <w:r w:rsidRPr="00B76BE0">
              <w:rPr>
                <w:rFonts w:ascii="Verdana" w:hAnsi="Verdana"/>
                <w:b/>
                <w:bCs/>
                <w:sz w:val="20"/>
                <w:szCs w:val="20"/>
              </w:rPr>
              <w:t xml:space="preserve"> – Culture</w:t>
            </w:r>
          </w:p>
          <w:p w14:paraId="18F95878" w14:textId="77777777" w:rsidR="002958A1" w:rsidRPr="00CB6467" w:rsidRDefault="002958A1" w:rsidP="002958A1">
            <w:pPr>
              <w:pStyle w:val="Paragraphe"/>
            </w:pPr>
            <w:r w:rsidRPr="00CB6467">
              <w:t>Le Conseil des ministres :</w:t>
            </w:r>
          </w:p>
          <w:p w14:paraId="30C3AA11" w14:textId="77777777" w:rsidR="002958A1" w:rsidRPr="00CB6467" w:rsidRDefault="002958A1" w:rsidP="002958A1">
            <w:pPr>
              <w:pStyle w:val="Paragraphe"/>
              <w:numPr>
                <w:ilvl w:val="0"/>
                <w:numId w:val="35"/>
              </w:numPr>
            </w:pPr>
            <w:r w:rsidRPr="00CB6467">
              <w:t>Prend note du lancement officiel du projet de développement des Industries Culturelles et Créatives (ICC) sur financement de l’Agence française de développement et demande au Secrétariat général d’accélérer le démarrage effectif des premières activités ;</w:t>
            </w:r>
          </w:p>
          <w:p w14:paraId="5D602A09" w14:textId="77777777" w:rsidR="002958A1" w:rsidRPr="00CB6467" w:rsidRDefault="002958A1" w:rsidP="002958A1">
            <w:pPr>
              <w:pStyle w:val="Paragraphe"/>
              <w:numPr>
                <w:ilvl w:val="0"/>
                <w:numId w:val="35"/>
              </w:numPr>
            </w:pPr>
            <w:r w:rsidRPr="00CB6467">
              <w:t>Demande au Secrétariat général d’instruire avec les partenaires, notamment le Département de La Réunion et l’Organisation internationale de la Francophonie, une 4</w:t>
            </w:r>
            <w:r w:rsidRPr="00CB6467">
              <w:rPr>
                <w:vertAlign w:val="superscript"/>
              </w:rPr>
              <w:t>ème</w:t>
            </w:r>
            <w:r w:rsidRPr="00CB6467">
              <w:t xml:space="preserve"> édition du Prix Indianocéanie ;</w:t>
            </w:r>
          </w:p>
          <w:p w14:paraId="4D398FA2" w14:textId="77777777" w:rsidR="002958A1" w:rsidRPr="00CB6467" w:rsidRDefault="002958A1" w:rsidP="002958A1">
            <w:pPr>
              <w:pStyle w:val="Paragraphe"/>
              <w:numPr>
                <w:ilvl w:val="0"/>
                <w:numId w:val="35"/>
              </w:numPr>
            </w:pPr>
            <w:r w:rsidRPr="00CB6467">
              <w:t xml:space="preserve">Encourage le Secrétariat général à poursuivre sa collaboration avec les initiatives culturelles portées par les partenaires de la région, notamment le Département de la Réunion, l’Iconothèque historique de l’océan Indien et </w:t>
            </w:r>
            <w:r w:rsidRPr="00CB6467">
              <w:lastRenderedPageBreak/>
              <w:t>l’Organisation internationale de la Francophonie ;</w:t>
            </w:r>
          </w:p>
          <w:p w14:paraId="34481710" w14:textId="77777777" w:rsidR="002958A1" w:rsidRPr="00CB6467" w:rsidRDefault="002958A1" w:rsidP="002958A1">
            <w:pPr>
              <w:pStyle w:val="Paragraphe"/>
              <w:numPr>
                <w:ilvl w:val="0"/>
                <w:numId w:val="35"/>
              </w:numPr>
            </w:pPr>
            <w:r w:rsidRPr="00CB6467">
              <w:t>Confirme l'intérêt du projet conjoint avec le COMESA sur le renforcement des capacités de collecte, traitement et analyse de données statistiques des administrations en charge de l’élaboration et du suivi des politiques publiques en faveur des ICC sur financement européen (fonds HEVA du British Council) et demande au Secrétariat général d'associer les parties prenantes nationales pertinentes pour le démarrage rapide des activités ;</w:t>
            </w:r>
          </w:p>
          <w:p w14:paraId="4CA99927" w14:textId="77777777" w:rsidR="002958A1" w:rsidRPr="00CB6467" w:rsidRDefault="002958A1" w:rsidP="002958A1">
            <w:pPr>
              <w:pStyle w:val="Paragraphe"/>
              <w:numPr>
                <w:ilvl w:val="0"/>
                <w:numId w:val="35"/>
              </w:numPr>
            </w:pPr>
            <w:r w:rsidRPr="00CB6467">
              <w:t xml:space="preserve">Remercie l’Agence française de développement pour son soutien à la coopération culturelle à travers le financement du projet de développement des ICC et le Conseil départemental de La Réunion pour sa collaboration sur des initiatives communes. </w:t>
            </w:r>
          </w:p>
          <w:p w14:paraId="165A1D3A" w14:textId="4EAE8A38" w:rsidR="00613B27" w:rsidRPr="00B76BE0" w:rsidRDefault="00613B27">
            <w:pPr>
              <w:rPr>
                <w:rFonts w:ascii="Verdana" w:hAnsi="Verdana"/>
                <w:sz w:val="20"/>
                <w:szCs w:val="20"/>
              </w:rPr>
            </w:pPr>
          </w:p>
        </w:tc>
        <w:tc>
          <w:tcPr>
            <w:tcW w:w="5103" w:type="dxa"/>
          </w:tcPr>
          <w:p w14:paraId="6C96EFA0" w14:textId="6926847E" w:rsidR="3A164C2D" w:rsidRDefault="3A164C2D" w:rsidP="3A164C2D">
            <w:pPr>
              <w:jc w:val="both"/>
            </w:pPr>
            <w:proofErr w:type="gramStart"/>
            <w:r w:rsidRPr="3A164C2D">
              <w:rPr>
                <w:rFonts w:ascii="Verdana" w:eastAsia="Verdana" w:hAnsi="Verdana" w:cs="Verdana"/>
                <w:sz w:val="20"/>
                <w:szCs w:val="20"/>
              </w:rPr>
              <w:lastRenderedPageBreak/>
              <w:t>a)Activités</w:t>
            </w:r>
            <w:proofErr w:type="gramEnd"/>
            <w:r w:rsidRPr="3A164C2D">
              <w:rPr>
                <w:rFonts w:ascii="Verdana" w:eastAsia="Verdana" w:hAnsi="Verdana" w:cs="Verdana"/>
                <w:sz w:val="20"/>
                <w:szCs w:val="20"/>
              </w:rPr>
              <w:t xml:space="preserve"> du projet ICC réalisées depuis mai 2023 :</w:t>
            </w:r>
          </w:p>
          <w:p w14:paraId="2030BAD2" w14:textId="3189A6A5" w:rsidR="3A164C2D" w:rsidRDefault="3A164C2D" w:rsidP="57111726">
            <w:pPr>
              <w:jc w:val="both"/>
              <w:rPr>
                <w:rFonts w:ascii="Verdana" w:eastAsia="Verdana" w:hAnsi="Verdana" w:cs="Verdana"/>
                <w:sz w:val="20"/>
                <w:szCs w:val="20"/>
              </w:rPr>
            </w:pPr>
            <w:r w:rsidRPr="57111726">
              <w:rPr>
                <w:rFonts w:ascii="Verdana" w:eastAsia="Verdana" w:hAnsi="Verdana" w:cs="Verdana"/>
                <w:sz w:val="20"/>
                <w:szCs w:val="20"/>
              </w:rPr>
              <w:t xml:space="preserve">- </w:t>
            </w:r>
            <w:r w:rsidR="0BC614E2" w:rsidRPr="57111726">
              <w:rPr>
                <w:rFonts w:ascii="Verdana" w:eastAsia="Verdana" w:hAnsi="Verdana" w:cs="Verdana"/>
                <w:sz w:val="20"/>
                <w:szCs w:val="20"/>
              </w:rPr>
              <w:t xml:space="preserve"> Mise en ligne de la plateforme numérique </w:t>
            </w:r>
            <w:hyperlink r:id="rId10" w:history="1">
              <w:r w:rsidR="0BC614E2" w:rsidRPr="57111726">
                <w:rPr>
                  <w:rStyle w:val="Lienhypertexte"/>
                  <w:rFonts w:ascii="Verdana" w:eastAsia="Verdana" w:hAnsi="Verdana" w:cs="Verdana"/>
                  <w:sz w:val="20"/>
                  <w:szCs w:val="20"/>
                </w:rPr>
                <w:t>www.kiltir.org</w:t>
              </w:r>
            </w:hyperlink>
            <w:r w:rsidR="0BC614E2" w:rsidRPr="57111726">
              <w:rPr>
                <w:rFonts w:ascii="Verdana" w:eastAsia="Verdana" w:hAnsi="Verdana" w:cs="Verdana"/>
                <w:sz w:val="20"/>
                <w:szCs w:val="20"/>
              </w:rPr>
              <w:t xml:space="preserve"> en avril 2024 conçue pour être une ressource pour les ICC de la région</w:t>
            </w:r>
          </w:p>
          <w:p w14:paraId="09434F03" w14:textId="3A09ECAA" w:rsidR="0BC614E2" w:rsidRDefault="0BC614E2" w:rsidP="002B7F9E">
            <w:pPr>
              <w:jc w:val="both"/>
              <w:rPr>
                <w:rFonts w:ascii="Verdana" w:eastAsia="Verdana" w:hAnsi="Verdana" w:cs="Verdana"/>
                <w:sz w:val="20"/>
                <w:szCs w:val="20"/>
              </w:rPr>
            </w:pPr>
            <w:r w:rsidRPr="57111726">
              <w:rPr>
                <w:rFonts w:ascii="Verdana" w:eastAsia="Verdana" w:hAnsi="Verdana" w:cs="Verdana"/>
                <w:sz w:val="20"/>
                <w:szCs w:val="20"/>
              </w:rPr>
              <w:t xml:space="preserve">- sessions de formation sur le patrimoine et inventaire des architectures traditionnelles dans les Etats membres réalisées à Madagascar, Maurice, et aux Comores en 2023, celle des Seychelles est prévue avril </w:t>
            </w:r>
            <w:proofErr w:type="gramStart"/>
            <w:r w:rsidRPr="57111726">
              <w:rPr>
                <w:rFonts w:ascii="Verdana" w:eastAsia="Verdana" w:hAnsi="Verdana" w:cs="Verdana"/>
                <w:sz w:val="20"/>
                <w:szCs w:val="20"/>
              </w:rPr>
              <w:t>2024..</w:t>
            </w:r>
            <w:proofErr w:type="gramEnd"/>
            <w:r w:rsidRPr="57111726">
              <w:rPr>
                <w:rFonts w:ascii="Verdana" w:eastAsia="Verdana" w:hAnsi="Verdana" w:cs="Verdana"/>
                <w:sz w:val="20"/>
                <w:szCs w:val="20"/>
              </w:rPr>
              <w:t xml:space="preserve"> </w:t>
            </w:r>
          </w:p>
          <w:p w14:paraId="5DF48F05" w14:textId="440515C2" w:rsidR="0BC614E2" w:rsidRDefault="0BC614E2" w:rsidP="002B7F9E">
            <w:pPr>
              <w:jc w:val="both"/>
              <w:rPr>
                <w:rStyle w:val="Lienhypertexte"/>
                <w:rFonts w:ascii="Verdana" w:eastAsia="Verdana" w:hAnsi="Verdana" w:cs="Verdana"/>
                <w:sz w:val="20"/>
                <w:szCs w:val="20"/>
              </w:rPr>
            </w:pPr>
            <w:r w:rsidRPr="57111726">
              <w:rPr>
                <w:rFonts w:ascii="Verdana" w:eastAsia="Verdana" w:hAnsi="Verdana" w:cs="Verdana"/>
                <w:sz w:val="20"/>
                <w:szCs w:val="20"/>
              </w:rPr>
              <w:t xml:space="preserve">-  Production de 10 podcasts par pays sur le patrimoine culturel immatériel disponible sur </w:t>
            </w:r>
            <w:hyperlink r:id="rId11" w:history="1">
              <w:r w:rsidRPr="57111726">
                <w:rPr>
                  <w:rStyle w:val="Lienhypertexte"/>
                  <w:rFonts w:ascii="Verdana" w:eastAsia="Verdana" w:hAnsi="Verdana" w:cs="Verdana"/>
                  <w:sz w:val="20"/>
                  <w:szCs w:val="20"/>
                </w:rPr>
                <w:t>www.kiltir.org</w:t>
              </w:r>
            </w:hyperlink>
          </w:p>
          <w:p w14:paraId="1FF4B4D0" w14:textId="7696DEF9" w:rsidR="0BC614E2" w:rsidRDefault="0BC614E2" w:rsidP="002B7F9E">
            <w:pPr>
              <w:jc w:val="both"/>
              <w:rPr>
                <w:rFonts w:ascii="Verdana" w:eastAsia="Verdana" w:hAnsi="Verdana" w:cs="Verdana"/>
                <w:sz w:val="20"/>
                <w:szCs w:val="20"/>
              </w:rPr>
            </w:pPr>
            <w:r w:rsidRPr="57111726">
              <w:rPr>
                <w:rFonts w:ascii="Verdana" w:eastAsia="Verdana" w:hAnsi="Verdana" w:cs="Verdana"/>
                <w:sz w:val="20"/>
                <w:szCs w:val="20"/>
              </w:rPr>
              <w:t xml:space="preserve">- Soutien à 32 artistes et opérateurs culturels dans le cadre du fonds de mobilité régionale </w:t>
            </w:r>
            <w:proofErr w:type="spellStart"/>
            <w:r w:rsidRPr="57111726">
              <w:rPr>
                <w:rFonts w:ascii="Verdana" w:eastAsia="Verdana" w:hAnsi="Verdana" w:cs="Verdana"/>
                <w:sz w:val="20"/>
                <w:szCs w:val="20"/>
              </w:rPr>
              <w:t>AléVini</w:t>
            </w:r>
            <w:proofErr w:type="spellEnd"/>
          </w:p>
          <w:p w14:paraId="15488CAE" w14:textId="2D6077D4" w:rsidR="0BC614E2" w:rsidRDefault="0BC614E2" w:rsidP="002B7F9E">
            <w:pPr>
              <w:jc w:val="both"/>
              <w:rPr>
                <w:rFonts w:ascii="Calibri" w:eastAsia="Calibri" w:hAnsi="Calibri" w:cs="Calibri"/>
              </w:rPr>
            </w:pPr>
            <w:r w:rsidRPr="57111726">
              <w:rPr>
                <w:rFonts w:ascii="Calibri" w:eastAsia="Calibri" w:hAnsi="Calibri" w:cs="Calibri"/>
              </w:rPr>
              <w:t xml:space="preserve"> </w:t>
            </w:r>
          </w:p>
          <w:p w14:paraId="4DE38440" w14:textId="378818A6" w:rsidR="57111726" w:rsidRDefault="57111726" w:rsidP="002B7F9E">
            <w:pPr>
              <w:jc w:val="both"/>
              <w:rPr>
                <w:rFonts w:ascii="Calibri" w:eastAsia="Calibri" w:hAnsi="Calibri" w:cs="Calibri"/>
              </w:rPr>
            </w:pPr>
          </w:p>
          <w:p w14:paraId="622AE075" w14:textId="74C7D7A6" w:rsidR="57111726" w:rsidRDefault="57111726" w:rsidP="57111726">
            <w:pPr>
              <w:jc w:val="both"/>
              <w:rPr>
                <w:rFonts w:ascii="Verdana" w:eastAsia="Verdana" w:hAnsi="Verdana" w:cs="Verdana"/>
                <w:sz w:val="20"/>
                <w:szCs w:val="20"/>
              </w:rPr>
            </w:pPr>
          </w:p>
          <w:p w14:paraId="6896AB4F" w14:textId="19DC5917" w:rsidR="3A164C2D" w:rsidRDefault="3A164C2D" w:rsidP="3A164C2D">
            <w:pPr>
              <w:jc w:val="both"/>
            </w:pPr>
            <w:r w:rsidRPr="3A164C2D">
              <w:rPr>
                <w:rFonts w:ascii="Verdana" w:eastAsia="Verdana" w:hAnsi="Verdana" w:cs="Verdana"/>
                <w:sz w:val="20"/>
                <w:szCs w:val="20"/>
              </w:rPr>
              <w:lastRenderedPageBreak/>
              <w:t xml:space="preserve"> </w:t>
            </w:r>
          </w:p>
          <w:p w14:paraId="42ADD9AC" w14:textId="7D793838" w:rsidR="3A164C2D" w:rsidRDefault="3A164C2D" w:rsidP="3A164C2D">
            <w:pPr>
              <w:jc w:val="both"/>
            </w:pPr>
            <w:r w:rsidRPr="3A164C2D">
              <w:rPr>
                <w:rFonts w:ascii="Verdana" w:eastAsia="Verdana" w:hAnsi="Verdana" w:cs="Verdana"/>
                <w:sz w:val="20"/>
                <w:szCs w:val="20"/>
              </w:rPr>
              <w:t>b) la 4</w:t>
            </w:r>
            <w:r w:rsidRPr="3A164C2D">
              <w:rPr>
                <w:rFonts w:ascii="Verdana" w:eastAsia="Verdana" w:hAnsi="Verdana" w:cs="Verdana"/>
                <w:sz w:val="20"/>
                <w:szCs w:val="20"/>
                <w:vertAlign w:val="superscript"/>
              </w:rPr>
              <w:t>ème</w:t>
            </w:r>
            <w:r w:rsidRPr="3A164C2D">
              <w:rPr>
                <w:rFonts w:ascii="Verdana" w:eastAsia="Verdana" w:hAnsi="Verdana" w:cs="Verdana"/>
                <w:sz w:val="20"/>
                <w:szCs w:val="20"/>
              </w:rPr>
              <w:t xml:space="preserve"> Edition du Prix Indianocéanie est prévue pour l’année prochaine et l’organisation est en cours. </w:t>
            </w:r>
          </w:p>
          <w:p w14:paraId="0B6FA72A" w14:textId="7EC8260C" w:rsidR="3A164C2D" w:rsidRDefault="3A164C2D" w:rsidP="3A164C2D">
            <w:r w:rsidRPr="3A164C2D">
              <w:rPr>
                <w:rFonts w:ascii="Verdana" w:eastAsia="Verdana" w:hAnsi="Verdana" w:cs="Verdana"/>
                <w:sz w:val="20"/>
                <w:szCs w:val="20"/>
              </w:rPr>
              <w:t xml:space="preserve"> </w:t>
            </w:r>
          </w:p>
          <w:p w14:paraId="2856EE4D" w14:textId="6505D2F3" w:rsidR="3A164C2D" w:rsidRDefault="3A164C2D" w:rsidP="57111726">
            <w:pPr>
              <w:rPr>
                <w:rFonts w:ascii="Verdana" w:eastAsia="Verdana" w:hAnsi="Verdana" w:cs="Verdana"/>
                <w:color w:val="FF0000"/>
                <w:sz w:val="20"/>
                <w:szCs w:val="20"/>
              </w:rPr>
            </w:pPr>
            <w:r w:rsidRPr="57111726">
              <w:rPr>
                <w:rFonts w:ascii="Verdana" w:eastAsia="Verdana" w:hAnsi="Verdana" w:cs="Verdana"/>
                <w:sz w:val="20"/>
                <w:szCs w:val="20"/>
              </w:rPr>
              <w:t xml:space="preserve">c) Le Secrétariat général de la COI a organisé le 20 octobre la cérémonie de remise des prix du Prix Indianocéanie jeunesse qui a récompensé des lauréates d’une école de Maurice. 24 œuvres ont été reçues. Les lauréates ont gagné un séjour d’une semaine à la Réunion autour du thème de l’écriture financé par le Département de la Réunion, des livres et </w:t>
            </w:r>
            <w:r w:rsidR="7BA131A5" w:rsidRPr="008722F6">
              <w:rPr>
                <w:rFonts w:ascii="Verdana" w:eastAsia="Verdana" w:hAnsi="Verdana" w:cs="Verdana"/>
                <w:sz w:val="20"/>
                <w:szCs w:val="20"/>
              </w:rPr>
              <w:t>une bourse de 2100 euros à partager équitablement entre chacune d’entre elles.</w:t>
            </w:r>
          </w:p>
          <w:p w14:paraId="49F51F54" w14:textId="1FC2612D" w:rsidR="3A164C2D" w:rsidRDefault="3A164C2D" w:rsidP="57111726">
            <w:pPr>
              <w:rPr>
                <w:rFonts w:ascii="Verdana" w:eastAsia="Verdana" w:hAnsi="Verdana" w:cs="Verdana"/>
                <w:sz w:val="20"/>
                <w:szCs w:val="20"/>
              </w:rPr>
            </w:pPr>
          </w:p>
          <w:p w14:paraId="1475000C" w14:textId="7DC4EC59" w:rsidR="3A164C2D" w:rsidRDefault="3A164C2D" w:rsidP="3A164C2D">
            <w:r w:rsidRPr="3A164C2D">
              <w:rPr>
                <w:rFonts w:ascii="Verdana" w:eastAsia="Verdana" w:hAnsi="Verdana" w:cs="Verdana"/>
                <w:sz w:val="20"/>
                <w:szCs w:val="20"/>
              </w:rPr>
              <w:t xml:space="preserve"> </w:t>
            </w:r>
          </w:p>
          <w:p w14:paraId="358681D8" w14:textId="506E01E7" w:rsidR="3A164C2D" w:rsidRDefault="3A164C2D" w:rsidP="002B7F9E">
            <w:pPr>
              <w:spacing w:line="259" w:lineRule="auto"/>
              <w:jc w:val="both"/>
            </w:pPr>
            <w:r>
              <w:t xml:space="preserve">d) </w:t>
            </w:r>
            <w:r w:rsidRPr="57111726">
              <w:rPr>
                <w:rFonts w:ascii="Verdana" w:eastAsia="Verdana" w:hAnsi="Verdana" w:cs="Verdana"/>
                <w:sz w:val="20"/>
                <w:szCs w:val="20"/>
              </w:rPr>
              <w:t xml:space="preserve">Dans le cadre du projet « Etat des lieux du cadre législatif des industries culturelles et créatives (ICC) » financé par </w:t>
            </w:r>
            <w:proofErr w:type="spellStart"/>
            <w:r w:rsidRPr="57111726">
              <w:rPr>
                <w:rFonts w:ascii="Verdana" w:eastAsia="Verdana" w:hAnsi="Verdana" w:cs="Verdana"/>
                <w:sz w:val="20"/>
                <w:szCs w:val="20"/>
              </w:rPr>
              <w:t>Heva</w:t>
            </w:r>
            <w:proofErr w:type="spellEnd"/>
            <w:r w:rsidRPr="57111726">
              <w:rPr>
                <w:rFonts w:ascii="Verdana" w:eastAsia="Verdana" w:hAnsi="Verdana" w:cs="Verdana"/>
                <w:sz w:val="20"/>
                <w:szCs w:val="20"/>
              </w:rPr>
              <w:t xml:space="preserve"> Funds pour un montant total de 180,000 euros sur une période </w:t>
            </w:r>
            <w:proofErr w:type="gramStart"/>
            <w:r w:rsidRPr="57111726">
              <w:rPr>
                <w:rFonts w:ascii="Verdana" w:eastAsia="Verdana" w:hAnsi="Verdana" w:cs="Verdana"/>
                <w:sz w:val="20"/>
                <w:szCs w:val="20"/>
              </w:rPr>
              <w:t>de  mois</w:t>
            </w:r>
            <w:proofErr w:type="gramEnd"/>
            <w:r w:rsidRPr="57111726">
              <w:rPr>
                <w:rFonts w:ascii="Verdana" w:eastAsia="Verdana" w:hAnsi="Verdana" w:cs="Verdana"/>
                <w:sz w:val="20"/>
                <w:szCs w:val="20"/>
              </w:rPr>
              <w:t xml:space="preserve">, les activités suivantes </w:t>
            </w:r>
            <w:r w:rsidR="04E61686">
              <w:t>ont été réalisées:</w:t>
            </w:r>
          </w:p>
          <w:p w14:paraId="499762FC" w14:textId="274BD788" w:rsidR="3A164C2D" w:rsidRDefault="3A164C2D" w:rsidP="3A164C2D">
            <w:pPr>
              <w:jc w:val="both"/>
              <w:rPr>
                <w:rFonts w:ascii="Verdana" w:eastAsia="Verdana" w:hAnsi="Verdana" w:cs="Verdana"/>
                <w:sz w:val="20"/>
                <w:szCs w:val="20"/>
              </w:rPr>
            </w:pPr>
            <w:r w:rsidRPr="57111726">
              <w:rPr>
                <w:rFonts w:ascii="Verdana" w:eastAsia="Verdana" w:hAnsi="Verdana" w:cs="Verdana"/>
                <w:sz w:val="20"/>
                <w:szCs w:val="20"/>
              </w:rPr>
              <w:t>- étude sur les politiques</w:t>
            </w:r>
            <w:r w:rsidR="3600B0C9" w:rsidRPr="57111726">
              <w:rPr>
                <w:rFonts w:ascii="Verdana" w:eastAsia="Verdana" w:hAnsi="Verdana" w:cs="Verdana"/>
                <w:sz w:val="20"/>
                <w:szCs w:val="20"/>
              </w:rPr>
              <w:t xml:space="preserve"> </w:t>
            </w:r>
            <w:proofErr w:type="gramStart"/>
            <w:r w:rsidR="3600B0C9" w:rsidRPr="57111726">
              <w:rPr>
                <w:rFonts w:ascii="Verdana" w:eastAsia="Verdana" w:hAnsi="Verdana" w:cs="Verdana"/>
                <w:sz w:val="20"/>
                <w:szCs w:val="20"/>
              </w:rPr>
              <w:t>publiques</w:t>
            </w:r>
            <w:r w:rsidRPr="57111726">
              <w:rPr>
                <w:rFonts w:ascii="Verdana" w:eastAsia="Verdana" w:hAnsi="Verdana" w:cs="Verdana"/>
                <w:sz w:val="20"/>
                <w:szCs w:val="20"/>
              </w:rPr>
              <w:t xml:space="preserve">  qui</w:t>
            </w:r>
            <w:proofErr w:type="gramEnd"/>
            <w:r w:rsidRPr="57111726">
              <w:rPr>
                <w:rFonts w:ascii="Verdana" w:eastAsia="Verdana" w:hAnsi="Verdana" w:cs="Verdana"/>
                <w:sz w:val="20"/>
                <w:szCs w:val="20"/>
              </w:rPr>
              <w:t xml:space="preserve"> régissent les ICC dans les Etats membres de la COI et du COMESA</w:t>
            </w:r>
          </w:p>
          <w:p w14:paraId="6D6504FB" w14:textId="56562FBC" w:rsidR="3A164C2D" w:rsidRDefault="3A164C2D" w:rsidP="57111726">
            <w:pPr>
              <w:jc w:val="both"/>
              <w:rPr>
                <w:rFonts w:ascii="Verdana" w:eastAsia="Verdana" w:hAnsi="Verdana" w:cs="Verdana"/>
                <w:sz w:val="20"/>
                <w:szCs w:val="20"/>
              </w:rPr>
            </w:pPr>
            <w:r w:rsidRPr="57111726">
              <w:rPr>
                <w:rFonts w:ascii="Verdana" w:eastAsia="Verdana" w:hAnsi="Verdana" w:cs="Verdana"/>
                <w:sz w:val="20"/>
                <w:szCs w:val="20"/>
              </w:rPr>
              <w:t xml:space="preserve">- production de vidéos informatives au Kenya et à Madagascar afin d’accroître les revenus tirés des droits d’auteurs en renforçant les connaissances des artistes de ces pays. - Atelier de formation sur les </w:t>
            </w:r>
            <w:r w:rsidRPr="57111726">
              <w:rPr>
                <w:rFonts w:ascii="Verdana" w:eastAsia="Verdana" w:hAnsi="Verdana" w:cs="Verdana"/>
                <w:i/>
                <w:iCs/>
                <w:sz w:val="20"/>
                <w:szCs w:val="20"/>
              </w:rPr>
              <w:t xml:space="preserve">Indicateurs Culture|2030 de l'UNESCO </w:t>
            </w:r>
            <w:r w:rsidRPr="57111726">
              <w:rPr>
                <w:rFonts w:ascii="Verdana" w:eastAsia="Verdana" w:hAnsi="Verdana" w:cs="Verdana"/>
                <w:sz w:val="20"/>
                <w:szCs w:val="20"/>
              </w:rPr>
              <w:t xml:space="preserve">pour les Etats membres de la COI dans </w:t>
            </w:r>
            <w:r w:rsidRPr="57111726">
              <w:rPr>
                <w:rFonts w:ascii="Verdana" w:eastAsia="Verdana" w:hAnsi="Verdana" w:cs="Verdana"/>
                <w:sz w:val="20"/>
                <w:szCs w:val="20"/>
              </w:rPr>
              <w:lastRenderedPageBreak/>
              <w:t>le cadre du projet ICC et pour les pays du COMESA (organisé à Maurice du 11 au 13 décembre)</w:t>
            </w:r>
            <w:r w:rsidR="0DDC824C" w:rsidRPr="57111726">
              <w:rPr>
                <w:rFonts w:ascii="Verdana" w:eastAsia="Verdana" w:hAnsi="Verdana" w:cs="Verdana"/>
                <w:sz w:val="20"/>
                <w:szCs w:val="20"/>
              </w:rPr>
              <w:t xml:space="preserve"> afin d’outiller les Etats membres à la collecte de données pour mesurer la contribution socio-économique des ICC dans leurs pays.</w:t>
            </w:r>
          </w:p>
          <w:p w14:paraId="63FD0F81" w14:textId="164841F6" w:rsidR="3A164C2D" w:rsidRDefault="3A164C2D" w:rsidP="57111726">
            <w:pPr>
              <w:jc w:val="both"/>
              <w:rPr>
                <w:rFonts w:ascii="Verdana" w:eastAsia="Verdana" w:hAnsi="Verdana" w:cs="Verdana"/>
                <w:sz w:val="20"/>
                <w:szCs w:val="20"/>
              </w:rPr>
            </w:pPr>
          </w:p>
          <w:p w14:paraId="02904294" w14:textId="7CB6C379" w:rsidR="3A164C2D" w:rsidRDefault="3A164C2D" w:rsidP="3A164C2D">
            <w:pPr>
              <w:rPr>
                <w:rFonts w:ascii="Verdana" w:eastAsia="Verdana" w:hAnsi="Verdana" w:cs="Verdana"/>
                <w:sz w:val="20"/>
                <w:szCs w:val="20"/>
              </w:rPr>
            </w:pPr>
          </w:p>
        </w:tc>
        <w:tc>
          <w:tcPr>
            <w:tcW w:w="1984" w:type="dxa"/>
          </w:tcPr>
          <w:p w14:paraId="43321CA0" w14:textId="78319B91" w:rsidR="00934F28" w:rsidRPr="00B76BE0" w:rsidRDefault="00934F28" w:rsidP="2E6B9154">
            <w:pPr>
              <w:rPr>
                <w:rFonts w:ascii="Verdana" w:hAnsi="Verdana"/>
                <w:sz w:val="20"/>
                <w:szCs w:val="20"/>
              </w:rPr>
            </w:pPr>
          </w:p>
          <w:p w14:paraId="70DD5E86" w14:textId="3F0CB72A" w:rsidR="00934F28" w:rsidRPr="00B76BE0" w:rsidRDefault="00934F28" w:rsidP="2E6B9154">
            <w:pPr>
              <w:rPr>
                <w:rFonts w:ascii="Verdana" w:hAnsi="Verdana"/>
                <w:sz w:val="20"/>
                <w:szCs w:val="20"/>
              </w:rPr>
            </w:pPr>
          </w:p>
          <w:p w14:paraId="4C9FAF98" w14:textId="4EA4079C" w:rsidR="00934F28" w:rsidRPr="00B76BE0" w:rsidRDefault="00934F28" w:rsidP="2E6B9154">
            <w:pPr>
              <w:rPr>
                <w:rFonts w:ascii="Verdana" w:hAnsi="Verdana"/>
                <w:sz w:val="20"/>
                <w:szCs w:val="20"/>
              </w:rPr>
            </w:pPr>
          </w:p>
          <w:p w14:paraId="3EDD5D96" w14:textId="306B2AED" w:rsidR="00934F28" w:rsidRPr="00B76BE0" w:rsidRDefault="00934F28" w:rsidP="2E6B9154">
            <w:pPr>
              <w:rPr>
                <w:rFonts w:ascii="Verdana" w:hAnsi="Verdana"/>
                <w:sz w:val="20"/>
                <w:szCs w:val="20"/>
              </w:rPr>
            </w:pPr>
          </w:p>
          <w:p w14:paraId="5A07D611" w14:textId="0C558783" w:rsidR="00934F28" w:rsidRPr="00B76BE0" w:rsidRDefault="1C2FDBB9" w:rsidP="2E6B9154">
            <w:pPr>
              <w:rPr>
                <w:rFonts w:ascii="Verdana" w:hAnsi="Verdana"/>
                <w:sz w:val="20"/>
                <w:szCs w:val="20"/>
              </w:rPr>
            </w:pPr>
            <w:r w:rsidRPr="2E6B9154">
              <w:rPr>
                <w:rFonts w:ascii="Verdana" w:hAnsi="Verdana"/>
                <w:sz w:val="20"/>
                <w:szCs w:val="20"/>
              </w:rPr>
              <w:t>PFN et OPL Seychelles</w:t>
            </w:r>
          </w:p>
        </w:tc>
        <w:tc>
          <w:tcPr>
            <w:tcW w:w="1904" w:type="dxa"/>
          </w:tcPr>
          <w:p w14:paraId="79AC39AA" w14:textId="77777777" w:rsidR="00934F28" w:rsidRPr="00B76BE0" w:rsidRDefault="00934F28">
            <w:pPr>
              <w:rPr>
                <w:rFonts w:ascii="Verdana" w:hAnsi="Verdana"/>
                <w:sz w:val="20"/>
                <w:szCs w:val="20"/>
              </w:rPr>
            </w:pPr>
          </w:p>
        </w:tc>
      </w:tr>
      <w:tr w:rsidR="00613B27" w:rsidRPr="00B76BE0" w14:paraId="4A0790A5" w14:textId="77777777" w:rsidTr="42DBEA26">
        <w:tc>
          <w:tcPr>
            <w:tcW w:w="14520" w:type="dxa"/>
            <w:gridSpan w:val="4"/>
            <w:shd w:val="clear" w:color="auto" w:fill="ED7D31" w:themeFill="accent2"/>
          </w:tcPr>
          <w:p w14:paraId="29A214E0" w14:textId="0EA30869" w:rsidR="00613B27" w:rsidRPr="00B76BE0" w:rsidRDefault="00613B27" w:rsidP="00B76BE0">
            <w:pPr>
              <w:pStyle w:val="Titre2"/>
              <w:rPr>
                <w:rFonts w:ascii="Verdana" w:hAnsi="Verdana"/>
                <w:b/>
                <w:bCs/>
                <w:sz w:val="20"/>
                <w:szCs w:val="20"/>
              </w:rPr>
            </w:pPr>
            <w:bookmarkStart w:id="2" w:name="_Toc148092201"/>
            <w:r w:rsidRPr="00B76BE0">
              <w:rPr>
                <w:rFonts w:ascii="Verdana" w:hAnsi="Verdana"/>
                <w:b/>
                <w:bCs/>
                <w:color w:val="FFFFFF" w:themeColor="background1"/>
                <w:sz w:val="20"/>
                <w:szCs w:val="20"/>
              </w:rPr>
              <w:lastRenderedPageBreak/>
              <w:t>Administration et finance</w:t>
            </w:r>
            <w:bookmarkEnd w:id="2"/>
          </w:p>
        </w:tc>
      </w:tr>
      <w:tr w:rsidR="00934F28" w:rsidRPr="00B76BE0" w14:paraId="6D36A890" w14:textId="77777777" w:rsidTr="42DBEA26">
        <w:tc>
          <w:tcPr>
            <w:tcW w:w="5529" w:type="dxa"/>
          </w:tcPr>
          <w:p w14:paraId="04A935A3" w14:textId="5ABF24CC" w:rsidR="00934F28" w:rsidRPr="00B76BE0" w:rsidRDefault="00613B27">
            <w:pPr>
              <w:rPr>
                <w:rFonts w:ascii="Verdana" w:hAnsi="Verdana"/>
                <w:b/>
                <w:bCs/>
                <w:sz w:val="20"/>
                <w:szCs w:val="20"/>
              </w:rPr>
            </w:pPr>
            <w:r w:rsidRPr="00B76BE0">
              <w:rPr>
                <w:rFonts w:ascii="Verdana" w:hAnsi="Verdana"/>
                <w:b/>
                <w:bCs/>
                <w:sz w:val="20"/>
                <w:szCs w:val="20"/>
              </w:rPr>
              <w:t>Décision 1</w:t>
            </w:r>
            <w:r w:rsidR="007F2094">
              <w:rPr>
                <w:rFonts w:ascii="Verdana" w:hAnsi="Verdana"/>
                <w:b/>
                <w:bCs/>
                <w:sz w:val="20"/>
                <w:szCs w:val="20"/>
              </w:rPr>
              <w:t>5</w:t>
            </w:r>
            <w:r w:rsidRPr="00B76BE0">
              <w:rPr>
                <w:rFonts w:ascii="Verdana" w:hAnsi="Verdana"/>
                <w:b/>
                <w:bCs/>
                <w:sz w:val="20"/>
                <w:szCs w:val="20"/>
              </w:rPr>
              <w:t xml:space="preserve"> – </w:t>
            </w:r>
            <w:r w:rsidR="007F2094">
              <w:rPr>
                <w:rFonts w:ascii="Verdana" w:hAnsi="Verdana"/>
                <w:b/>
                <w:bCs/>
                <w:sz w:val="20"/>
                <w:szCs w:val="20"/>
              </w:rPr>
              <w:t>Audit</w:t>
            </w:r>
          </w:p>
          <w:p w14:paraId="1DC6B279" w14:textId="77777777" w:rsidR="00C97D26" w:rsidRPr="002B3521" w:rsidRDefault="00C97D26" w:rsidP="00C97D26">
            <w:pPr>
              <w:pStyle w:val="Default"/>
              <w:spacing w:after="160"/>
              <w:jc w:val="both"/>
              <w:rPr>
                <w:sz w:val="20"/>
                <w:szCs w:val="20"/>
              </w:rPr>
            </w:pPr>
            <w:r w:rsidRPr="002B3521">
              <w:rPr>
                <w:sz w:val="20"/>
                <w:szCs w:val="20"/>
              </w:rPr>
              <w:t xml:space="preserve">Le Conseil des ministres : </w:t>
            </w:r>
          </w:p>
          <w:p w14:paraId="6AB991B7" w14:textId="77777777" w:rsidR="00C97D26" w:rsidRPr="002B3521" w:rsidRDefault="00C97D26" w:rsidP="00C97D26">
            <w:pPr>
              <w:pStyle w:val="Default"/>
              <w:spacing w:after="160"/>
              <w:ind w:left="537" w:hanging="358"/>
              <w:jc w:val="both"/>
              <w:rPr>
                <w:sz w:val="20"/>
                <w:szCs w:val="20"/>
              </w:rPr>
            </w:pPr>
            <w:r w:rsidRPr="002B3521">
              <w:rPr>
                <w:sz w:val="20"/>
                <w:szCs w:val="20"/>
              </w:rPr>
              <w:t xml:space="preserve">a) Prend note du rapport 2022 du président du Comité d’audit et des risques (CAR) ; </w:t>
            </w:r>
          </w:p>
          <w:p w14:paraId="368CED18" w14:textId="164E67E5" w:rsidR="00613B27" w:rsidRPr="00C97D26" w:rsidRDefault="00C97D26" w:rsidP="00C97D26">
            <w:pPr>
              <w:pStyle w:val="Default"/>
              <w:spacing w:after="160"/>
              <w:ind w:left="537" w:hanging="358"/>
              <w:jc w:val="both"/>
              <w:rPr>
                <w:sz w:val="20"/>
                <w:szCs w:val="20"/>
              </w:rPr>
            </w:pPr>
            <w:r w:rsidRPr="002B3521">
              <w:rPr>
                <w:sz w:val="20"/>
                <w:szCs w:val="20"/>
              </w:rPr>
              <w:t xml:space="preserve">b) Donne quitus au Secrétaire général sur l’état financier 2022 examiné et validé par le CAR lors de sa réunion du 05 mai 2023. </w:t>
            </w:r>
          </w:p>
        </w:tc>
        <w:tc>
          <w:tcPr>
            <w:tcW w:w="5103" w:type="dxa"/>
          </w:tcPr>
          <w:p w14:paraId="70709DAF" w14:textId="2BE2E136" w:rsidR="00934F28" w:rsidRPr="00B76BE0" w:rsidRDefault="00934F28" w:rsidP="6E33F9FE">
            <w:pPr>
              <w:rPr>
                <w:rFonts w:ascii="Verdana" w:hAnsi="Verdana"/>
                <w:sz w:val="20"/>
                <w:szCs w:val="20"/>
              </w:rPr>
            </w:pPr>
          </w:p>
          <w:p w14:paraId="6272A49C" w14:textId="69C908D2" w:rsidR="00934F28" w:rsidRPr="00B76BE0" w:rsidRDefault="00934F28" w:rsidP="6E33F9FE">
            <w:pPr>
              <w:rPr>
                <w:rFonts w:ascii="Verdana" w:hAnsi="Verdana"/>
                <w:sz w:val="20"/>
                <w:szCs w:val="20"/>
              </w:rPr>
            </w:pPr>
          </w:p>
          <w:p w14:paraId="3D16AAD5" w14:textId="1471EBE4" w:rsidR="00934F28" w:rsidRPr="00B76BE0" w:rsidRDefault="00934F28" w:rsidP="6E33F9FE">
            <w:pPr>
              <w:rPr>
                <w:rFonts w:ascii="Verdana" w:hAnsi="Verdana"/>
                <w:sz w:val="20"/>
                <w:szCs w:val="20"/>
              </w:rPr>
            </w:pPr>
          </w:p>
          <w:p w14:paraId="57709599" w14:textId="699B3DDF" w:rsidR="00934F28" w:rsidRPr="00B76BE0" w:rsidRDefault="00934F28" w:rsidP="6E33F9FE">
            <w:pPr>
              <w:rPr>
                <w:rFonts w:ascii="Verdana" w:hAnsi="Verdana"/>
                <w:sz w:val="20"/>
                <w:szCs w:val="20"/>
              </w:rPr>
            </w:pPr>
          </w:p>
        </w:tc>
        <w:tc>
          <w:tcPr>
            <w:tcW w:w="1984" w:type="dxa"/>
          </w:tcPr>
          <w:p w14:paraId="1527ED4B" w14:textId="77777777" w:rsidR="00934F28" w:rsidRPr="00B76BE0" w:rsidRDefault="00934F28">
            <w:pPr>
              <w:rPr>
                <w:rFonts w:ascii="Verdana" w:hAnsi="Verdana"/>
                <w:sz w:val="20"/>
                <w:szCs w:val="20"/>
              </w:rPr>
            </w:pPr>
          </w:p>
        </w:tc>
        <w:tc>
          <w:tcPr>
            <w:tcW w:w="1904" w:type="dxa"/>
          </w:tcPr>
          <w:p w14:paraId="37C72080" w14:textId="77777777" w:rsidR="00934F28" w:rsidRPr="00B76BE0" w:rsidRDefault="00934F28">
            <w:pPr>
              <w:rPr>
                <w:rFonts w:ascii="Verdana" w:hAnsi="Verdana"/>
                <w:sz w:val="20"/>
                <w:szCs w:val="20"/>
              </w:rPr>
            </w:pPr>
          </w:p>
        </w:tc>
      </w:tr>
      <w:tr w:rsidR="00613B27" w:rsidRPr="00B76BE0" w14:paraId="4BC4BAB3" w14:textId="77777777" w:rsidTr="42DBEA26">
        <w:tc>
          <w:tcPr>
            <w:tcW w:w="14520" w:type="dxa"/>
            <w:gridSpan w:val="4"/>
            <w:shd w:val="clear" w:color="auto" w:fill="ED7D31" w:themeFill="accent2"/>
          </w:tcPr>
          <w:p w14:paraId="066E2D19" w14:textId="26AD3C44" w:rsidR="00613B27" w:rsidRPr="00B76BE0" w:rsidRDefault="006F3EE2" w:rsidP="00B76BE0">
            <w:pPr>
              <w:pStyle w:val="Titre2"/>
              <w:rPr>
                <w:rFonts w:ascii="Verdana" w:hAnsi="Verdana"/>
                <w:b/>
                <w:bCs/>
                <w:sz w:val="20"/>
                <w:szCs w:val="20"/>
              </w:rPr>
            </w:pPr>
            <w:bookmarkStart w:id="3" w:name="_Toc148092202"/>
            <w:r>
              <w:rPr>
                <w:rFonts w:ascii="Verdana" w:hAnsi="Verdana"/>
                <w:b/>
                <w:bCs/>
                <w:color w:val="FFFFFF" w:themeColor="background1"/>
                <w:sz w:val="20"/>
                <w:szCs w:val="20"/>
              </w:rPr>
              <w:t>Passation</w:t>
            </w:r>
            <w:r w:rsidR="00613B27" w:rsidRPr="00B76BE0">
              <w:rPr>
                <w:rFonts w:ascii="Verdana" w:hAnsi="Verdana"/>
                <w:b/>
                <w:bCs/>
                <w:color w:val="FFFFFF" w:themeColor="background1"/>
                <w:sz w:val="20"/>
                <w:szCs w:val="20"/>
              </w:rPr>
              <w:t xml:space="preserve"> à la présidence du C</w:t>
            </w:r>
            <w:r>
              <w:rPr>
                <w:rFonts w:ascii="Verdana" w:hAnsi="Verdana"/>
                <w:b/>
                <w:bCs/>
                <w:color w:val="FFFFFF" w:themeColor="background1"/>
                <w:sz w:val="20"/>
                <w:szCs w:val="20"/>
              </w:rPr>
              <w:t>onseil des ministres de la COI</w:t>
            </w:r>
            <w:bookmarkEnd w:id="3"/>
          </w:p>
        </w:tc>
      </w:tr>
      <w:tr w:rsidR="00B76BE0" w:rsidRPr="00B76BE0" w14:paraId="105A9E72" w14:textId="77777777" w:rsidTr="42DBEA26">
        <w:tc>
          <w:tcPr>
            <w:tcW w:w="10632" w:type="dxa"/>
            <w:gridSpan w:val="2"/>
          </w:tcPr>
          <w:p w14:paraId="0F7685F6" w14:textId="77777777" w:rsidR="004700EF" w:rsidRPr="004700EF" w:rsidRDefault="004700EF" w:rsidP="004700EF">
            <w:pPr>
              <w:spacing w:after="120" w:line="276" w:lineRule="auto"/>
              <w:rPr>
                <w:rFonts w:ascii="Verdana" w:hAnsi="Verdana"/>
                <w:b/>
                <w:bCs/>
                <w:sz w:val="20"/>
                <w:szCs w:val="20"/>
              </w:rPr>
            </w:pPr>
            <w:r w:rsidRPr="004700EF">
              <w:rPr>
                <w:rFonts w:ascii="Verdana" w:hAnsi="Verdana"/>
                <w:b/>
                <w:bCs/>
                <w:sz w:val="20"/>
                <w:szCs w:val="20"/>
              </w:rPr>
              <w:t>Décision 16. Passation et motion de remerciement</w:t>
            </w:r>
          </w:p>
          <w:p w14:paraId="50FDEC7B" w14:textId="77777777" w:rsidR="004700EF" w:rsidRPr="00245409" w:rsidRDefault="004700EF" w:rsidP="004700EF">
            <w:pPr>
              <w:spacing w:after="120" w:line="276" w:lineRule="auto"/>
              <w:jc w:val="both"/>
              <w:rPr>
                <w:rFonts w:ascii="Verdana" w:hAnsi="Verdana"/>
                <w:sz w:val="20"/>
                <w:szCs w:val="20"/>
              </w:rPr>
            </w:pPr>
            <w:r w:rsidRPr="00245409">
              <w:rPr>
                <w:rFonts w:ascii="Verdana" w:hAnsi="Verdana"/>
                <w:sz w:val="20"/>
                <w:szCs w:val="20"/>
              </w:rPr>
              <w:t xml:space="preserve">Le </w:t>
            </w:r>
            <w:r>
              <w:rPr>
                <w:rFonts w:ascii="Verdana" w:hAnsi="Verdana"/>
                <w:sz w:val="20"/>
                <w:szCs w:val="20"/>
              </w:rPr>
              <w:t>Conseil des ministres remercie la présidence malagasy de la COI pour la qualité de son mandat et l’organisation de cette 37</w:t>
            </w:r>
            <w:r w:rsidRPr="009B600D">
              <w:rPr>
                <w:rFonts w:ascii="Verdana" w:hAnsi="Verdana"/>
                <w:sz w:val="20"/>
                <w:szCs w:val="20"/>
                <w:vertAlign w:val="superscript"/>
              </w:rPr>
              <w:t>e</w:t>
            </w:r>
            <w:r>
              <w:rPr>
                <w:rFonts w:ascii="Verdana" w:hAnsi="Verdana"/>
                <w:sz w:val="20"/>
                <w:szCs w:val="20"/>
              </w:rPr>
              <w:t xml:space="preserve"> session ordinaire du Conseil des ministres et félicite la République de Maurice pour sa prise de fonction à la présidence de l’organisation.  </w:t>
            </w:r>
          </w:p>
          <w:p w14:paraId="5C6EE1C0" w14:textId="7A0AE816" w:rsidR="00B76BE0" w:rsidRPr="00B76BE0" w:rsidRDefault="00B76BE0">
            <w:pPr>
              <w:rPr>
                <w:rFonts w:ascii="Verdana" w:hAnsi="Verdana"/>
                <w:sz w:val="20"/>
                <w:szCs w:val="20"/>
              </w:rPr>
            </w:pPr>
          </w:p>
        </w:tc>
        <w:tc>
          <w:tcPr>
            <w:tcW w:w="1984" w:type="dxa"/>
          </w:tcPr>
          <w:p w14:paraId="24D76FC6" w14:textId="77777777" w:rsidR="00B76BE0" w:rsidRPr="00B76BE0" w:rsidRDefault="00B76BE0">
            <w:pPr>
              <w:rPr>
                <w:rFonts w:ascii="Verdana" w:hAnsi="Verdana"/>
                <w:sz w:val="20"/>
                <w:szCs w:val="20"/>
              </w:rPr>
            </w:pPr>
          </w:p>
        </w:tc>
        <w:tc>
          <w:tcPr>
            <w:tcW w:w="1904" w:type="dxa"/>
          </w:tcPr>
          <w:p w14:paraId="77E7BD6B" w14:textId="77777777" w:rsidR="00B76BE0" w:rsidRPr="00B76BE0" w:rsidRDefault="00B76BE0">
            <w:pPr>
              <w:rPr>
                <w:rFonts w:ascii="Verdana" w:hAnsi="Verdana"/>
                <w:sz w:val="20"/>
                <w:szCs w:val="20"/>
              </w:rPr>
            </w:pPr>
          </w:p>
        </w:tc>
      </w:tr>
    </w:tbl>
    <w:p w14:paraId="5A16DCE9" w14:textId="77777777" w:rsidR="00293A06" w:rsidRDefault="00293A06"/>
    <w:p w14:paraId="7E0DD4D3" w14:textId="77777777" w:rsidR="00293A06" w:rsidRDefault="00293A06"/>
    <w:sectPr w:rsidR="00293A06" w:rsidSect="007120FC">
      <w:pgSz w:w="16838" w:h="11906" w:orient="landscape"/>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E0F7" w14:textId="77777777" w:rsidR="007120FC" w:rsidRDefault="007120FC" w:rsidP="00B76BE0">
      <w:pPr>
        <w:spacing w:after="0" w:line="240" w:lineRule="auto"/>
      </w:pPr>
      <w:r>
        <w:separator/>
      </w:r>
    </w:p>
  </w:endnote>
  <w:endnote w:type="continuationSeparator" w:id="0">
    <w:p w14:paraId="41FFA4C4" w14:textId="77777777" w:rsidR="007120FC" w:rsidRDefault="007120FC" w:rsidP="00B76BE0">
      <w:pPr>
        <w:spacing w:after="0" w:line="240" w:lineRule="auto"/>
      </w:pPr>
      <w:r>
        <w:continuationSeparator/>
      </w:r>
    </w:p>
  </w:endnote>
  <w:endnote w:type="continuationNotice" w:id="1">
    <w:p w14:paraId="24D29143" w14:textId="77777777" w:rsidR="007120FC" w:rsidRDefault="00712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213627"/>
      <w:docPartObj>
        <w:docPartGallery w:val="Page Numbers (Bottom of Page)"/>
        <w:docPartUnique/>
      </w:docPartObj>
    </w:sdtPr>
    <w:sdtEndPr/>
    <w:sdtContent>
      <w:p w14:paraId="46BBF68D" w14:textId="0FFB1631" w:rsidR="00B76BE0" w:rsidRDefault="00B76BE0" w:rsidP="00B76BE0">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69D7F97D" w14:textId="77777777" w:rsidR="00B76BE0" w:rsidRDefault="00B76B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07BE" w14:textId="77777777" w:rsidR="007120FC" w:rsidRDefault="007120FC" w:rsidP="00B76BE0">
      <w:pPr>
        <w:spacing w:after="0" w:line="240" w:lineRule="auto"/>
      </w:pPr>
      <w:r>
        <w:separator/>
      </w:r>
    </w:p>
  </w:footnote>
  <w:footnote w:type="continuationSeparator" w:id="0">
    <w:p w14:paraId="4338C1C0" w14:textId="77777777" w:rsidR="007120FC" w:rsidRDefault="007120FC" w:rsidP="00B76BE0">
      <w:pPr>
        <w:spacing w:after="0" w:line="240" w:lineRule="auto"/>
      </w:pPr>
      <w:r>
        <w:continuationSeparator/>
      </w:r>
    </w:p>
  </w:footnote>
  <w:footnote w:type="continuationNotice" w:id="1">
    <w:p w14:paraId="5597EB21" w14:textId="77777777" w:rsidR="007120FC" w:rsidRDefault="00712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0E03" w14:textId="379C2E34" w:rsidR="00B76BE0" w:rsidRDefault="00B76BE0" w:rsidP="00B76BE0">
    <w:pPr>
      <w:pStyle w:val="En-tte"/>
      <w:pBdr>
        <w:bottom w:val="single" w:sz="4" w:space="1" w:color="0070C0"/>
      </w:pBdr>
    </w:pPr>
    <w:r>
      <w:rPr>
        <w:noProof/>
      </w:rPr>
      <w:drawing>
        <wp:inline distT="0" distB="0" distL="0" distR="0" wp14:anchorId="7DA5424D" wp14:editId="70A2BF38">
          <wp:extent cx="1582390" cy="720000"/>
          <wp:effectExtent l="0" t="0" r="0" b="4445"/>
          <wp:docPr id="1037911416" name="Image 103791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00588" name="Image 936500588"/>
                  <pic:cNvPicPr/>
                </pic:nvPicPr>
                <pic:blipFill>
                  <a:blip r:embed="rId1">
                    <a:extLst>
                      <a:ext uri="{28A0092B-C50C-407E-A947-70E740481C1C}">
                        <a14:useLocalDpi xmlns:a14="http://schemas.microsoft.com/office/drawing/2010/main" val="0"/>
                      </a:ext>
                    </a:extLst>
                  </a:blip>
                  <a:stretch>
                    <a:fillRect/>
                  </a:stretch>
                </pic:blipFill>
                <pic:spPr>
                  <a:xfrm>
                    <a:off x="0" y="0"/>
                    <a:ext cx="15823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951"/>
    <w:multiLevelType w:val="hybridMultilevel"/>
    <w:tmpl w:val="F490D70C"/>
    <w:lvl w:ilvl="0" w:tplc="FFFFFFFF">
      <w:start w:val="1"/>
      <w:numFmt w:val="lowerLetter"/>
      <w:lvlText w:val="%1)"/>
      <w:lvlJc w:val="left"/>
      <w:pPr>
        <w:ind w:left="720" w:hanging="360"/>
      </w:pPr>
      <w:rPr>
        <w:rFonts w:hint="default"/>
      </w:rPr>
    </w:lvl>
    <w:lvl w:ilvl="1" w:tplc="040C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4433D"/>
    <w:multiLevelType w:val="hybridMultilevel"/>
    <w:tmpl w:val="7DCEC384"/>
    <w:lvl w:ilvl="0" w:tplc="040C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0B6ADF"/>
    <w:multiLevelType w:val="hybridMultilevel"/>
    <w:tmpl w:val="FCD4F56E"/>
    <w:lvl w:ilvl="0" w:tplc="0ECAC120">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30430"/>
    <w:multiLevelType w:val="multilevel"/>
    <w:tmpl w:val="5A58524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862"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5363BE"/>
    <w:multiLevelType w:val="hybridMultilevel"/>
    <w:tmpl w:val="552A96CE"/>
    <w:lvl w:ilvl="0" w:tplc="EDBCD33A">
      <w:start w:val="1"/>
      <w:numFmt w:val="bullet"/>
      <w:lvlText w:val="·"/>
      <w:lvlJc w:val="left"/>
      <w:pPr>
        <w:ind w:left="720" w:hanging="360"/>
      </w:pPr>
      <w:rPr>
        <w:rFonts w:ascii="Symbol" w:hAnsi="Symbol" w:hint="default"/>
      </w:rPr>
    </w:lvl>
    <w:lvl w:ilvl="1" w:tplc="F73A141C">
      <w:start w:val="1"/>
      <w:numFmt w:val="bullet"/>
      <w:lvlText w:val="o"/>
      <w:lvlJc w:val="left"/>
      <w:pPr>
        <w:ind w:left="1440" w:hanging="360"/>
      </w:pPr>
      <w:rPr>
        <w:rFonts w:ascii="Courier New" w:hAnsi="Courier New" w:hint="default"/>
      </w:rPr>
    </w:lvl>
    <w:lvl w:ilvl="2" w:tplc="D996E994">
      <w:start w:val="1"/>
      <w:numFmt w:val="bullet"/>
      <w:lvlText w:val=""/>
      <w:lvlJc w:val="left"/>
      <w:pPr>
        <w:ind w:left="2160" w:hanging="360"/>
      </w:pPr>
      <w:rPr>
        <w:rFonts w:ascii="Wingdings" w:hAnsi="Wingdings" w:hint="default"/>
      </w:rPr>
    </w:lvl>
    <w:lvl w:ilvl="3" w:tplc="5C8CC886">
      <w:start w:val="1"/>
      <w:numFmt w:val="bullet"/>
      <w:lvlText w:val=""/>
      <w:lvlJc w:val="left"/>
      <w:pPr>
        <w:ind w:left="2880" w:hanging="360"/>
      </w:pPr>
      <w:rPr>
        <w:rFonts w:ascii="Symbol" w:hAnsi="Symbol" w:hint="default"/>
      </w:rPr>
    </w:lvl>
    <w:lvl w:ilvl="4" w:tplc="65A4E478">
      <w:start w:val="1"/>
      <w:numFmt w:val="bullet"/>
      <w:lvlText w:val="o"/>
      <w:lvlJc w:val="left"/>
      <w:pPr>
        <w:ind w:left="3600" w:hanging="360"/>
      </w:pPr>
      <w:rPr>
        <w:rFonts w:ascii="Courier New" w:hAnsi="Courier New" w:hint="default"/>
      </w:rPr>
    </w:lvl>
    <w:lvl w:ilvl="5" w:tplc="8DDA6E7A">
      <w:start w:val="1"/>
      <w:numFmt w:val="bullet"/>
      <w:lvlText w:val=""/>
      <w:lvlJc w:val="left"/>
      <w:pPr>
        <w:ind w:left="4320" w:hanging="360"/>
      </w:pPr>
      <w:rPr>
        <w:rFonts w:ascii="Wingdings" w:hAnsi="Wingdings" w:hint="default"/>
      </w:rPr>
    </w:lvl>
    <w:lvl w:ilvl="6" w:tplc="BD20146C">
      <w:start w:val="1"/>
      <w:numFmt w:val="bullet"/>
      <w:lvlText w:val=""/>
      <w:lvlJc w:val="left"/>
      <w:pPr>
        <w:ind w:left="5040" w:hanging="360"/>
      </w:pPr>
      <w:rPr>
        <w:rFonts w:ascii="Symbol" w:hAnsi="Symbol" w:hint="default"/>
      </w:rPr>
    </w:lvl>
    <w:lvl w:ilvl="7" w:tplc="E2B24FC2">
      <w:start w:val="1"/>
      <w:numFmt w:val="bullet"/>
      <w:lvlText w:val="o"/>
      <w:lvlJc w:val="left"/>
      <w:pPr>
        <w:ind w:left="5760" w:hanging="360"/>
      </w:pPr>
      <w:rPr>
        <w:rFonts w:ascii="Courier New" w:hAnsi="Courier New" w:hint="default"/>
      </w:rPr>
    </w:lvl>
    <w:lvl w:ilvl="8" w:tplc="3DCE5AB6">
      <w:start w:val="1"/>
      <w:numFmt w:val="bullet"/>
      <w:lvlText w:val=""/>
      <w:lvlJc w:val="left"/>
      <w:pPr>
        <w:ind w:left="6480" w:hanging="360"/>
      </w:pPr>
      <w:rPr>
        <w:rFonts w:ascii="Wingdings" w:hAnsi="Wingdings" w:hint="default"/>
      </w:rPr>
    </w:lvl>
  </w:abstractNum>
  <w:abstractNum w:abstractNumId="6" w15:restartNumberingAfterBreak="0">
    <w:nsid w:val="1B5F32E6"/>
    <w:multiLevelType w:val="hybridMultilevel"/>
    <w:tmpl w:val="25EACFCA"/>
    <w:lvl w:ilvl="0" w:tplc="31AC0692">
      <w:start w:val="1"/>
      <w:numFmt w:val="lowerLetter"/>
      <w:lvlText w:val="%1."/>
      <w:lvlJc w:val="left"/>
      <w:pPr>
        <w:ind w:left="720" w:hanging="360"/>
      </w:pPr>
    </w:lvl>
    <w:lvl w:ilvl="1" w:tplc="4B18462A">
      <w:start w:val="1"/>
      <w:numFmt w:val="lowerLetter"/>
      <w:lvlText w:val="%2."/>
      <w:lvlJc w:val="left"/>
      <w:pPr>
        <w:ind w:left="1440" w:hanging="360"/>
      </w:pPr>
    </w:lvl>
    <w:lvl w:ilvl="2" w:tplc="20387BAE">
      <w:start w:val="1"/>
      <w:numFmt w:val="lowerRoman"/>
      <w:lvlText w:val="%3."/>
      <w:lvlJc w:val="right"/>
      <w:pPr>
        <w:ind w:left="2160" w:hanging="180"/>
      </w:pPr>
    </w:lvl>
    <w:lvl w:ilvl="3" w:tplc="29D89B26">
      <w:start w:val="1"/>
      <w:numFmt w:val="decimal"/>
      <w:lvlText w:val="%4."/>
      <w:lvlJc w:val="left"/>
      <w:pPr>
        <w:ind w:left="2880" w:hanging="360"/>
      </w:pPr>
    </w:lvl>
    <w:lvl w:ilvl="4" w:tplc="6A78F6D0">
      <w:start w:val="1"/>
      <w:numFmt w:val="lowerLetter"/>
      <w:lvlText w:val="%5."/>
      <w:lvlJc w:val="left"/>
      <w:pPr>
        <w:ind w:left="3600" w:hanging="360"/>
      </w:pPr>
    </w:lvl>
    <w:lvl w:ilvl="5" w:tplc="521A2260">
      <w:start w:val="1"/>
      <w:numFmt w:val="lowerRoman"/>
      <w:lvlText w:val="%6."/>
      <w:lvlJc w:val="right"/>
      <w:pPr>
        <w:ind w:left="4320" w:hanging="180"/>
      </w:pPr>
    </w:lvl>
    <w:lvl w:ilvl="6" w:tplc="0B0E725E">
      <w:start w:val="1"/>
      <w:numFmt w:val="decimal"/>
      <w:lvlText w:val="%7."/>
      <w:lvlJc w:val="left"/>
      <w:pPr>
        <w:ind w:left="5040" w:hanging="360"/>
      </w:pPr>
    </w:lvl>
    <w:lvl w:ilvl="7" w:tplc="FBC6948E">
      <w:start w:val="1"/>
      <w:numFmt w:val="lowerLetter"/>
      <w:lvlText w:val="%8."/>
      <w:lvlJc w:val="left"/>
      <w:pPr>
        <w:ind w:left="5760" w:hanging="360"/>
      </w:pPr>
    </w:lvl>
    <w:lvl w:ilvl="8" w:tplc="ACD63C68">
      <w:start w:val="1"/>
      <w:numFmt w:val="lowerRoman"/>
      <w:lvlText w:val="%9."/>
      <w:lvlJc w:val="right"/>
      <w:pPr>
        <w:ind w:left="6480" w:hanging="180"/>
      </w:pPr>
    </w:lvl>
  </w:abstractNum>
  <w:abstractNum w:abstractNumId="7" w15:restartNumberingAfterBreak="0">
    <w:nsid w:val="1C79076E"/>
    <w:multiLevelType w:val="hybridMultilevel"/>
    <w:tmpl w:val="68A27962"/>
    <w:lvl w:ilvl="0" w:tplc="627EF630">
      <w:start w:val="1"/>
      <w:numFmt w:val="lowerRoman"/>
      <w:lvlText w:val="%1."/>
      <w:lvlJc w:val="left"/>
      <w:pPr>
        <w:ind w:left="1800" w:hanging="720"/>
      </w:pPr>
      <w:rPr>
        <w:rFonts w:hint="default"/>
      </w:rPr>
    </w:lvl>
    <w:lvl w:ilvl="1" w:tplc="2FAC265C">
      <w:start w:val="1"/>
      <w:numFmt w:val="lowerLetter"/>
      <w:lvlText w:val="%2)"/>
      <w:lvlJc w:val="left"/>
      <w:pPr>
        <w:ind w:left="2160" w:hanging="360"/>
      </w:pPr>
      <w:rPr>
        <w:rFonts w:hint="default"/>
        <w:b w:val="0"/>
        <w:bCs/>
        <w:i w:val="0"/>
        <w:iCs/>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1FFC40F9"/>
    <w:multiLevelType w:val="hybridMultilevel"/>
    <w:tmpl w:val="BD40ED02"/>
    <w:lvl w:ilvl="0" w:tplc="F61C1FA6">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8B56C6"/>
    <w:multiLevelType w:val="hybridMultilevel"/>
    <w:tmpl w:val="5DC6D010"/>
    <w:lvl w:ilvl="0" w:tplc="A91AE67C">
      <w:start w:val="1"/>
      <w:numFmt w:val="lowerRoman"/>
      <w:lvlText w:val="%1."/>
      <w:lvlJc w:val="left"/>
      <w:pPr>
        <w:ind w:left="2573" w:hanging="720"/>
      </w:pPr>
      <w:rPr>
        <w:rFonts w:hint="default"/>
        <w:b w:val="0"/>
        <w:bCs/>
        <w:i/>
      </w:rPr>
    </w:lvl>
    <w:lvl w:ilvl="1" w:tplc="040C0019" w:tentative="1">
      <w:start w:val="1"/>
      <w:numFmt w:val="lowerLetter"/>
      <w:lvlText w:val="%2."/>
      <w:lvlJc w:val="left"/>
      <w:pPr>
        <w:ind w:left="2933" w:hanging="360"/>
      </w:pPr>
    </w:lvl>
    <w:lvl w:ilvl="2" w:tplc="040C001B" w:tentative="1">
      <w:start w:val="1"/>
      <w:numFmt w:val="lowerRoman"/>
      <w:lvlText w:val="%3."/>
      <w:lvlJc w:val="right"/>
      <w:pPr>
        <w:ind w:left="3653" w:hanging="180"/>
      </w:pPr>
    </w:lvl>
    <w:lvl w:ilvl="3" w:tplc="040C000F" w:tentative="1">
      <w:start w:val="1"/>
      <w:numFmt w:val="decimal"/>
      <w:lvlText w:val="%4."/>
      <w:lvlJc w:val="left"/>
      <w:pPr>
        <w:ind w:left="4373" w:hanging="360"/>
      </w:pPr>
    </w:lvl>
    <w:lvl w:ilvl="4" w:tplc="040C0019" w:tentative="1">
      <w:start w:val="1"/>
      <w:numFmt w:val="lowerLetter"/>
      <w:lvlText w:val="%5."/>
      <w:lvlJc w:val="left"/>
      <w:pPr>
        <w:ind w:left="5093" w:hanging="360"/>
      </w:pPr>
    </w:lvl>
    <w:lvl w:ilvl="5" w:tplc="040C001B" w:tentative="1">
      <w:start w:val="1"/>
      <w:numFmt w:val="lowerRoman"/>
      <w:lvlText w:val="%6."/>
      <w:lvlJc w:val="right"/>
      <w:pPr>
        <w:ind w:left="5813" w:hanging="180"/>
      </w:pPr>
    </w:lvl>
    <w:lvl w:ilvl="6" w:tplc="040C000F" w:tentative="1">
      <w:start w:val="1"/>
      <w:numFmt w:val="decimal"/>
      <w:lvlText w:val="%7."/>
      <w:lvlJc w:val="left"/>
      <w:pPr>
        <w:ind w:left="6533" w:hanging="360"/>
      </w:pPr>
    </w:lvl>
    <w:lvl w:ilvl="7" w:tplc="040C0019" w:tentative="1">
      <w:start w:val="1"/>
      <w:numFmt w:val="lowerLetter"/>
      <w:lvlText w:val="%8."/>
      <w:lvlJc w:val="left"/>
      <w:pPr>
        <w:ind w:left="7253" w:hanging="360"/>
      </w:pPr>
    </w:lvl>
    <w:lvl w:ilvl="8" w:tplc="040C001B" w:tentative="1">
      <w:start w:val="1"/>
      <w:numFmt w:val="lowerRoman"/>
      <w:lvlText w:val="%9."/>
      <w:lvlJc w:val="right"/>
      <w:pPr>
        <w:ind w:left="7973" w:hanging="180"/>
      </w:pPr>
    </w:lvl>
  </w:abstractNum>
  <w:abstractNum w:abstractNumId="10" w15:restartNumberingAfterBreak="0">
    <w:nsid w:val="257067D1"/>
    <w:multiLevelType w:val="hybridMultilevel"/>
    <w:tmpl w:val="1A4C255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EE38A5"/>
    <w:multiLevelType w:val="hybridMultilevel"/>
    <w:tmpl w:val="44167874"/>
    <w:lvl w:ilvl="0" w:tplc="7586017E">
      <w:start w:val="1"/>
      <w:numFmt w:val="decimal"/>
      <w:lvlText w:val="%1."/>
      <w:lvlJc w:val="left"/>
      <w:pPr>
        <w:ind w:left="720" w:hanging="360"/>
      </w:pPr>
    </w:lvl>
    <w:lvl w:ilvl="1" w:tplc="809EBA40">
      <w:start w:val="1"/>
      <w:numFmt w:val="lowerLetter"/>
      <w:lvlText w:val="%2."/>
      <w:lvlJc w:val="left"/>
      <w:pPr>
        <w:ind w:left="1440" w:hanging="360"/>
      </w:pPr>
    </w:lvl>
    <w:lvl w:ilvl="2" w:tplc="B4EAFA30">
      <w:start w:val="1"/>
      <w:numFmt w:val="lowerRoman"/>
      <w:lvlText w:val="%3."/>
      <w:lvlJc w:val="right"/>
      <w:pPr>
        <w:ind w:left="2160" w:hanging="180"/>
      </w:pPr>
    </w:lvl>
    <w:lvl w:ilvl="3" w:tplc="84F668A2">
      <w:start w:val="1"/>
      <w:numFmt w:val="decimal"/>
      <w:lvlText w:val="%4."/>
      <w:lvlJc w:val="left"/>
      <w:pPr>
        <w:ind w:left="2880" w:hanging="360"/>
      </w:pPr>
    </w:lvl>
    <w:lvl w:ilvl="4" w:tplc="783E5290">
      <w:start w:val="1"/>
      <w:numFmt w:val="lowerLetter"/>
      <w:lvlText w:val="%5."/>
      <w:lvlJc w:val="left"/>
      <w:pPr>
        <w:ind w:left="3600" w:hanging="360"/>
      </w:pPr>
    </w:lvl>
    <w:lvl w:ilvl="5" w:tplc="F63C12DC">
      <w:start w:val="1"/>
      <w:numFmt w:val="lowerRoman"/>
      <w:lvlText w:val="%6."/>
      <w:lvlJc w:val="right"/>
      <w:pPr>
        <w:ind w:left="4320" w:hanging="180"/>
      </w:pPr>
    </w:lvl>
    <w:lvl w:ilvl="6" w:tplc="D6AAB45E">
      <w:start w:val="1"/>
      <w:numFmt w:val="decimal"/>
      <w:lvlText w:val="%7."/>
      <w:lvlJc w:val="left"/>
      <w:pPr>
        <w:ind w:left="5040" w:hanging="360"/>
      </w:pPr>
    </w:lvl>
    <w:lvl w:ilvl="7" w:tplc="0A3E5122">
      <w:start w:val="1"/>
      <w:numFmt w:val="lowerLetter"/>
      <w:lvlText w:val="%8."/>
      <w:lvlJc w:val="left"/>
      <w:pPr>
        <w:ind w:left="5760" w:hanging="360"/>
      </w:pPr>
    </w:lvl>
    <w:lvl w:ilvl="8" w:tplc="FADA49C6">
      <w:start w:val="1"/>
      <w:numFmt w:val="lowerRoman"/>
      <w:lvlText w:val="%9."/>
      <w:lvlJc w:val="right"/>
      <w:pPr>
        <w:ind w:left="6480" w:hanging="180"/>
      </w:pPr>
    </w:lvl>
  </w:abstractNum>
  <w:abstractNum w:abstractNumId="12" w15:restartNumberingAfterBreak="0">
    <w:nsid w:val="27C0EADE"/>
    <w:multiLevelType w:val="hybridMultilevel"/>
    <w:tmpl w:val="3BD25F78"/>
    <w:lvl w:ilvl="0" w:tplc="137AB686">
      <w:start w:val="1"/>
      <w:numFmt w:val="bullet"/>
      <w:lvlText w:val="·"/>
      <w:lvlJc w:val="left"/>
      <w:pPr>
        <w:ind w:left="720" w:hanging="360"/>
      </w:pPr>
      <w:rPr>
        <w:rFonts w:ascii="Symbol" w:hAnsi="Symbol" w:hint="default"/>
      </w:rPr>
    </w:lvl>
    <w:lvl w:ilvl="1" w:tplc="B1B62760">
      <w:start w:val="1"/>
      <w:numFmt w:val="bullet"/>
      <w:lvlText w:val="o"/>
      <w:lvlJc w:val="left"/>
      <w:pPr>
        <w:ind w:left="1440" w:hanging="360"/>
      </w:pPr>
      <w:rPr>
        <w:rFonts w:ascii="Courier New" w:hAnsi="Courier New" w:hint="default"/>
      </w:rPr>
    </w:lvl>
    <w:lvl w:ilvl="2" w:tplc="EB8AC1FC">
      <w:start w:val="1"/>
      <w:numFmt w:val="bullet"/>
      <w:lvlText w:val=""/>
      <w:lvlJc w:val="left"/>
      <w:pPr>
        <w:ind w:left="2160" w:hanging="360"/>
      </w:pPr>
      <w:rPr>
        <w:rFonts w:ascii="Wingdings" w:hAnsi="Wingdings" w:hint="default"/>
      </w:rPr>
    </w:lvl>
    <w:lvl w:ilvl="3" w:tplc="68D4F076">
      <w:start w:val="1"/>
      <w:numFmt w:val="bullet"/>
      <w:lvlText w:val=""/>
      <w:lvlJc w:val="left"/>
      <w:pPr>
        <w:ind w:left="2880" w:hanging="360"/>
      </w:pPr>
      <w:rPr>
        <w:rFonts w:ascii="Symbol" w:hAnsi="Symbol" w:hint="default"/>
      </w:rPr>
    </w:lvl>
    <w:lvl w:ilvl="4" w:tplc="7C622A10">
      <w:start w:val="1"/>
      <w:numFmt w:val="bullet"/>
      <w:lvlText w:val="o"/>
      <w:lvlJc w:val="left"/>
      <w:pPr>
        <w:ind w:left="3600" w:hanging="360"/>
      </w:pPr>
      <w:rPr>
        <w:rFonts w:ascii="Courier New" w:hAnsi="Courier New" w:hint="default"/>
      </w:rPr>
    </w:lvl>
    <w:lvl w:ilvl="5" w:tplc="0B94AFFE">
      <w:start w:val="1"/>
      <w:numFmt w:val="bullet"/>
      <w:lvlText w:val=""/>
      <w:lvlJc w:val="left"/>
      <w:pPr>
        <w:ind w:left="4320" w:hanging="360"/>
      </w:pPr>
      <w:rPr>
        <w:rFonts w:ascii="Wingdings" w:hAnsi="Wingdings" w:hint="default"/>
      </w:rPr>
    </w:lvl>
    <w:lvl w:ilvl="6" w:tplc="1788275A">
      <w:start w:val="1"/>
      <w:numFmt w:val="bullet"/>
      <w:lvlText w:val=""/>
      <w:lvlJc w:val="left"/>
      <w:pPr>
        <w:ind w:left="5040" w:hanging="360"/>
      </w:pPr>
      <w:rPr>
        <w:rFonts w:ascii="Symbol" w:hAnsi="Symbol" w:hint="default"/>
      </w:rPr>
    </w:lvl>
    <w:lvl w:ilvl="7" w:tplc="067C1154">
      <w:start w:val="1"/>
      <w:numFmt w:val="bullet"/>
      <w:lvlText w:val="o"/>
      <w:lvlJc w:val="left"/>
      <w:pPr>
        <w:ind w:left="5760" w:hanging="360"/>
      </w:pPr>
      <w:rPr>
        <w:rFonts w:ascii="Courier New" w:hAnsi="Courier New" w:hint="default"/>
      </w:rPr>
    </w:lvl>
    <w:lvl w:ilvl="8" w:tplc="4348A3FC">
      <w:start w:val="1"/>
      <w:numFmt w:val="bullet"/>
      <w:lvlText w:val=""/>
      <w:lvlJc w:val="left"/>
      <w:pPr>
        <w:ind w:left="6480" w:hanging="360"/>
      </w:pPr>
      <w:rPr>
        <w:rFonts w:ascii="Wingdings" w:hAnsi="Wingdings" w:hint="default"/>
      </w:rPr>
    </w:lvl>
  </w:abstractNum>
  <w:abstractNum w:abstractNumId="13" w15:restartNumberingAfterBreak="0">
    <w:nsid w:val="2A0CA3B5"/>
    <w:multiLevelType w:val="hybridMultilevel"/>
    <w:tmpl w:val="D86434F8"/>
    <w:lvl w:ilvl="0" w:tplc="7EB449A0">
      <w:start w:val="1"/>
      <w:numFmt w:val="lowerRoman"/>
      <w:lvlText w:val="%1."/>
      <w:lvlJc w:val="left"/>
      <w:pPr>
        <w:ind w:left="720" w:hanging="360"/>
      </w:pPr>
    </w:lvl>
    <w:lvl w:ilvl="1" w:tplc="EE167BAC">
      <w:start w:val="1"/>
      <w:numFmt w:val="lowerLetter"/>
      <w:lvlText w:val="%2."/>
      <w:lvlJc w:val="left"/>
      <w:pPr>
        <w:ind w:left="1440" w:hanging="360"/>
      </w:pPr>
    </w:lvl>
    <w:lvl w:ilvl="2" w:tplc="DA4C4FF6">
      <w:start w:val="1"/>
      <w:numFmt w:val="lowerRoman"/>
      <w:lvlText w:val="%3."/>
      <w:lvlJc w:val="right"/>
      <w:pPr>
        <w:ind w:left="2160" w:hanging="180"/>
      </w:pPr>
    </w:lvl>
    <w:lvl w:ilvl="3" w:tplc="E60E46FC">
      <w:start w:val="1"/>
      <w:numFmt w:val="decimal"/>
      <w:lvlText w:val="%4."/>
      <w:lvlJc w:val="left"/>
      <w:pPr>
        <w:ind w:left="2880" w:hanging="360"/>
      </w:pPr>
    </w:lvl>
    <w:lvl w:ilvl="4" w:tplc="B6F43370">
      <w:start w:val="1"/>
      <w:numFmt w:val="lowerLetter"/>
      <w:lvlText w:val="%5."/>
      <w:lvlJc w:val="left"/>
      <w:pPr>
        <w:ind w:left="3600" w:hanging="360"/>
      </w:pPr>
    </w:lvl>
    <w:lvl w:ilvl="5" w:tplc="C066AFD0">
      <w:start w:val="1"/>
      <w:numFmt w:val="lowerRoman"/>
      <w:lvlText w:val="%6."/>
      <w:lvlJc w:val="right"/>
      <w:pPr>
        <w:ind w:left="4320" w:hanging="180"/>
      </w:pPr>
    </w:lvl>
    <w:lvl w:ilvl="6" w:tplc="3A9AAD84">
      <w:start w:val="1"/>
      <w:numFmt w:val="decimal"/>
      <w:lvlText w:val="%7."/>
      <w:lvlJc w:val="left"/>
      <w:pPr>
        <w:ind w:left="5040" w:hanging="360"/>
      </w:pPr>
    </w:lvl>
    <w:lvl w:ilvl="7" w:tplc="572C9CFC">
      <w:start w:val="1"/>
      <w:numFmt w:val="lowerLetter"/>
      <w:lvlText w:val="%8."/>
      <w:lvlJc w:val="left"/>
      <w:pPr>
        <w:ind w:left="5760" w:hanging="360"/>
      </w:pPr>
    </w:lvl>
    <w:lvl w:ilvl="8" w:tplc="20408F54">
      <w:start w:val="1"/>
      <w:numFmt w:val="lowerRoman"/>
      <w:lvlText w:val="%9."/>
      <w:lvlJc w:val="right"/>
      <w:pPr>
        <w:ind w:left="6480" w:hanging="180"/>
      </w:pPr>
    </w:lvl>
  </w:abstractNum>
  <w:abstractNum w:abstractNumId="14" w15:restartNumberingAfterBreak="0">
    <w:nsid w:val="2C52EB97"/>
    <w:multiLevelType w:val="hybridMultilevel"/>
    <w:tmpl w:val="BB9AAA1E"/>
    <w:lvl w:ilvl="0" w:tplc="F4FE4FE4">
      <w:start w:val="1"/>
      <w:numFmt w:val="decimal"/>
      <w:lvlText w:val="%1."/>
      <w:lvlJc w:val="left"/>
      <w:pPr>
        <w:ind w:left="720" w:hanging="360"/>
      </w:pPr>
    </w:lvl>
    <w:lvl w:ilvl="1" w:tplc="703290BC">
      <w:start w:val="1"/>
      <w:numFmt w:val="lowerLetter"/>
      <w:lvlText w:val="%2."/>
      <w:lvlJc w:val="left"/>
      <w:pPr>
        <w:ind w:left="1440" w:hanging="360"/>
      </w:pPr>
    </w:lvl>
    <w:lvl w:ilvl="2" w:tplc="0762940C">
      <w:start w:val="1"/>
      <w:numFmt w:val="lowerRoman"/>
      <w:lvlText w:val="%3."/>
      <w:lvlJc w:val="right"/>
      <w:pPr>
        <w:ind w:left="2160" w:hanging="180"/>
      </w:pPr>
    </w:lvl>
    <w:lvl w:ilvl="3" w:tplc="FB70BF06">
      <w:start w:val="1"/>
      <w:numFmt w:val="decimal"/>
      <w:lvlText w:val="%4."/>
      <w:lvlJc w:val="left"/>
      <w:pPr>
        <w:ind w:left="2880" w:hanging="360"/>
      </w:pPr>
    </w:lvl>
    <w:lvl w:ilvl="4" w:tplc="E87C8F56">
      <w:start w:val="1"/>
      <w:numFmt w:val="lowerLetter"/>
      <w:lvlText w:val="%5."/>
      <w:lvlJc w:val="left"/>
      <w:pPr>
        <w:ind w:left="3600" w:hanging="360"/>
      </w:pPr>
    </w:lvl>
    <w:lvl w:ilvl="5" w:tplc="5E24E5C0">
      <w:start w:val="1"/>
      <w:numFmt w:val="lowerRoman"/>
      <w:lvlText w:val="%6."/>
      <w:lvlJc w:val="right"/>
      <w:pPr>
        <w:ind w:left="4320" w:hanging="180"/>
      </w:pPr>
    </w:lvl>
    <w:lvl w:ilvl="6" w:tplc="A9105232">
      <w:start w:val="1"/>
      <w:numFmt w:val="decimal"/>
      <w:lvlText w:val="%7."/>
      <w:lvlJc w:val="left"/>
      <w:pPr>
        <w:ind w:left="5040" w:hanging="360"/>
      </w:pPr>
    </w:lvl>
    <w:lvl w:ilvl="7" w:tplc="C6007058">
      <w:start w:val="1"/>
      <w:numFmt w:val="lowerLetter"/>
      <w:lvlText w:val="%8."/>
      <w:lvlJc w:val="left"/>
      <w:pPr>
        <w:ind w:left="5760" w:hanging="360"/>
      </w:pPr>
    </w:lvl>
    <w:lvl w:ilvl="8" w:tplc="4A864EE2">
      <w:start w:val="1"/>
      <w:numFmt w:val="lowerRoman"/>
      <w:lvlText w:val="%9."/>
      <w:lvlJc w:val="right"/>
      <w:pPr>
        <w:ind w:left="6480" w:hanging="180"/>
      </w:pPr>
    </w:lvl>
  </w:abstractNum>
  <w:abstractNum w:abstractNumId="15" w15:restartNumberingAfterBreak="0">
    <w:nsid w:val="2D763600"/>
    <w:multiLevelType w:val="hybridMultilevel"/>
    <w:tmpl w:val="88C68D92"/>
    <w:lvl w:ilvl="0" w:tplc="91804476">
      <w:start w:val="1"/>
      <w:numFmt w:val="bullet"/>
      <w:lvlText w:val="·"/>
      <w:lvlJc w:val="left"/>
      <w:pPr>
        <w:ind w:left="348" w:hanging="360"/>
      </w:pPr>
      <w:rPr>
        <w:rFonts w:ascii="Symbol" w:hAnsi="Symbol" w:hint="default"/>
      </w:rPr>
    </w:lvl>
    <w:lvl w:ilvl="1" w:tplc="F27AF7DA">
      <w:start w:val="1"/>
      <w:numFmt w:val="bullet"/>
      <w:lvlText w:val="o"/>
      <w:lvlJc w:val="left"/>
      <w:pPr>
        <w:ind w:left="1068" w:hanging="360"/>
      </w:pPr>
      <w:rPr>
        <w:rFonts w:ascii="Courier New" w:hAnsi="Courier New" w:hint="default"/>
      </w:rPr>
    </w:lvl>
    <w:lvl w:ilvl="2" w:tplc="2514B8A2">
      <w:start w:val="1"/>
      <w:numFmt w:val="bullet"/>
      <w:lvlText w:val=""/>
      <w:lvlJc w:val="left"/>
      <w:pPr>
        <w:ind w:left="1788" w:hanging="360"/>
      </w:pPr>
      <w:rPr>
        <w:rFonts w:ascii="Wingdings" w:hAnsi="Wingdings" w:hint="default"/>
      </w:rPr>
    </w:lvl>
    <w:lvl w:ilvl="3" w:tplc="B3043FA2">
      <w:start w:val="1"/>
      <w:numFmt w:val="bullet"/>
      <w:lvlText w:val=""/>
      <w:lvlJc w:val="left"/>
      <w:pPr>
        <w:ind w:left="2508" w:hanging="360"/>
      </w:pPr>
      <w:rPr>
        <w:rFonts w:ascii="Symbol" w:hAnsi="Symbol" w:hint="default"/>
      </w:rPr>
    </w:lvl>
    <w:lvl w:ilvl="4" w:tplc="B770C71A">
      <w:start w:val="1"/>
      <w:numFmt w:val="bullet"/>
      <w:lvlText w:val="o"/>
      <w:lvlJc w:val="left"/>
      <w:pPr>
        <w:ind w:left="3228" w:hanging="360"/>
      </w:pPr>
      <w:rPr>
        <w:rFonts w:ascii="Courier New" w:hAnsi="Courier New" w:hint="default"/>
      </w:rPr>
    </w:lvl>
    <w:lvl w:ilvl="5" w:tplc="A426F112">
      <w:start w:val="1"/>
      <w:numFmt w:val="bullet"/>
      <w:lvlText w:val=""/>
      <w:lvlJc w:val="left"/>
      <w:pPr>
        <w:ind w:left="3948" w:hanging="360"/>
      </w:pPr>
      <w:rPr>
        <w:rFonts w:ascii="Wingdings" w:hAnsi="Wingdings" w:hint="default"/>
      </w:rPr>
    </w:lvl>
    <w:lvl w:ilvl="6" w:tplc="05CCA246">
      <w:start w:val="1"/>
      <w:numFmt w:val="bullet"/>
      <w:lvlText w:val=""/>
      <w:lvlJc w:val="left"/>
      <w:pPr>
        <w:ind w:left="4668" w:hanging="360"/>
      </w:pPr>
      <w:rPr>
        <w:rFonts w:ascii="Symbol" w:hAnsi="Symbol" w:hint="default"/>
      </w:rPr>
    </w:lvl>
    <w:lvl w:ilvl="7" w:tplc="FE362746">
      <w:start w:val="1"/>
      <w:numFmt w:val="bullet"/>
      <w:lvlText w:val="o"/>
      <w:lvlJc w:val="left"/>
      <w:pPr>
        <w:ind w:left="5388" w:hanging="360"/>
      </w:pPr>
      <w:rPr>
        <w:rFonts w:ascii="Courier New" w:hAnsi="Courier New" w:hint="default"/>
      </w:rPr>
    </w:lvl>
    <w:lvl w:ilvl="8" w:tplc="298E836A">
      <w:start w:val="1"/>
      <w:numFmt w:val="bullet"/>
      <w:lvlText w:val=""/>
      <w:lvlJc w:val="left"/>
      <w:pPr>
        <w:ind w:left="6108" w:hanging="360"/>
      </w:pPr>
      <w:rPr>
        <w:rFonts w:ascii="Wingdings" w:hAnsi="Wingdings" w:hint="default"/>
      </w:rPr>
    </w:lvl>
  </w:abstractNum>
  <w:abstractNum w:abstractNumId="16" w15:restartNumberingAfterBreak="0">
    <w:nsid w:val="2DE5572C"/>
    <w:multiLevelType w:val="hybridMultilevel"/>
    <w:tmpl w:val="BD40ED02"/>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01DD4"/>
    <w:multiLevelType w:val="hybridMultilevel"/>
    <w:tmpl w:val="48F8AC70"/>
    <w:lvl w:ilvl="0" w:tplc="B90C7FF4">
      <w:start w:val="1"/>
      <w:numFmt w:val="bullet"/>
      <w:lvlText w:val="·"/>
      <w:lvlJc w:val="left"/>
      <w:pPr>
        <w:ind w:left="720" w:hanging="360"/>
      </w:pPr>
      <w:rPr>
        <w:rFonts w:ascii="Symbol" w:hAnsi="Symbol" w:hint="default"/>
      </w:rPr>
    </w:lvl>
    <w:lvl w:ilvl="1" w:tplc="4B9404CA">
      <w:start w:val="1"/>
      <w:numFmt w:val="bullet"/>
      <w:lvlText w:val="o"/>
      <w:lvlJc w:val="left"/>
      <w:pPr>
        <w:ind w:left="1440" w:hanging="360"/>
      </w:pPr>
      <w:rPr>
        <w:rFonts w:ascii="Courier New" w:hAnsi="Courier New" w:hint="default"/>
      </w:rPr>
    </w:lvl>
    <w:lvl w:ilvl="2" w:tplc="044072DC">
      <w:start w:val="1"/>
      <w:numFmt w:val="bullet"/>
      <w:lvlText w:val=""/>
      <w:lvlJc w:val="left"/>
      <w:pPr>
        <w:ind w:left="2160" w:hanging="360"/>
      </w:pPr>
      <w:rPr>
        <w:rFonts w:ascii="Wingdings" w:hAnsi="Wingdings" w:hint="default"/>
      </w:rPr>
    </w:lvl>
    <w:lvl w:ilvl="3" w:tplc="E8D8330C">
      <w:start w:val="1"/>
      <w:numFmt w:val="bullet"/>
      <w:lvlText w:val=""/>
      <w:lvlJc w:val="left"/>
      <w:pPr>
        <w:ind w:left="2880" w:hanging="360"/>
      </w:pPr>
      <w:rPr>
        <w:rFonts w:ascii="Symbol" w:hAnsi="Symbol" w:hint="default"/>
      </w:rPr>
    </w:lvl>
    <w:lvl w:ilvl="4" w:tplc="BE7C1484">
      <w:start w:val="1"/>
      <w:numFmt w:val="bullet"/>
      <w:lvlText w:val="o"/>
      <w:lvlJc w:val="left"/>
      <w:pPr>
        <w:ind w:left="3600" w:hanging="360"/>
      </w:pPr>
      <w:rPr>
        <w:rFonts w:ascii="Courier New" w:hAnsi="Courier New" w:hint="default"/>
      </w:rPr>
    </w:lvl>
    <w:lvl w:ilvl="5" w:tplc="7CE838BC">
      <w:start w:val="1"/>
      <w:numFmt w:val="bullet"/>
      <w:lvlText w:val=""/>
      <w:lvlJc w:val="left"/>
      <w:pPr>
        <w:ind w:left="4320" w:hanging="360"/>
      </w:pPr>
      <w:rPr>
        <w:rFonts w:ascii="Wingdings" w:hAnsi="Wingdings" w:hint="default"/>
      </w:rPr>
    </w:lvl>
    <w:lvl w:ilvl="6" w:tplc="D1FA06AC">
      <w:start w:val="1"/>
      <w:numFmt w:val="bullet"/>
      <w:lvlText w:val=""/>
      <w:lvlJc w:val="left"/>
      <w:pPr>
        <w:ind w:left="5040" w:hanging="360"/>
      </w:pPr>
      <w:rPr>
        <w:rFonts w:ascii="Symbol" w:hAnsi="Symbol" w:hint="default"/>
      </w:rPr>
    </w:lvl>
    <w:lvl w:ilvl="7" w:tplc="5994F838">
      <w:start w:val="1"/>
      <w:numFmt w:val="bullet"/>
      <w:lvlText w:val="o"/>
      <w:lvlJc w:val="left"/>
      <w:pPr>
        <w:ind w:left="5760" w:hanging="360"/>
      </w:pPr>
      <w:rPr>
        <w:rFonts w:ascii="Courier New" w:hAnsi="Courier New" w:hint="default"/>
      </w:rPr>
    </w:lvl>
    <w:lvl w:ilvl="8" w:tplc="2B56EBEA">
      <w:start w:val="1"/>
      <w:numFmt w:val="bullet"/>
      <w:lvlText w:val=""/>
      <w:lvlJc w:val="left"/>
      <w:pPr>
        <w:ind w:left="6480" w:hanging="360"/>
      </w:pPr>
      <w:rPr>
        <w:rFonts w:ascii="Wingdings" w:hAnsi="Wingdings" w:hint="default"/>
      </w:rPr>
    </w:lvl>
  </w:abstractNum>
  <w:abstractNum w:abstractNumId="18" w15:restartNumberingAfterBreak="0">
    <w:nsid w:val="39C616FB"/>
    <w:multiLevelType w:val="hybridMultilevel"/>
    <w:tmpl w:val="7402D4B6"/>
    <w:lvl w:ilvl="0" w:tplc="040C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3CF96300"/>
    <w:multiLevelType w:val="hybridMultilevel"/>
    <w:tmpl w:val="BA085C36"/>
    <w:lvl w:ilvl="0" w:tplc="47E8F892">
      <w:start w:val="1"/>
      <w:numFmt w:val="lowerLetter"/>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65EF8D"/>
    <w:multiLevelType w:val="hybridMultilevel"/>
    <w:tmpl w:val="BD62D4C6"/>
    <w:lvl w:ilvl="0" w:tplc="5F80120E">
      <w:start w:val="1"/>
      <w:numFmt w:val="bullet"/>
      <w:lvlText w:val="·"/>
      <w:lvlJc w:val="left"/>
      <w:pPr>
        <w:ind w:left="360" w:hanging="360"/>
      </w:pPr>
      <w:rPr>
        <w:rFonts w:ascii="Symbol" w:hAnsi="Symbol" w:hint="default"/>
      </w:rPr>
    </w:lvl>
    <w:lvl w:ilvl="1" w:tplc="E35CD29C">
      <w:start w:val="1"/>
      <w:numFmt w:val="bullet"/>
      <w:lvlText w:val="o"/>
      <w:lvlJc w:val="left"/>
      <w:pPr>
        <w:ind w:left="1080" w:hanging="360"/>
      </w:pPr>
      <w:rPr>
        <w:rFonts w:ascii="Courier New" w:hAnsi="Courier New" w:hint="default"/>
      </w:rPr>
    </w:lvl>
    <w:lvl w:ilvl="2" w:tplc="4426D14E">
      <w:start w:val="1"/>
      <w:numFmt w:val="bullet"/>
      <w:lvlText w:val=""/>
      <w:lvlJc w:val="left"/>
      <w:pPr>
        <w:ind w:left="1800" w:hanging="360"/>
      </w:pPr>
      <w:rPr>
        <w:rFonts w:ascii="Wingdings" w:hAnsi="Wingdings" w:hint="default"/>
      </w:rPr>
    </w:lvl>
    <w:lvl w:ilvl="3" w:tplc="336C0B12">
      <w:start w:val="1"/>
      <w:numFmt w:val="bullet"/>
      <w:lvlText w:val=""/>
      <w:lvlJc w:val="left"/>
      <w:pPr>
        <w:ind w:left="2520" w:hanging="360"/>
      </w:pPr>
      <w:rPr>
        <w:rFonts w:ascii="Symbol" w:hAnsi="Symbol" w:hint="default"/>
      </w:rPr>
    </w:lvl>
    <w:lvl w:ilvl="4" w:tplc="15220E0E">
      <w:start w:val="1"/>
      <w:numFmt w:val="bullet"/>
      <w:lvlText w:val="o"/>
      <w:lvlJc w:val="left"/>
      <w:pPr>
        <w:ind w:left="3240" w:hanging="360"/>
      </w:pPr>
      <w:rPr>
        <w:rFonts w:ascii="Courier New" w:hAnsi="Courier New" w:hint="default"/>
      </w:rPr>
    </w:lvl>
    <w:lvl w:ilvl="5" w:tplc="87FE8978">
      <w:start w:val="1"/>
      <w:numFmt w:val="bullet"/>
      <w:lvlText w:val=""/>
      <w:lvlJc w:val="left"/>
      <w:pPr>
        <w:ind w:left="3960" w:hanging="360"/>
      </w:pPr>
      <w:rPr>
        <w:rFonts w:ascii="Wingdings" w:hAnsi="Wingdings" w:hint="default"/>
      </w:rPr>
    </w:lvl>
    <w:lvl w:ilvl="6" w:tplc="3370D096">
      <w:start w:val="1"/>
      <w:numFmt w:val="bullet"/>
      <w:lvlText w:val=""/>
      <w:lvlJc w:val="left"/>
      <w:pPr>
        <w:ind w:left="4680" w:hanging="360"/>
      </w:pPr>
      <w:rPr>
        <w:rFonts w:ascii="Symbol" w:hAnsi="Symbol" w:hint="default"/>
      </w:rPr>
    </w:lvl>
    <w:lvl w:ilvl="7" w:tplc="7F3ED570">
      <w:start w:val="1"/>
      <w:numFmt w:val="bullet"/>
      <w:lvlText w:val="o"/>
      <w:lvlJc w:val="left"/>
      <w:pPr>
        <w:ind w:left="5400" w:hanging="360"/>
      </w:pPr>
      <w:rPr>
        <w:rFonts w:ascii="Courier New" w:hAnsi="Courier New" w:hint="default"/>
      </w:rPr>
    </w:lvl>
    <w:lvl w:ilvl="8" w:tplc="AB6A7816">
      <w:start w:val="1"/>
      <w:numFmt w:val="bullet"/>
      <w:lvlText w:val=""/>
      <w:lvlJc w:val="left"/>
      <w:pPr>
        <w:ind w:left="6120" w:hanging="360"/>
      </w:pPr>
      <w:rPr>
        <w:rFonts w:ascii="Wingdings" w:hAnsi="Wingdings" w:hint="default"/>
      </w:rPr>
    </w:lvl>
  </w:abstractNum>
  <w:abstractNum w:abstractNumId="21" w15:restartNumberingAfterBreak="0">
    <w:nsid w:val="48A525B0"/>
    <w:multiLevelType w:val="hybridMultilevel"/>
    <w:tmpl w:val="6756DCEE"/>
    <w:lvl w:ilvl="0" w:tplc="FFFFFFFF">
      <w:start w:val="1"/>
      <w:numFmt w:val="lowerLetter"/>
      <w:lvlText w:val="%1)"/>
      <w:lvlJc w:val="left"/>
      <w:pPr>
        <w:ind w:left="862" w:hanging="360"/>
      </w:pPr>
      <w:rPr>
        <w:rFonts w:hint="default"/>
      </w:rPr>
    </w:lvl>
    <w:lvl w:ilvl="1" w:tplc="040C0017">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565F3067"/>
    <w:multiLevelType w:val="hybridMultilevel"/>
    <w:tmpl w:val="BE52D36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FE62F1"/>
    <w:multiLevelType w:val="hybridMultilevel"/>
    <w:tmpl w:val="E466B6D8"/>
    <w:lvl w:ilvl="0" w:tplc="040C0017">
      <w:start w:val="1"/>
      <w:numFmt w:val="lowerLetter"/>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4" w15:restartNumberingAfterBreak="0">
    <w:nsid w:val="593170A7"/>
    <w:multiLevelType w:val="hybridMultilevel"/>
    <w:tmpl w:val="99969146"/>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A93D58"/>
    <w:multiLevelType w:val="hybridMultilevel"/>
    <w:tmpl w:val="0FDEF5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BB91FF6"/>
    <w:multiLevelType w:val="hybridMultilevel"/>
    <w:tmpl w:val="2F5C31BA"/>
    <w:lvl w:ilvl="0" w:tplc="FFFFFFFF">
      <w:start w:val="1"/>
      <w:numFmt w:val="lowerLetter"/>
      <w:lvlText w:val="%1)"/>
      <w:lvlJc w:val="left"/>
      <w:pPr>
        <w:ind w:left="720" w:hanging="360"/>
      </w:pPr>
      <w:rPr>
        <w:rFonts w:hint="default"/>
        <w:i w:val="0"/>
        <w:iCs w:val="0"/>
      </w:rPr>
    </w:lvl>
    <w:lvl w:ilvl="1" w:tplc="1B0865A0">
      <w:start w:val="1"/>
      <w:numFmt w:val="lowerRoman"/>
      <w:lvlText w:val="%2."/>
      <w:lvlJc w:val="left"/>
      <w:pPr>
        <w:ind w:left="1800" w:hanging="720"/>
      </w:pPr>
      <w:rPr>
        <w:rFonts w:hint="default"/>
        <w:b w:val="0"/>
        <w:bCs/>
        <w:i w:val="0"/>
        <w:i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FD4AAC8"/>
    <w:multiLevelType w:val="hybridMultilevel"/>
    <w:tmpl w:val="9342F008"/>
    <w:lvl w:ilvl="0" w:tplc="091E4720">
      <w:start w:val="1"/>
      <w:numFmt w:val="decimal"/>
      <w:lvlText w:val="%1."/>
      <w:lvlJc w:val="left"/>
      <w:pPr>
        <w:ind w:left="720" w:hanging="360"/>
      </w:pPr>
    </w:lvl>
    <w:lvl w:ilvl="1" w:tplc="17300882">
      <w:start w:val="1"/>
      <w:numFmt w:val="lowerLetter"/>
      <w:lvlText w:val="%2."/>
      <w:lvlJc w:val="left"/>
      <w:pPr>
        <w:ind w:left="1440" w:hanging="360"/>
      </w:pPr>
    </w:lvl>
    <w:lvl w:ilvl="2" w:tplc="A8DC82B0">
      <w:start w:val="1"/>
      <w:numFmt w:val="lowerRoman"/>
      <w:lvlText w:val="%3."/>
      <w:lvlJc w:val="right"/>
      <w:pPr>
        <w:ind w:left="2160" w:hanging="180"/>
      </w:pPr>
    </w:lvl>
    <w:lvl w:ilvl="3" w:tplc="1B92F724">
      <w:start w:val="1"/>
      <w:numFmt w:val="decimal"/>
      <w:lvlText w:val="%4."/>
      <w:lvlJc w:val="left"/>
      <w:pPr>
        <w:ind w:left="2880" w:hanging="360"/>
      </w:pPr>
    </w:lvl>
    <w:lvl w:ilvl="4" w:tplc="C414E602">
      <w:start w:val="1"/>
      <w:numFmt w:val="lowerLetter"/>
      <w:lvlText w:val="%5."/>
      <w:lvlJc w:val="left"/>
      <w:pPr>
        <w:ind w:left="3600" w:hanging="360"/>
      </w:pPr>
    </w:lvl>
    <w:lvl w:ilvl="5" w:tplc="65D06C8E">
      <w:start w:val="1"/>
      <w:numFmt w:val="lowerRoman"/>
      <w:lvlText w:val="%6."/>
      <w:lvlJc w:val="right"/>
      <w:pPr>
        <w:ind w:left="4320" w:hanging="180"/>
      </w:pPr>
    </w:lvl>
    <w:lvl w:ilvl="6" w:tplc="FA10D670">
      <w:start w:val="1"/>
      <w:numFmt w:val="decimal"/>
      <w:lvlText w:val="%7."/>
      <w:lvlJc w:val="left"/>
      <w:pPr>
        <w:ind w:left="5040" w:hanging="360"/>
      </w:pPr>
    </w:lvl>
    <w:lvl w:ilvl="7" w:tplc="17B4C23A">
      <w:start w:val="1"/>
      <w:numFmt w:val="lowerLetter"/>
      <w:lvlText w:val="%8."/>
      <w:lvlJc w:val="left"/>
      <w:pPr>
        <w:ind w:left="5760" w:hanging="360"/>
      </w:pPr>
    </w:lvl>
    <w:lvl w:ilvl="8" w:tplc="E3B8C07A">
      <w:start w:val="1"/>
      <w:numFmt w:val="lowerRoman"/>
      <w:lvlText w:val="%9."/>
      <w:lvlJc w:val="right"/>
      <w:pPr>
        <w:ind w:left="6480" w:hanging="180"/>
      </w:pPr>
    </w:lvl>
  </w:abstractNum>
  <w:abstractNum w:abstractNumId="29" w15:restartNumberingAfterBreak="0">
    <w:nsid w:val="60416251"/>
    <w:multiLevelType w:val="hybridMultilevel"/>
    <w:tmpl w:val="BD32C610"/>
    <w:lvl w:ilvl="0" w:tplc="0052857E">
      <w:start w:val="1"/>
      <w:numFmt w:val="lowerLetter"/>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40279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04259A"/>
    <w:multiLevelType w:val="hybridMultilevel"/>
    <w:tmpl w:val="8C2C1D02"/>
    <w:lvl w:ilvl="0" w:tplc="37004DEA">
      <w:start w:val="1"/>
      <w:numFmt w:val="bullet"/>
      <w:lvlText w:val="·"/>
      <w:lvlJc w:val="left"/>
      <w:pPr>
        <w:ind w:left="720" w:hanging="360"/>
      </w:pPr>
      <w:rPr>
        <w:rFonts w:ascii="Symbol" w:hAnsi="Symbol" w:hint="default"/>
      </w:rPr>
    </w:lvl>
    <w:lvl w:ilvl="1" w:tplc="5C14BF20">
      <w:start w:val="1"/>
      <w:numFmt w:val="bullet"/>
      <w:lvlText w:val="o"/>
      <w:lvlJc w:val="left"/>
      <w:pPr>
        <w:ind w:left="1440" w:hanging="360"/>
      </w:pPr>
      <w:rPr>
        <w:rFonts w:ascii="Courier New" w:hAnsi="Courier New" w:hint="default"/>
      </w:rPr>
    </w:lvl>
    <w:lvl w:ilvl="2" w:tplc="A83EF43C">
      <w:start w:val="1"/>
      <w:numFmt w:val="bullet"/>
      <w:lvlText w:val=""/>
      <w:lvlJc w:val="left"/>
      <w:pPr>
        <w:ind w:left="2160" w:hanging="360"/>
      </w:pPr>
      <w:rPr>
        <w:rFonts w:ascii="Wingdings" w:hAnsi="Wingdings" w:hint="default"/>
      </w:rPr>
    </w:lvl>
    <w:lvl w:ilvl="3" w:tplc="68EEEAFA">
      <w:start w:val="1"/>
      <w:numFmt w:val="bullet"/>
      <w:lvlText w:val=""/>
      <w:lvlJc w:val="left"/>
      <w:pPr>
        <w:ind w:left="2880" w:hanging="360"/>
      </w:pPr>
      <w:rPr>
        <w:rFonts w:ascii="Symbol" w:hAnsi="Symbol" w:hint="default"/>
      </w:rPr>
    </w:lvl>
    <w:lvl w:ilvl="4" w:tplc="0E345314">
      <w:start w:val="1"/>
      <w:numFmt w:val="bullet"/>
      <w:lvlText w:val="o"/>
      <w:lvlJc w:val="left"/>
      <w:pPr>
        <w:ind w:left="3600" w:hanging="360"/>
      </w:pPr>
      <w:rPr>
        <w:rFonts w:ascii="Courier New" w:hAnsi="Courier New" w:hint="default"/>
      </w:rPr>
    </w:lvl>
    <w:lvl w:ilvl="5" w:tplc="8E109A9E">
      <w:start w:val="1"/>
      <w:numFmt w:val="bullet"/>
      <w:lvlText w:val=""/>
      <w:lvlJc w:val="left"/>
      <w:pPr>
        <w:ind w:left="4320" w:hanging="360"/>
      </w:pPr>
      <w:rPr>
        <w:rFonts w:ascii="Wingdings" w:hAnsi="Wingdings" w:hint="default"/>
      </w:rPr>
    </w:lvl>
    <w:lvl w:ilvl="6" w:tplc="3B3E2BD6">
      <w:start w:val="1"/>
      <w:numFmt w:val="bullet"/>
      <w:lvlText w:val=""/>
      <w:lvlJc w:val="left"/>
      <w:pPr>
        <w:ind w:left="5040" w:hanging="360"/>
      </w:pPr>
      <w:rPr>
        <w:rFonts w:ascii="Symbol" w:hAnsi="Symbol" w:hint="default"/>
      </w:rPr>
    </w:lvl>
    <w:lvl w:ilvl="7" w:tplc="0CEC16FC">
      <w:start w:val="1"/>
      <w:numFmt w:val="bullet"/>
      <w:lvlText w:val="o"/>
      <w:lvlJc w:val="left"/>
      <w:pPr>
        <w:ind w:left="5760" w:hanging="360"/>
      </w:pPr>
      <w:rPr>
        <w:rFonts w:ascii="Courier New" w:hAnsi="Courier New" w:hint="default"/>
      </w:rPr>
    </w:lvl>
    <w:lvl w:ilvl="8" w:tplc="39502EFC">
      <w:start w:val="1"/>
      <w:numFmt w:val="bullet"/>
      <w:lvlText w:val=""/>
      <w:lvlJc w:val="left"/>
      <w:pPr>
        <w:ind w:left="6480" w:hanging="360"/>
      </w:pPr>
      <w:rPr>
        <w:rFonts w:ascii="Wingdings" w:hAnsi="Wingdings" w:hint="default"/>
      </w:rPr>
    </w:lvl>
  </w:abstractNum>
  <w:abstractNum w:abstractNumId="32" w15:restartNumberingAfterBreak="0">
    <w:nsid w:val="720A264C"/>
    <w:multiLevelType w:val="hybridMultilevel"/>
    <w:tmpl w:val="A05C75AA"/>
    <w:lvl w:ilvl="0" w:tplc="826025CE">
      <w:start w:val="1"/>
      <w:numFmt w:val="decimal"/>
      <w:lvlText w:val="%1."/>
      <w:lvlJc w:val="left"/>
      <w:pPr>
        <w:ind w:left="720" w:hanging="360"/>
      </w:pPr>
    </w:lvl>
    <w:lvl w:ilvl="1" w:tplc="CFEC05D4">
      <w:start w:val="1"/>
      <w:numFmt w:val="lowerLetter"/>
      <w:lvlText w:val="%2."/>
      <w:lvlJc w:val="left"/>
      <w:pPr>
        <w:ind w:left="1440" w:hanging="360"/>
      </w:pPr>
    </w:lvl>
    <w:lvl w:ilvl="2" w:tplc="1A604698">
      <w:start w:val="1"/>
      <w:numFmt w:val="lowerRoman"/>
      <w:lvlText w:val="%3."/>
      <w:lvlJc w:val="right"/>
      <w:pPr>
        <w:ind w:left="2160" w:hanging="180"/>
      </w:pPr>
    </w:lvl>
    <w:lvl w:ilvl="3" w:tplc="A3100CB8">
      <w:start w:val="1"/>
      <w:numFmt w:val="decimal"/>
      <w:lvlText w:val="%4."/>
      <w:lvlJc w:val="left"/>
      <w:pPr>
        <w:ind w:left="2880" w:hanging="360"/>
      </w:pPr>
    </w:lvl>
    <w:lvl w:ilvl="4" w:tplc="2CBCAA02">
      <w:start w:val="1"/>
      <w:numFmt w:val="lowerLetter"/>
      <w:lvlText w:val="%5."/>
      <w:lvlJc w:val="left"/>
      <w:pPr>
        <w:ind w:left="3600" w:hanging="360"/>
      </w:pPr>
    </w:lvl>
    <w:lvl w:ilvl="5" w:tplc="7C08BCFC">
      <w:start w:val="1"/>
      <w:numFmt w:val="lowerRoman"/>
      <w:lvlText w:val="%6."/>
      <w:lvlJc w:val="right"/>
      <w:pPr>
        <w:ind w:left="4320" w:hanging="180"/>
      </w:pPr>
    </w:lvl>
    <w:lvl w:ilvl="6" w:tplc="B7A0F468">
      <w:start w:val="1"/>
      <w:numFmt w:val="decimal"/>
      <w:lvlText w:val="%7."/>
      <w:lvlJc w:val="left"/>
      <w:pPr>
        <w:ind w:left="5040" w:hanging="360"/>
      </w:pPr>
    </w:lvl>
    <w:lvl w:ilvl="7" w:tplc="E678498E">
      <w:start w:val="1"/>
      <w:numFmt w:val="lowerLetter"/>
      <w:lvlText w:val="%8."/>
      <w:lvlJc w:val="left"/>
      <w:pPr>
        <w:ind w:left="5760" w:hanging="360"/>
      </w:pPr>
    </w:lvl>
    <w:lvl w:ilvl="8" w:tplc="2954F152">
      <w:start w:val="1"/>
      <w:numFmt w:val="lowerRoman"/>
      <w:lvlText w:val="%9."/>
      <w:lvlJc w:val="right"/>
      <w:pPr>
        <w:ind w:left="6480" w:hanging="180"/>
      </w:pPr>
    </w:lvl>
  </w:abstractNum>
  <w:abstractNum w:abstractNumId="33" w15:restartNumberingAfterBreak="0">
    <w:nsid w:val="73029577"/>
    <w:multiLevelType w:val="hybridMultilevel"/>
    <w:tmpl w:val="C022612C"/>
    <w:lvl w:ilvl="0" w:tplc="3F02812A">
      <w:start w:val="1"/>
      <w:numFmt w:val="lowerLetter"/>
      <w:lvlText w:val="%1."/>
      <w:lvlJc w:val="left"/>
      <w:pPr>
        <w:ind w:left="720" w:hanging="360"/>
      </w:pPr>
    </w:lvl>
    <w:lvl w:ilvl="1" w:tplc="CA5E1B9C">
      <w:start w:val="1"/>
      <w:numFmt w:val="lowerLetter"/>
      <w:lvlText w:val="%2."/>
      <w:lvlJc w:val="left"/>
      <w:pPr>
        <w:ind w:left="1440" w:hanging="360"/>
      </w:pPr>
    </w:lvl>
    <w:lvl w:ilvl="2" w:tplc="83E2E122">
      <w:start w:val="1"/>
      <w:numFmt w:val="lowerRoman"/>
      <w:lvlText w:val="%3."/>
      <w:lvlJc w:val="right"/>
      <w:pPr>
        <w:ind w:left="2160" w:hanging="180"/>
      </w:pPr>
    </w:lvl>
    <w:lvl w:ilvl="3" w:tplc="6E5069DA">
      <w:start w:val="1"/>
      <w:numFmt w:val="decimal"/>
      <w:lvlText w:val="%4."/>
      <w:lvlJc w:val="left"/>
      <w:pPr>
        <w:ind w:left="2880" w:hanging="360"/>
      </w:pPr>
    </w:lvl>
    <w:lvl w:ilvl="4" w:tplc="55F64748">
      <w:start w:val="1"/>
      <w:numFmt w:val="lowerLetter"/>
      <w:lvlText w:val="%5."/>
      <w:lvlJc w:val="left"/>
      <w:pPr>
        <w:ind w:left="3600" w:hanging="360"/>
      </w:pPr>
    </w:lvl>
    <w:lvl w:ilvl="5" w:tplc="105ABCF4">
      <w:start w:val="1"/>
      <w:numFmt w:val="lowerRoman"/>
      <w:lvlText w:val="%6."/>
      <w:lvlJc w:val="right"/>
      <w:pPr>
        <w:ind w:left="4320" w:hanging="180"/>
      </w:pPr>
    </w:lvl>
    <w:lvl w:ilvl="6" w:tplc="840C305E">
      <w:start w:val="1"/>
      <w:numFmt w:val="decimal"/>
      <w:lvlText w:val="%7."/>
      <w:lvlJc w:val="left"/>
      <w:pPr>
        <w:ind w:left="5040" w:hanging="360"/>
      </w:pPr>
    </w:lvl>
    <w:lvl w:ilvl="7" w:tplc="FB8AA20E">
      <w:start w:val="1"/>
      <w:numFmt w:val="lowerLetter"/>
      <w:lvlText w:val="%8."/>
      <w:lvlJc w:val="left"/>
      <w:pPr>
        <w:ind w:left="5760" w:hanging="360"/>
      </w:pPr>
    </w:lvl>
    <w:lvl w:ilvl="8" w:tplc="9B429926">
      <w:start w:val="1"/>
      <w:numFmt w:val="lowerRoman"/>
      <w:lvlText w:val="%9."/>
      <w:lvlJc w:val="right"/>
      <w:pPr>
        <w:ind w:left="6480" w:hanging="180"/>
      </w:pPr>
    </w:lvl>
  </w:abstractNum>
  <w:abstractNum w:abstractNumId="34" w15:restartNumberingAfterBreak="0">
    <w:nsid w:val="7B8F0165"/>
    <w:multiLevelType w:val="hybridMultilevel"/>
    <w:tmpl w:val="1750A4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5742956">
    <w:abstractNumId w:val="5"/>
  </w:num>
  <w:num w:numId="2" w16cid:durableId="574123906">
    <w:abstractNumId w:val="20"/>
  </w:num>
  <w:num w:numId="3" w16cid:durableId="1418207101">
    <w:abstractNumId w:val="31"/>
  </w:num>
  <w:num w:numId="4" w16cid:durableId="379980652">
    <w:abstractNumId w:val="12"/>
  </w:num>
  <w:num w:numId="5" w16cid:durableId="339742919">
    <w:abstractNumId w:val="17"/>
  </w:num>
  <w:num w:numId="6" w16cid:durableId="1213466739">
    <w:abstractNumId w:val="15"/>
  </w:num>
  <w:num w:numId="7" w16cid:durableId="1109163003">
    <w:abstractNumId w:val="6"/>
  </w:num>
  <w:num w:numId="8" w16cid:durableId="962156035">
    <w:abstractNumId w:val="33"/>
  </w:num>
  <w:num w:numId="9" w16cid:durableId="931743310">
    <w:abstractNumId w:val="32"/>
  </w:num>
  <w:num w:numId="10" w16cid:durableId="2061512507">
    <w:abstractNumId w:val="28"/>
  </w:num>
  <w:num w:numId="11" w16cid:durableId="272370588">
    <w:abstractNumId w:val="14"/>
  </w:num>
  <w:num w:numId="12" w16cid:durableId="348069728">
    <w:abstractNumId w:val="11"/>
  </w:num>
  <w:num w:numId="13" w16cid:durableId="16585139">
    <w:abstractNumId w:val="13"/>
  </w:num>
  <w:num w:numId="14" w16cid:durableId="911739694">
    <w:abstractNumId w:val="24"/>
  </w:num>
  <w:num w:numId="15" w16cid:durableId="983042351">
    <w:abstractNumId w:val="8"/>
  </w:num>
  <w:num w:numId="16" w16cid:durableId="1458721694">
    <w:abstractNumId w:val="1"/>
  </w:num>
  <w:num w:numId="17" w16cid:durableId="1443301725">
    <w:abstractNumId w:val="18"/>
  </w:num>
  <w:num w:numId="18" w16cid:durableId="898591850">
    <w:abstractNumId w:val="2"/>
  </w:num>
  <w:num w:numId="19" w16cid:durableId="1578325422">
    <w:abstractNumId w:val="27"/>
  </w:num>
  <w:num w:numId="20" w16cid:durableId="1901861485">
    <w:abstractNumId w:val="25"/>
  </w:num>
  <w:num w:numId="21" w16cid:durableId="1199196488">
    <w:abstractNumId w:val="21"/>
  </w:num>
  <w:num w:numId="22" w16cid:durableId="1325431676">
    <w:abstractNumId w:val="3"/>
  </w:num>
  <w:num w:numId="23" w16cid:durableId="158428708">
    <w:abstractNumId w:val="19"/>
  </w:num>
  <w:num w:numId="24" w16cid:durableId="1480266476">
    <w:abstractNumId w:val="22"/>
  </w:num>
  <w:num w:numId="25" w16cid:durableId="1855220798">
    <w:abstractNumId w:val="29"/>
  </w:num>
  <w:num w:numId="26" w16cid:durableId="1500149349">
    <w:abstractNumId w:val="23"/>
  </w:num>
  <w:num w:numId="27" w16cid:durableId="57017452">
    <w:abstractNumId w:val="0"/>
  </w:num>
  <w:num w:numId="28" w16cid:durableId="119108258">
    <w:abstractNumId w:val="16"/>
  </w:num>
  <w:num w:numId="29" w16cid:durableId="1992326041">
    <w:abstractNumId w:val="4"/>
  </w:num>
  <w:num w:numId="30" w16cid:durableId="1552957327">
    <w:abstractNumId w:val="7"/>
  </w:num>
  <w:num w:numId="31" w16cid:durableId="1540505322">
    <w:abstractNumId w:val="26"/>
  </w:num>
  <w:num w:numId="32" w16cid:durableId="1489444849">
    <w:abstractNumId w:val="9"/>
  </w:num>
  <w:num w:numId="33" w16cid:durableId="191193065">
    <w:abstractNumId w:val="10"/>
  </w:num>
  <w:num w:numId="34" w16cid:durableId="1096629824">
    <w:abstractNumId w:val="30"/>
  </w:num>
  <w:num w:numId="35" w16cid:durableId="19995348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06"/>
    <w:rsid w:val="00045FFD"/>
    <w:rsid w:val="00051F76"/>
    <w:rsid w:val="000A2CDE"/>
    <w:rsid w:val="000D6426"/>
    <w:rsid w:val="001256E3"/>
    <w:rsid w:val="00142BDF"/>
    <w:rsid w:val="0014552D"/>
    <w:rsid w:val="0016752F"/>
    <w:rsid w:val="001F7EFD"/>
    <w:rsid w:val="00220487"/>
    <w:rsid w:val="00277A90"/>
    <w:rsid w:val="00283638"/>
    <w:rsid w:val="00293A06"/>
    <w:rsid w:val="002958A1"/>
    <w:rsid w:val="002A6E71"/>
    <w:rsid w:val="002B1954"/>
    <w:rsid w:val="002B7F9E"/>
    <w:rsid w:val="002D28E5"/>
    <w:rsid w:val="002F2439"/>
    <w:rsid w:val="00332F0C"/>
    <w:rsid w:val="003541F3"/>
    <w:rsid w:val="00361095"/>
    <w:rsid w:val="00383B0C"/>
    <w:rsid w:val="003A514E"/>
    <w:rsid w:val="00443BB2"/>
    <w:rsid w:val="004700EF"/>
    <w:rsid w:val="004859A2"/>
    <w:rsid w:val="00491FED"/>
    <w:rsid w:val="00493767"/>
    <w:rsid w:val="004A4399"/>
    <w:rsid w:val="004B5374"/>
    <w:rsid w:val="004B7D3F"/>
    <w:rsid w:val="004C3A2B"/>
    <w:rsid w:val="004C708C"/>
    <w:rsid w:val="004D746C"/>
    <w:rsid w:val="004D7AB5"/>
    <w:rsid w:val="005644AF"/>
    <w:rsid w:val="005673E9"/>
    <w:rsid w:val="005B67A0"/>
    <w:rsid w:val="005D1FCC"/>
    <w:rsid w:val="005D71F1"/>
    <w:rsid w:val="005E4D4C"/>
    <w:rsid w:val="005E6F2A"/>
    <w:rsid w:val="00613B27"/>
    <w:rsid w:val="00634B22"/>
    <w:rsid w:val="00676AC0"/>
    <w:rsid w:val="006A397E"/>
    <w:rsid w:val="006A4DB1"/>
    <w:rsid w:val="006B6350"/>
    <w:rsid w:val="006C0034"/>
    <w:rsid w:val="006C4615"/>
    <w:rsid w:val="006F3EE2"/>
    <w:rsid w:val="007008B1"/>
    <w:rsid w:val="007120FC"/>
    <w:rsid w:val="00744F36"/>
    <w:rsid w:val="00760277"/>
    <w:rsid w:val="00786CA5"/>
    <w:rsid w:val="00786CE1"/>
    <w:rsid w:val="007A2910"/>
    <w:rsid w:val="007B089B"/>
    <w:rsid w:val="007D627E"/>
    <w:rsid w:val="007E5970"/>
    <w:rsid w:val="007F1E22"/>
    <w:rsid w:val="007F2094"/>
    <w:rsid w:val="00801075"/>
    <w:rsid w:val="008313AA"/>
    <w:rsid w:val="008722F6"/>
    <w:rsid w:val="0089725F"/>
    <w:rsid w:val="008C2BB0"/>
    <w:rsid w:val="008D21C5"/>
    <w:rsid w:val="00934F28"/>
    <w:rsid w:val="00967DCD"/>
    <w:rsid w:val="00983261"/>
    <w:rsid w:val="009C72BE"/>
    <w:rsid w:val="009F1622"/>
    <w:rsid w:val="00A54FF4"/>
    <w:rsid w:val="00A62C99"/>
    <w:rsid w:val="00A84716"/>
    <w:rsid w:val="00A8590F"/>
    <w:rsid w:val="00A95CBE"/>
    <w:rsid w:val="00AD337F"/>
    <w:rsid w:val="00B155A6"/>
    <w:rsid w:val="00B44E68"/>
    <w:rsid w:val="00B456CA"/>
    <w:rsid w:val="00B76BE0"/>
    <w:rsid w:val="00C61479"/>
    <w:rsid w:val="00C6571F"/>
    <w:rsid w:val="00C97D26"/>
    <w:rsid w:val="00CB2242"/>
    <w:rsid w:val="00CB7E88"/>
    <w:rsid w:val="00CC6C84"/>
    <w:rsid w:val="00CD1AF6"/>
    <w:rsid w:val="00D61C98"/>
    <w:rsid w:val="00D81806"/>
    <w:rsid w:val="00D836D4"/>
    <w:rsid w:val="00E264C4"/>
    <w:rsid w:val="00E7697A"/>
    <w:rsid w:val="00E83A5F"/>
    <w:rsid w:val="00ED2D3F"/>
    <w:rsid w:val="00EE3D43"/>
    <w:rsid w:val="00EE4F46"/>
    <w:rsid w:val="00F05009"/>
    <w:rsid w:val="00F27ACD"/>
    <w:rsid w:val="00F44992"/>
    <w:rsid w:val="00F611A1"/>
    <w:rsid w:val="00F679AB"/>
    <w:rsid w:val="00FC2F3A"/>
    <w:rsid w:val="00FC7262"/>
    <w:rsid w:val="00FE7A0A"/>
    <w:rsid w:val="012E3990"/>
    <w:rsid w:val="013D2D3E"/>
    <w:rsid w:val="01B6F01F"/>
    <w:rsid w:val="0215B142"/>
    <w:rsid w:val="0222D581"/>
    <w:rsid w:val="02380A20"/>
    <w:rsid w:val="0259C5B7"/>
    <w:rsid w:val="02E09F6F"/>
    <w:rsid w:val="031B56FB"/>
    <w:rsid w:val="033CACE5"/>
    <w:rsid w:val="036D29D2"/>
    <w:rsid w:val="03F1C894"/>
    <w:rsid w:val="03F6D1E1"/>
    <w:rsid w:val="0417477B"/>
    <w:rsid w:val="0439F301"/>
    <w:rsid w:val="04D87D46"/>
    <w:rsid w:val="04E61686"/>
    <w:rsid w:val="05366C03"/>
    <w:rsid w:val="05407D82"/>
    <w:rsid w:val="057032C3"/>
    <w:rsid w:val="06744DA7"/>
    <w:rsid w:val="06B79257"/>
    <w:rsid w:val="06F29E18"/>
    <w:rsid w:val="071681DD"/>
    <w:rsid w:val="0748DCF8"/>
    <w:rsid w:val="07B41092"/>
    <w:rsid w:val="07C648DE"/>
    <w:rsid w:val="07CD5228"/>
    <w:rsid w:val="085362B8"/>
    <w:rsid w:val="087D4D1C"/>
    <w:rsid w:val="08E0C56A"/>
    <w:rsid w:val="094F8E14"/>
    <w:rsid w:val="09690950"/>
    <w:rsid w:val="09ABEE69"/>
    <w:rsid w:val="09B01A1F"/>
    <w:rsid w:val="0A4EC628"/>
    <w:rsid w:val="0A83701D"/>
    <w:rsid w:val="0AA2FEDF"/>
    <w:rsid w:val="0B157389"/>
    <w:rsid w:val="0BBCCF2F"/>
    <w:rsid w:val="0BC614E2"/>
    <w:rsid w:val="0C04F9D4"/>
    <w:rsid w:val="0D50BE3F"/>
    <w:rsid w:val="0D518A3F"/>
    <w:rsid w:val="0DDC824C"/>
    <w:rsid w:val="0E2B3F9C"/>
    <w:rsid w:val="0E656631"/>
    <w:rsid w:val="0E9F45E7"/>
    <w:rsid w:val="0EA3FC03"/>
    <w:rsid w:val="0EB72547"/>
    <w:rsid w:val="0F0566BF"/>
    <w:rsid w:val="0F171509"/>
    <w:rsid w:val="101672D5"/>
    <w:rsid w:val="101D167C"/>
    <w:rsid w:val="105E749D"/>
    <w:rsid w:val="11195358"/>
    <w:rsid w:val="11ACE5CE"/>
    <w:rsid w:val="11D6890D"/>
    <w:rsid w:val="12242F62"/>
    <w:rsid w:val="123AF113"/>
    <w:rsid w:val="12A999F3"/>
    <w:rsid w:val="12E11B21"/>
    <w:rsid w:val="12FEB0BF"/>
    <w:rsid w:val="135FDEF0"/>
    <w:rsid w:val="13DB477A"/>
    <w:rsid w:val="1474DDDA"/>
    <w:rsid w:val="14BAF5D5"/>
    <w:rsid w:val="161B82E0"/>
    <w:rsid w:val="177FE9BC"/>
    <w:rsid w:val="17A8D406"/>
    <w:rsid w:val="17EF4E19"/>
    <w:rsid w:val="1836A8CB"/>
    <w:rsid w:val="18505E25"/>
    <w:rsid w:val="188E3974"/>
    <w:rsid w:val="18919E2A"/>
    <w:rsid w:val="1900DC68"/>
    <w:rsid w:val="19442118"/>
    <w:rsid w:val="1944C5CE"/>
    <w:rsid w:val="1965F216"/>
    <w:rsid w:val="1994F764"/>
    <w:rsid w:val="19A22F22"/>
    <w:rsid w:val="19A9CCBC"/>
    <w:rsid w:val="19D63A81"/>
    <w:rsid w:val="19DB76FE"/>
    <w:rsid w:val="19FEDE7D"/>
    <w:rsid w:val="1A11F928"/>
    <w:rsid w:val="1A42093A"/>
    <w:rsid w:val="1A9CACC9"/>
    <w:rsid w:val="1AD0893D"/>
    <w:rsid w:val="1AE36B20"/>
    <w:rsid w:val="1B1BB39A"/>
    <w:rsid w:val="1BFDE722"/>
    <w:rsid w:val="1C2FDBB9"/>
    <w:rsid w:val="1CB6CDDC"/>
    <w:rsid w:val="1CBE3484"/>
    <w:rsid w:val="1D5775E8"/>
    <w:rsid w:val="1DC50493"/>
    <w:rsid w:val="1DD17BBD"/>
    <w:rsid w:val="1DEF5E75"/>
    <w:rsid w:val="1E537922"/>
    <w:rsid w:val="1E610F3D"/>
    <w:rsid w:val="1E646138"/>
    <w:rsid w:val="1FE8276D"/>
    <w:rsid w:val="207B3A30"/>
    <w:rsid w:val="20F6F1A6"/>
    <w:rsid w:val="22E0CC97"/>
    <w:rsid w:val="22FA846C"/>
    <w:rsid w:val="231EA9FE"/>
    <w:rsid w:val="23928690"/>
    <w:rsid w:val="23CFC323"/>
    <w:rsid w:val="24A4BA1B"/>
    <w:rsid w:val="252F45D4"/>
    <w:rsid w:val="25AA16FF"/>
    <w:rsid w:val="25E38B26"/>
    <w:rsid w:val="26BA1B14"/>
    <w:rsid w:val="270342F7"/>
    <w:rsid w:val="274E163C"/>
    <w:rsid w:val="279FB600"/>
    <w:rsid w:val="288ECE4F"/>
    <w:rsid w:val="28C2E042"/>
    <w:rsid w:val="29154420"/>
    <w:rsid w:val="29842F46"/>
    <w:rsid w:val="29982031"/>
    <w:rsid w:val="29EB43E9"/>
    <w:rsid w:val="2A044BD9"/>
    <w:rsid w:val="2A6FEB7A"/>
    <w:rsid w:val="2A7A44E1"/>
    <w:rsid w:val="2A9EDF23"/>
    <w:rsid w:val="2B33F092"/>
    <w:rsid w:val="2B508C46"/>
    <w:rsid w:val="2B8A641A"/>
    <w:rsid w:val="2BD264DC"/>
    <w:rsid w:val="2C568E7A"/>
    <w:rsid w:val="2C6353DA"/>
    <w:rsid w:val="2C7D5782"/>
    <w:rsid w:val="2D364B3E"/>
    <w:rsid w:val="2D375EB0"/>
    <w:rsid w:val="2D4D1B62"/>
    <w:rsid w:val="2D5983BE"/>
    <w:rsid w:val="2D5CE92D"/>
    <w:rsid w:val="2DA78C3C"/>
    <w:rsid w:val="2E6445DB"/>
    <w:rsid w:val="2E6B9154"/>
    <w:rsid w:val="2E72A667"/>
    <w:rsid w:val="2EB3D114"/>
    <w:rsid w:val="2F59FF2A"/>
    <w:rsid w:val="3008B942"/>
    <w:rsid w:val="303A6860"/>
    <w:rsid w:val="3068C9D2"/>
    <w:rsid w:val="31699B7E"/>
    <w:rsid w:val="31B74FD5"/>
    <w:rsid w:val="31C6E0BF"/>
    <w:rsid w:val="31DD541E"/>
    <w:rsid w:val="327AFD5F"/>
    <w:rsid w:val="328DDE8B"/>
    <w:rsid w:val="32A8E5D1"/>
    <w:rsid w:val="32C9EA3E"/>
    <w:rsid w:val="32DC119A"/>
    <w:rsid w:val="32E7FECB"/>
    <w:rsid w:val="3301A0D5"/>
    <w:rsid w:val="33732D1D"/>
    <w:rsid w:val="33A06A94"/>
    <w:rsid w:val="33D0E25A"/>
    <w:rsid w:val="348550A1"/>
    <w:rsid w:val="35C4611C"/>
    <w:rsid w:val="35FD70C0"/>
    <w:rsid w:val="3600B0C9"/>
    <w:rsid w:val="3644DE25"/>
    <w:rsid w:val="36757A41"/>
    <w:rsid w:val="368D38B7"/>
    <w:rsid w:val="36BEE2F9"/>
    <w:rsid w:val="37C7CBED"/>
    <w:rsid w:val="38114AA2"/>
    <w:rsid w:val="3856EA1C"/>
    <w:rsid w:val="389C1079"/>
    <w:rsid w:val="390626C0"/>
    <w:rsid w:val="3910C844"/>
    <w:rsid w:val="39ABFCD2"/>
    <w:rsid w:val="39D9C381"/>
    <w:rsid w:val="3A164C2D"/>
    <w:rsid w:val="3A74D46D"/>
    <w:rsid w:val="3AE3ACC0"/>
    <w:rsid w:val="3B68C254"/>
    <w:rsid w:val="3B89158C"/>
    <w:rsid w:val="3BB2A8FD"/>
    <w:rsid w:val="3C2FAAC1"/>
    <w:rsid w:val="3C3C1929"/>
    <w:rsid w:val="3DF03D2E"/>
    <w:rsid w:val="3E7F8C93"/>
    <w:rsid w:val="3EB87E63"/>
    <w:rsid w:val="3F50234E"/>
    <w:rsid w:val="3F521B05"/>
    <w:rsid w:val="3F54D0AA"/>
    <w:rsid w:val="40C66031"/>
    <w:rsid w:val="411A19EB"/>
    <w:rsid w:val="41950D3F"/>
    <w:rsid w:val="42725D60"/>
    <w:rsid w:val="42736F57"/>
    <w:rsid w:val="42ADCEC4"/>
    <w:rsid w:val="42DBEA26"/>
    <w:rsid w:val="435A80E8"/>
    <w:rsid w:val="43C5B597"/>
    <w:rsid w:val="43FE00F3"/>
    <w:rsid w:val="441BB6B3"/>
    <w:rsid w:val="44A460DB"/>
    <w:rsid w:val="44F87E3E"/>
    <w:rsid w:val="451F14C7"/>
    <w:rsid w:val="4537162C"/>
    <w:rsid w:val="45393662"/>
    <w:rsid w:val="45C15C89"/>
    <w:rsid w:val="45CB9138"/>
    <w:rsid w:val="46769CF2"/>
    <w:rsid w:val="46BA7780"/>
    <w:rsid w:val="46DCF449"/>
    <w:rsid w:val="46F25AD6"/>
    <w:rsid w:val="4704231D"/>
    <w:rsid w:val="4718FF85"/>
    <w:rsid w:val="47274CA1"/>
    <w:rsid w:val="47813FE7"/>
    <w:rsid w:val="47DEC89A"/>
    <w:rsid w:val="4870D724"/>
    <w:rsid w:val="48D17216"/>
    <w:rsid w:val="48EF27D6"/>
    <w:rsid w:val="490F8800"/>
    <w:rsid w:val="4947E410"/>
    <w:rsid w:val="49AB7867"/>
    <w:rsid w:val="4A13F4EB"/>
    <w:rsid w:val="4B12AF19"/>
    <w:rsid w:val="4B1D5285"/>
    <w:rsid w:val="4B457BEB"/>
    <w:rsid w:val="4BFE19AD"/>
    <w:rsid w:val="4CACF261"/>
    <w:rsid w:val="4D4873FD"/>
    <w:rsid w:val="4D5264E2"/>
    <w:rsid w:val="4DE3D8A5"/>
    <w:rsid w:val="4E7E9F40"/>
    <w:rsid w:val="4EB44F4A"/>
    <w:rsid w:val="4EEC85BF"/>
    <w:rsid w:val="4EFD6CBB"/>
    <w:rsid w:val="5057138E"/>
    <w:rsid w:val="50A88DAD"/>
    <w:rsid w:val="51304189"/>
    <w:rsid w:val="5143C203"/>
    <w:rsid w:val="5180C82B"/>
    <w:rsid w:val="51B40A24"/>
    <w:rsid w:val="51DCC1D7"/>
    <w:rsid w:val="52192CDF"/>
    <w:rsid w:val="5236BCCF"/>
    <w:rsid w:val="524D979A"/>
    <w:rsid w:val="52D47A17"/>
    <w:rsid w:val="5339DB5A"/>
    <w:rsid w:val="53B7B581"/>
    <w:rsid w:val="53F47969"/>
    <w:rsid w:val="543CA964"/>
    <w:rsid w:val="54B868ED"/>
    <w:rsid w:val="54EBAAE6"/>
    <w:rsid w:val="555747B2"/>
    <w:rsid w:val="5600A8BC"/>
    <w:rsid w:val="5667F050"/>
    <w:rsid w:val="56AAAF06"/>
    <w:rsid w:val="56F26B8C"/>
    <w:rsid w:val="56F31813"/>
    <w:rsid w:val="57111726"/>
    <w:rsid w:val="57A270F2"/>
    <w:rsid w:val="58008055"/>
    <w:rsid w:val="5801E546"/>
    <w:rsid w:val="584415D5"/>
    <w:rsid w:val="588B26A4"/>
    <w:rsid w:val="58958889"/>
    <w:rsid w:val="58B11741"/>
    <w:rsid w:val="58F42A02"/>
    <w:rsid w:val="59ACFAC1"/>
    <w:rsid w:val="59B3B427"/>
    <w:rsid w:val="5A4CE7A2"/>
    <w:rsid w:val="5A5FE263"/>
    <w:rsid w:val="5B05536B"/>
    <w:rsid w:val="5B26FE75"/>
    <w:rsid w:val="5B30073B"/>
    <w:rsid w:val="5B660B3A"/>
    <w:rsid w:val="5C4EAF5D"/>
    <w:rsid w:val="5CB32CD1"/>
    <w:rsid w:val="5D9DB0C1"/>
    <w:rsid w:val="5D9E9491"/>
    <w:rsid w:val="5DEA7FBE"/>
    <w:rsid w:val="5E4EDDCA"/>
    <w:rsid w:val="5EA1BF1B"/>
    <w:rsid w:val="5EB35759"/>
    <w:rsid w:val="5F3C4029"/>
    <w:rsid w:val="5F8DF1EF"/>
    <w:rsid w:val="5FF3BC22"/>
    <w:rsid w:val="600423E1"/>
    <w:rsid w:val="60571540"/>
    <w:rsid w:val="6099FA59"/>
    <w:rsid w:val="60BA828B"/>
    <w:rsid w:val="61313205"/>
    <w:rsid w:val="61C3F11B"/>
    <w:rsid w:val="61F2E5A1"/>
    <w:rsid w:val="62042078"/>
    <w:rsid w:val="6235CABA"/>
    <w:rsid w:val="6288A4F3"/>
    <w:rsid w:val="6289B838"/>
    <w:rsid w:val="63106550"/>
    <w:rsid w:val="6318E20B"/>
    <w:rsid w:val="631993F9"/>
    <w:rsid w:val="636912BC"/>
    <w:rsid w:val="64267F49"/>
    <w:rsid w:val="64ACE9E4"/>
    <w:rsid w:val="6682100B"/>
    <w:rsid w:val="669B4F90"/>
    <w:rsid w:val="66C46C38"/>
    <w:rsid w:val="67132B13"/>
    <w:rsid w:val="672B6AAA"/>
    <w:rsid w:val="6858FDD8"/>
    <w:rsid w:val="6874F5A5"/>
    <w:rsid w:val="68854D45"/>
    <w:rsid w:val="68F1E917"/>
    <w:rsid w:val="690A4DCC"/>
    <w:rsid w:val="693F7EEF"/>
    <w:rsid w:val="6986F192"/>
    <w:rsid w:val="69F60A00"/>
    <w:rsid w:val="6A081246"/>
    <w:rsid w:val="6AE96D9F"/>
    <w:rsid w:val="6B2CB20C"/>
    <w:rsid w:val="6BB93238"/>
    <w:rsid w:val="6C512977"/>
    <w:rsid w:val="6E084558"/>
    <w:rsid w:val="6E332DCA"/>
    <w:rsid w:val="6E33F9FE"/>
    <w:rsid w:val="6E91660C"/>
    <w:rsid w:val="6EB85985"/>
    <w:rsid w:val="6F367C8F"/>
    <w:rsid w:val="6F46DAEA"/>
    <w:rsid w:val="6F674EC3"/>
    <w:rsid w:val="6FF1B24D"/>
    <w:rsid w:val="6FF61999"/>
    <w:rsid w:val="705429E6"/>
    <w:rsid w:val="707F16CB"/>
    <w:rsid w:val="71066CCF"/>
    <w:rsid w:val="713AC22D"/>
    <w:rsid w:val="718AB8B9"/>
    <w:rsid w:val="71AF7F3F"/>
    <w:rsid w:val="7218124E"/>
    <w:rsid w:val="72AFCBA7"/>
    <w:rsid w:val="73622768"/>
    <w:rsid w:val="7387240C"/>
    <w:rsid w:val="73FAAB2A"/>
    <w:rsid w:val="7411DB38"/>
    <w:rsid w:val="74C2597B"/>
    <w:rsid w:val="75201FE3"/>
    <w:rsid w:val="7522F46D"/>
    <w:rsid w:val="75279B09"/>
    <w:rsid w:val="7540AA2D"/>
    <w:rsid w:val="754F7254"/>
    <w:rsid w:val="75A76629"/>
    <w:rsid w:val="75ADAB99"/>
    <w:rsid w:val="75B7CA7B"/>
    <w:rsid w:val="765A680C"/>
    <w:rsid w:val="7738C472"/>
    <w:rsid w:val="77497BFA"/>
    <w:rsid w:val="774F2A48"/>
    <w:rsid w:val="776CC638"/>
    <w:rsid w:val="77A8614D"/>
    <w:rsid w:val="781AFEAF"/>
    <w:rsid w:val="781E88DE"/>
    <w:rsid w:val="788BC528"/>
    <w:rsid w:val="78A2EA91"/>
    <w:rsid w:val="78BB2666"/>
    <w:rsid w:val="78F23E64"/>
    <w:rsid w:val="7959D94F"/>
    <w:rsid w:val="798891F1"/>
    <w:rsid w:val="7A141B50"/>
    <w:rsid w:val="7A562E90"/>
    <w:rsid w:val="7BA131A5"/>
    <w:rsid w:val="7C1398A1"/>
    <w:rsid w:val="7C66636A"/>
    <w:rsid w:val="7CCD6B60"/>
    <w:rsid w:val="7CF0E8C2"/>
    <w:rsid w:val="7D4BBC12"/>
    <w:rsid w:val="7E196723"/>
    <w:rsid w:val="7E3A4A10"/>
    <w:rsid w:val="7E5F9B3E"/>
    <w:rsid w:val="7E8AC179"/>
    <w:rsid w:val="7E8C0B9B"/>
    <w:rsid w:val="7EAC8071"/>
    <w:rsid w:val="7ECE7D4F"/>
    <w:rsid w:val="7ED63A64"/>
    <w:rsid w:val="7F43D657"/>
    <w:rsid w:val="7F9AF241"/>
    <w:rsid w:val="7FA6D040"/>
    <w:rsid w:val="7FC3F968"/>
    <w:rsid w:val="7FCDACC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DF761"/>
  <w15:chartTrackingRefBased/>
  <w15:docId w15:val="{97B77052-F8D3-4A8E-A0EC-ECBC23CA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6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76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293A06"/>
    <w:pPr>
      <w:ind w:left="720"/>
      <w:contextualSpacing/>
    </w:pPr>
    <w:rPr>
      <w:kern w:val="0"/>
      <w14:ligatures w14:val="none"/>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locked/>
    <w:rsid w:val="00293A06"/>
    <w:rPr>
      <w:kern w:val="0"/>
      <w14:ligatures w14:val="none"/>
    </w:rPr>
  </w:style>
  <w:style w:type="paragraph" w:customStyle="1" w:styleId="Paragraphe">
    <w:name w:val="Paragraphe"/>
    <w:basedOn w:val="Normal"/>
    <w:link w:val="ParagrapheCar"/>
    <w:qFormat/>
    <w:rsid w:val="00934F28"/>
    <w:pPr>
      <w:jc w:val="both"/>
    </w:pPr>
    <w:rPr>
      <w:rFonts w:ascii="Verdana" w:hAnsi="Verdana" w:cs="Calibri"/>
      <w:kern w:val="0"/>
      <w:sz w:val="20"/>
      <w:szCs w:val="20"/>
      <w14:ligatures w14:val="none"/>
    </w:rPr>
  </w:style>
  <w:style w:type="character" w:customStyle="1" w:styleId="ParagrapheCar">
    <w:name w:val="Paragraphe Car"/>
    <w:basedOn w:val="Policepardfaut"/>
    <w:link w:val="Paragraphe"/>
    <w:rsid w:val="00934F28"/>
    <w:rPr>
      <w:rFonts w:ascii="Verdana" w:hAnsi="Verdana" w:cs="Calibri"/>
      <w:kern w:val="0"/>
      <w:sz w:val="20"/>
      <w:szCs w:val="20"/>
      <w14:ligatures w14:val="none"/>
    </w:rPr>
  </w:style>
  <w:style w:type="paragraph" w:styleId="Sansinterligne">
    <w:name w:val="No Spacing"/>
    <w:link w:val="SansinterligneCar"/>
    <w:uiPriority w:val="1"/>
    <w:qFormat/>
    <w:rsid w:val="006C0034"/>
    <w:pPr>
      <w:spacing w:after="0" w:line="240" w:lineRule="auto"/>
    </w:pPr>
    <w:rPr>
      <w:kern w:val="0"/>
      <w14:ligatures w14:val="none"/>
    </w:rPr>
  </w:style>
  <w:style w:type="character" w:customStyle="1" w:styleId="SansinterligneCar">
    <w:name w:val="Sans interligne Car"/>
    <w:link w:val="Sansinterligne"/>
    <w:uiPriority w:val="1"/>
    <w:locked/>
    <w:rsid w:val="006C0034"/>
    <w:rPr>
      <w:kern w:val="0"/>
      <w14:ligatures w14:val="none"/>
    </w:rPr>
  </w:style>
  <w:style w:type="character" w:customStyle="1" w:styleId="Titre2Car">
    <w:name w:val="Titre 2 Car"/>
    <w:basedOn w:val="Policepardfaut"/>
    <w:link w:val="Titre2"/>
    <w:uiPriority w:val="9"/>
    <w:rsid w:val="00B76BE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B76BE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B76BE0"/>
    <w:pPr>
      <w:outlineLvl w:val="9"/>
    </w:pPr>
    <w:rPr>
      <w:kern w:val="0"/>
      <w:lang w:eastAsia="fr-FR"/>
      <w14:ligatures w14:val="none"/>
    </w:rPr>
  </w:style>
  <w:style w:type="paragraph" w:styleId="TM2">
    <w:name w:val="toc 2"/>
    <w:basedOn w:val="Normal"/>
    <w:next w:val="Normal"/>
    <w:autoRedefine/>
    <w:uiPriority w:val="39"/>
    <w:unhideWhenUsed/>
    <w:rsid w:val="00B76BE0"/>
    <w:pPr>
      <w:spacing w:after="100"/>
      <w:ind w:left="220"/>
    </w:pPr>
  </w:style>
  <w:style w:type="character" w:styleId="Lienhypertexte">
    <w:name w:val="Hyperlink"/>
    <w:basedOn w:val="Policepardfaut"/>
    <w:uiPriority w:val="99"/>
    <w:unhideWhenUsed/>
    <w:rsid w:val="00B76BE0"/>
    <w:rPr>
      <w:color w:val="0563C1" w:themeColor="hyperlink"/>
      <w:u w:val="single"/>
    </w:rPr>
  </w:style>
  <w:style w:type="paragraph" w:styleId="En-tte">
    <w:name w:val="header"/>
    <w:basedOn w:val="Normal"/>
    <w:link w:val="En-tteCar"/>
    <w:uiPriority w:val="99"/>
    <w:unhideWhenUsed/>
    <w:rsid w:val="00B76BE0"/>
    <w:pPr>
      <w:tabs>
        <w:tab w:val="center" w:pos="4513"/>
        <w:tab w:val="right" w:pos="9026"/>
      </w:tabs>
      <w:spacing w:after="0" w:line="240" w:lineRule="auto"/>
    </w:pPr>
  </w:style>
  <w:style w:type="character" w:customStyle="1" w:styleId="En-tteCar">
    <w:name w:val="En-tête Car"/>
    <w:basedOn w:val="Policepardfaut"/>
    <w:link w:val="En-tte"/>
    <w:uiPriority w:val="99"/>
    <w:rsid w:val="00B76BE0"/>
  </w:style>
  <w:style w:type="paragraph" w:styleId="Pieddepage">
    <w:name w:val="footer"/>
    <w:basedOn w:val="Normal"/>
    <w:link w:val="PieddepageCar"/>
    <w:uiPriority w:val="99"/>
    <w:unhideWhenUsed/>
    <w:rsid w:val="00B76BE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76BE0"/>
  </w:style>
  <w:style w:type="character" w:customStyle="1" w:styleId="cf01">
    <w:name w:val="cf01"/>
    <w:basedOn w:val="Policepardfaut"/>
    <w:rsid w:val="004C708C"/>
    <w:rPr>
      <w:rFonts w:ascii="Segoe UI" w:hAnsi="Segoe UI" w:cs="Segoe UI" w:hint="default"/>
      <w:color w:val="C45911"/>
      <w:sz w:val="18"/>
      <w:szCs w:val="18"/>
    </w:rPr>
  </w:style>
  <w:style w:type="paragraph" w:customStyle="1" w:styleId="Titrepartie">
    <w:name w:val="Titre partie"/>
    <w:basedOn w:val="Paragraphedeliste"/>
    <w:link w:val="TitrepartieCar"/>
    <w:qFormat/>
    <w:rsid w:val="005D71F1"/>
    <w:pPr>
      <w:numPr>
        <w:numId w:val="22"/>
      </w:numPr>
      <w:jc w:val="both"/>
    </w:pPr>
    <w:rPr>
      <w:rFonts w:ascii="Verdana" w:hAnsi="Verdana" w:cs="Calibri"/>
      <w:b/>
      <w:bCs/>
      <w:color w:val="0070C0"/>
      <w:szCs w:val="20"/>
    </w:rPr>
  </w:style>
  <w:style w:type="character" w:customStyle="1" w:styleId="TitrepartieCar">
    <w:name w:val="Titre partie Car"/>
    <w:basedOn w:val="Policepardfaut"/>
    <w:link w:val="Titrepartie"/>
    <w:rsid w:val="005D71F1"/>
    <w:rPr>
      <w:rFonts w:ascii="Verdana" w:hAnsi="Verdana" w:cs="Calibri"/>
      <w:b/>
      <w:bCs/>
      <w:color w:val="0070C0"/>
      <w:kern w:val="0"/>
      <w:szCs w:val="20"/>
      <w14:ligatures w14:val="none"/>
    </w:rPr>
  </w:style>
  <w:style w:type="paragraph" w:customStyle="1" w:styleId="Sous-partie2">
    <w:name w:val="Sous-partie 2"/>
    <w:basedOn w:val="Paragraphedeliste"/>
    <w:qFormat/>
    <w:rsid w:val="005D71F1"/>
    <w:pPr>
      <w:numPr>
        <w:ilvl w:val="1"/>
        <w:numId w:val="22"/>
      </w:numPr>
      <w:tabs>
        <w:tab w:val="num" w:pos="360"/>
      </w:tabs>
      <w:ind w:left="1080" w:firstLine="0"/>
      <w:jc w:val="both"/>
    </w:pPr>
    <w:rPr>
      <w:rFonts w:ascii="Verdana" w:hAnsi="Verdana" w:cs="Calibri"/>
      <w:color w:val="0070C0"/>
      <w:sz w:val="20"/>
      <w:szCs w:val="20"/>
    </w:rPr>
  </w:style>
  <w:style w:type="paragraph" w:customStyle="1" w:styleId="Default">
    <w:name w:val="Default"/>
    <w:rsid w:val="00383B0C"/>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Rvision">
    <w:name w:val="Revision"/>
    <w:hidden/>
    <w:uiPriority w:val="99"/>
    <w:semiHidden/>
    <w:rsid w:val="005B67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ltir.org/" TargetMode="External"/><Relationship Id="rId5" Type="http://schemas.openxmlformats.org/officeDocument/2006/relationships/webSettings" Target="webSettings.xml"/><Relationship Id="rId10" Type="http://schemas.openxmlformats.org/officeDocument/2006/relationships/hyperlink" Target="http://www.kiltir.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3ADB-4D45-4ECB-8E73-CC941532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5020</Words>
  <Characters>27614</Characters>
  <Application>Microsoft Office Word</Application>
  <DocSecurity>0</DocSecurity>
  <Lines>230</Lines>
  <Paragraphs>65</Paragraphs>
  <ScaleCrop>false</ScaleCrop>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2</cp:revision>
  <cp:lastPrinted>2023-11-17T16:55:00Z</cp:lastPrinted>
  <dcterms:created xsi:type="dcterms:W3CDTF">2024-04-16T05:26:00Z</dcterms:created>
  <dcterms:modified xsi:type="dcterms:W3CDTF">2024-04-16T05:26:00Z</dcterms:modified>
</cp:coreProperties>
</file>