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166F" w14:textId="77777777" w:rsidR="00C2082F" w:rsidRDefault="00C2082F" w:rsidP="00C2082F">
      <w:pPr>
        <w:pStyle w:val="Titre"/>
        <w:rPr>
          <w:rFonts w:ascii="Verdana" w:hAnsi="Verdana"/>
          <w:sz w:val="22"/>
          <w:szCs w:val="22"/>
        </w:rPr>
      </w:pPr>
    </w:p>
    <w:p w14:paraId="1E075302" w14:textId="7F1CEBD4" w:rsidR="00C2082F" w:rsidRPr="00044923" w:rsidRDefault="00C2082F" w:rsidP="00C2082F">
      <w:pPr>
        <w:pStyle w:val="Titre"/>
        <w:rPr>
          <w:rFonts w:ascii="Verdana" w:hAnsi="Verdana"/>
          <w:sz w:val="22"/>
          <w:szCs w:val="22"/>
        </w:rPr>
      </w:pPr>
      <w:r w:rsidRPr="00044923">
        <w:rPr>
          <w:rFonts w:ascii="Verdana" w:hAnsi="Verdana"/>
          <w:sz w:val="22"/>
          <w:szCs w:val="22"/>
        </w:rPr>
        <w:t>Concept note du projet GIZ Espèces exotiques envahissantes</w:t>
      </w:r>
    </w:p>
    <w:p w14:paraId="7FDDE812" w14:textId="77777777" w:rsidR="00C2082F" w:rsidRDefault="00C2082F" w:rsidP="007B369C">
      <w:pPr>
        <w:spacing w:line="240" w:lineRule="auto"/>
        <w:rPr>
          <w:rStyle w:val="Headerorfooter"/>
          <w:rFonts w:ascii="Verdana" w:hAnsi="Verdana"/>
          <w:i w:val="0"/>
          <w:iCs w:val="0"/>
          <w:sz w:val="22"/>
          <w:szCs w:val="22"/>
        </w:rPr>
      </w:pPr>
    </w:p>
    <w:p w14:paraId="55A307A8" w14:textId="0F59B769" w:rsidR="007B369C" w:rsidRPr="00044923" w:rsidRDefault="007B369C" w:rsidP="007B369C">
      <w:pPr>
        <w:spacing w:line="240" w:lineRule="auto"/>
        <w:rPr>
          <w:sz w:val="22"/>
        </w:rPr>
      </w:pPr>
      <w:r w:rsidRPr="00044923">
        <w:rPr>
          <w:rStyle w:val="Headerorfooter"/>
          <w:rFonts w:ascii="Verdana" w:hAnsi="Verdana"/>
          <w:i w:val="0"/>
          <w:iCs w:val="0"/>
          <w:sz w:val="22"/>
          <w:szCs w:val="22"/>
        </w:rPr>
        <w:t xml:space="preserve">Appel thématique 2022 de l'IKI - Note de concept : </w:t>
      </w:r>
      <w:r w:rsidRPr="00044923">
        <w:rPr>
          <w:rStyle w:val="Headerorfooter95ptBold"/>
          <w:rFonts w:ascii="Verdana" w:hAnsi="Verdana"/>
          <w:sz w:val="22"/>
          <w:szCs w:val="22"/>
        </w:rPr>
        <w:t>Prévention/éradication/contrôle des EEE dans l’océan indien</w:t>
      </w:r>
    </w:p>
    <w:p w14:paraId="6A69A666" w14:textId="77777777" w:rsidR="007B369C" w:rsidRPr="00044923" w:rsidRDefault="007B369C" w:rsidP="007B369C">
      <w:pPr>
        <w:pStyle w:val="Titre"/>
        <w:rPr>
          <w:rFonts w:ascii="Verdana" w:hAnsi="Verdana"/>
          <w:sz w:val="22"/>
          <w:szCs w:val="22"/>
        </w:rPr>
      </w:pPr>
    </w:p>
    <w:p w14:paraId="7221863F" w14:textId="77777777" w:rsidR="007B369C" w:rsidRPr="00044923" w:rsidRDefault="007B369C" w:rsidP="007B369C">
      <w:pPr>
        <w:pStyle w:val="Heading10"/>
        <w:keepNext/>
        <w:keepLines/>
        <w:shd w:val="clear" w:color="auto" w:fill="auto"/>
        <w:spacing w:before="0" w:after="133" w:line="220" w:lineRule="exact"/>
        <w:rPr>
          <w:rFonts w:ascii="Verdana" w:hAnsi="Verdana"/>
          <w:sz w:val="22"/>
        </w:rPr>
      </w:pPr>
      <w:bookmarkStart w:id="0" w:name="bookmark0"/>
      <w:r w:rsidRPr="00044923">
        <w:rPr>
          <w:rFonts w:ascii="Verdana" w:hAnsi="Verdana"/>
          <w:color w:val="000000"/>
          <w:sz w:val="22"/>
          <w:lang w:eastAsia="fr-FR" w:bidi="fr-FR"/>
        </w:rPr>
        <w:t>Introduction</w:t>
      </w:r>
      <w:bookmarkEnd w:id="0"/>
    </w:p>
    <w:p w14:paraId="0B280E02" w14:textId="77777777" w:rsidR="007B369C" w:rsidRPr="00044923" w:rsidRDefault="007B369C" w:rsidP="007B369C">
      <w:pPr>
        <w:rPr>
          <w:sz w:val="22"/>
        </w:rPr>
      </w:pPr>
      <w:r w:rsidRPr="00044923">
        <w:rPr>
          <w:sz w:val="22"/>
          <w:lang w:eastAsia="fr-FR" w:bidi="fr-FR"/>
        </w:rPr>
        <w:t xml:space="preserve">Les États insulaires de l'océan Indien occidental (OIO) sont des points chauds de la biodiversité, et de nombreuses espèces de la région ne se trouvent nulle part ailleurs dans le monde - y compris 95 </w:t>
      </w:r>
      <w:r w:rsidRPr="00044923">
        <w:rPr>
          <w:rStyle w:val="Bodytext2Italic"/>
          <w:rFonts w:ascii="Verdana" w:hAnsi="Verdana"/>
          <w:sz w:val="22"/>
        </w:rPr>
        <w:t>%</w:t>
      </w:r>
      <w:r w:rsidRPr="00044923">
        <w:rPr>
          <w:sz w:val="22"/>
          <w:lang w:eastAsia="fr-FR" w:bidi="fr-FR"/>
        </w:rPr>
        <w:t xml:space="preserve"> des reptiles de Madagascar, 89 </w:t>
      </w:r>
      <w:r w:rsidRPr="00044923">
        <w:rPr>
          <w:rStyle w:val="Bodytext2Italic"/>
          <w:rFonts w:ascii="Verdana" w:hAnsi="Verdana"/>
          <w:sz w:val="22"/>
        </w:rPr>
        <w:t>%</w:t>
      </w:r>
      <w:r w:rsidRPr="00044923">
        <w:rPr>
          <w:sz w:val="22"/>
          <w:lang w:eastAsia="fr-FR" w:bidi="fr-FR"/>
        </w:rPr>
        <w:t xml:space="preserve"> de ses plantes et 92 </w:t>
      </w:r>
      <w:r w:rsidRPr="00044923">
        <w:rPr>
          <w:rStyle w:val="Bodytext2Italic"/>
          <w:rFonts w:ascii="Verdana" w:hAnsi="Verdana"/>
          <w:sz w:val="22"/>
        </w:rPr>
        <w:t>%</w:t>
      </w:r>
      <w:r w:rsidRPr="00044923">
        <w:rPr>
          <w:sz w:val="22"/>
          <w:lang w:eastAsia="fr-FR" w:bidi="fr-FR"/>
        </w:rPr>
        <w:t xml:space="preserve"> de ses mammifères. Nombre de ces espèces endémiques sont menacées d'extinction en raison des changements d'utilisation des sols induits par l'homme, de la surexploitation et des espèces exotiques envahissantes (EEE). Les EEE ont contribué à l'extinction de centaines d'espèces de l'Océan Indien occidental et menacent la survie de plus de 400 autres espèces. Bien que les espèces animales envahissantes retiennent souvent l'attention des médias, les espèces végétales envahissantes ont également des effets dévastateurs sur les écosystèmes insulaires, comme la jacinthe d'eau à Madagascar, </w:t>
      </w:r>
      <w:r w:rsidRPr="00044923">
        <w:rPr>
          <w:rStyle w:val="Bodytext2Italic"/>
          <w:rFonts w:ascii="Verdana" w:hAnsi="Verdana"/>
          <w:sz w:val="22"/>
        </w:rPr>
        <w:t>l'Acacia nilotica</w:t>
      </w:r>
      <w:r w:rsidRPr="00044923">
        <w:rPr>
          <w:sz w:val="22"/>
          <w:lang w:eastAsia="fr-FR" w:bidi="fr-FR"/>
        </w:rPr>
        <w:t xml:space="preserve"> à Rodrigues et le goyavier-fraise </w:t>
      </w:r>
      <w:r w:rsidRPr="00044923">
        <w:rPr>
          <w:rStyle w:val="Bodytext2Italic"/>
          <w:rFonts w:ascii="Verdana" w:hAnsi="Verdana"/>
          <w:sz w:val="22"/>
        </w:rPr>
        <w:t>(</w:t>
      </w:r>
      <w:proofErr w:type="spellStart"/>
      <w:r w:rsidRPr="00044923">
        <w:rPr>
          <w:rStyle w:val="Bodytext2Italic"/>
          <w:rFonts w:ascii="Verdana" w:hAnsi="Verdana"/>
          <w:sz w:val="22"/>
        </w:rPr>
        <w:t>Psidium</w:t>
      </w:r>
      <w:proofErr w:type="spellEnd"/>
      <w:r w:rsidRPr="00044923">
        <w:rPr>
          <w:rStyle w:val="Bodytext2Italic"/>
          <w:rFonts w:ascii="Verdana" w:hAnsi="Verdana"/>
          <w:sz w:val="22"/>
        </w:rPr>
        <w:t xml:space="preserve"> </w:t>
      </w:r>
      <w:proofErr w:type="spellStart"/>
      <w:r w:rsidRPr="00044923">
        <w:rPr>
          <w:rStyle w:val="Bodytext2Italic"/>
          <w:rFonts w:ascii="Verdana" w:hAnsi="Verdana"/>
          <w:sz w:val="22"/>
        </w:rPr>
        <w:t>cattleianum</w:t>
      </w:r>
      <w:proofErr w:type="spellEnd"/>
      <w:r w:rsidRPr="00044923">
        <w:rPr>
          <w:rStyle w:val="Bodytext2Italic"/>
          <w:rFonts w:ascii="Verdana" w:hAnsi="Verdana"/>
          <w:sz w:val="22"/>
        </w:rPr>
        <w:t>)</w:t>
      </w:r>
      <w:r w:rsidRPr="00044923">
        <w:rPr>
          <w:sz w:val="22"/>
          <w:lang w:eastAsia="fr-FR" w:bidi="fr-FR"/>
        </w:rPr>
        <w:t xml:space="preserve"> dans toute la région (voir la liste provisoire des EEE et des menaces qu'elles représentent à l'annexe 3). Les arbres envahissants supplantent les plantes indigènes et endémiques pour l'espace, la lumière et les nutriments, et dominent rapidement les forêts indigènes. Les EEE peuvent également avoir un impact négatif sur les moyens de subsistance et les économies locales, par exemple en affectant l'agriculture et la pêche, ou en posant un risque pour la santé humaine. À Maurice, environ 3,2 millions d'euros de produits agricoles sont perdus chaque année à cause des mouches des fruits envahissantes. Pour atténuer les menaces actuelles et futures que les EEE font peser sur l'OMOI, les gouvernements doivent améliorer considérablement leurs capacités à prévenir l'introduction et l'établissement des EEE et à gérer les EEE établies, ce qui peut être plus coûteux et nécessiter plus de main-d'œuvre que les mesures préventives. Les efforts déployés par les gouvernements pour prévenir l'introduction des EEE sont inégaux et la gestion des EEE établies a été limitée, principalement en raison d'un manque de financement, mais aussi d'un manque de sensibilisation des principaux décideurs et du public.</w:t>
      </w:r>
    </w:p>
    <w:p w14:paraId="1AAE2497" w14:textId="77777777" w:rsidR="007B369C" w:rsidRPr="00044923" w:rsidRDefault="007B369C" w:rsidP="007B369C">
      <w:pPr>
        <w:rPr>
          <w:sz w:val="22"/>
        </w:rPr>
      </w:pPr>
      <w:r w:rsidRPr="00044923">
        <w:rPr>
          <w:sz w:val="22"/>
          <w:lang w:eastAsia="fr-FR" w:bidi="fr-FR"/>
        </w:rPr>
        <w:t xml:space="preserve">Les Comores, Madagascar et Maurice sont tous signataires de la convention sur la diversité biologique et se sont engagés à respecter le cadre mondial pour la biodiversité (CMB) récemment adopté. Les résultats et les activités décrits dans la présente proposition aideront ces pays à atteindre leurs objectifs nationaux conformément à l'objectif 6 du cadre mondial sur la biodiversité concernant les espèces exotiques envahissantes. Les Seychelles et </w:t>
      </w:r>
      <w:proofErr w:type="gramStart"/>
      <w:r w:rsidRPr="00044923">
        <w:rPr>
          <w:sz w:val="22"/>
          <w:lang w:eastAsia="fr-FR" w:bidi="fr-FR"/>
        </w:rPr>
        <w:t>la</w:t>
      </w:r>
      <w:proofErr w:type="gramEnd"/>
      <w:r w:rsidRPr="00044923">
        <w:rPr>
          <w:sz w:val="22"/>
          <w:lang w:eastAsia="fr-FR" w:bidi="fr-FR"/>
        </w:rPr>
        <w:t xml:space="preserve"> Réunion/France sont également membres de la Commission de l'océan Indien (COI) et signataires de la CDB. Bien qu'ils ne soient pas des bénéficiaires directs, ils seront encouragés à reproduire les activités du projet en utilisant d'autres sources de financement ou des fonds propres, et à participer aux échanges régionaux.</w:t>
      </w:r>
    </w:p>
    <w:p w14:paraId="25BE81BC" w14:textId="77777777" w:rsidR="007B369C" w:rsidRPr="00044923" w:rsidRDefault="007B369C" w:rsidP="007B369C">
      <w:pPr>
        <w:pStyle w:val="Bodytext30"/>
        <w:shd w:val="clear" w:color="auto" w:fill="auto"/>
        <w:spacing w:after="99" w:line="220" w:lineRule="exact"/>
        <w:rPr>
          <w:rFonts w:ascii="Verdana" w:hAnsi="Verdana"/>
          <w:sz w:val="22"/>
        </w:rPr>
      </w:pPr>
      <w:r w:rsidRPr="00044923">
        <w:rPr>
          <w:rFonts w:ascii="Verdana" w:hAnsi="Verdana"/>
          <w:color w:val="000000"/>
          <w:sz w:val="22"/>
          <w:lang w:eastAsia="fr-FR" w:bidi="fr-FR"/>
        </w:rPr>
        <w:t>Situation de départ dans les pays cibles</w:t>
      </w:r>
    </w:p>
    <w:p w14:paraId="1883CAB6" w14:textId="77777777" w:rsidR="007B369C" w:rsidRPr="00044923" w:rsidRDefault="007B369C" w:rsidP="007B369C">
      <w:pPr>
        <w:rPr>
          <w:sz w:val="22"/>
        </w:rPr>
      </w:pPr>
      <w:r w:rsidRPr="00044923">
        <w:rPr>
          <w:sz w:val="22"/>
          <w:lang w:eastAsia="fr-FR" w:bidi="fr-FR"/>
        </w:rPr>
        <w:lastRenderedPageBreak/>
        <w:t>Le développement de cadres législatifs nationaux relatifs aux EEE varie d'un pays à l'autre de l'Océan Indien. Aucun des pays cibles n'a adopté de législation spécifique axée sur la prévention et la gestion des EEE, et peu de mesures efficaces sont mises en œuvre pour prévenir les nouvelles introductions et contrôler les EEE établies dans la région. Toutefois, les trois pays partenaires reconnaissent la menace que représentent les EEE pour leurs écosystèmes et leurs moyens de subsistance et s'engagent à élaborer une telle législation dans leurs stratégies et plans d'action nationaux en matière de biodiversité (NBSAP). Actuellement, ils s'appuient sur la législation générale relative à la protection de l'environnement et/ou sur la législation relative à la pêche, aux plantes et à la santé animale. Les trois pays doivent réévaluer les plans et stratégies existants pour les mettre en conformité avec les ambitions du GBF. Madagascar et les Comores devront également ajuster les plans et stratégies existants sur les EEE. Au niveau régional, l'harmonisation des cadres politiques et réglementaires relatifs aux EEE est également une nécessité urgente. Bien qu'il existe des initiatives par le biais d'organisations régionales telles que la COI pour harmoniser les approches et faciliter l'apprentissage par les pairs, les différentes conditions socio-économiques dans la région représentent un défi à cet égard.</w:t>
      </w:r>
    </w:p>
    <w:p w14:paraId="1304718D" w14:textId="77777777" w:rsidR="007B369C" w:rsidRPr="00044923" w:rsidRDefault="007B369C" w:rsidP="007B369C">
      <w:pPr>
        <w:rPr>
          <w:sz w:val="22"/>
        </w:rPr>
      </w:pPr>
      <w:r w:rsidRPr="00044923">
        <w:rPr>
          <w:sz w:val="22"/>
          <w:lang w:eastAsia="fr-FR" w:bidi="fr-FR"/>
        </w:rPr>
        <w:t xml:space="preserve">Les interventions visant à lutter contre les EEE sur le terrain ont été principalement </w:t>
      </w:r>
      <w:r w:rsidRPr="00044923">
        <w:rPr>
          <w:sz w:val="22"/>
        </w:rPr>
        <w:t xml:space="preserve">développées à Maurice et comprennent des initiatives telles que le projet GEF </w:t>
      </w:r>
      <w:proofErr w:type="spellStart"/>
      <w:r w:rsidRPr="00044923">
        <w:rPr>
          <w:sz w:val="22"/>
        </w:rPr>
        <w:t>Mainstreaming</w:t>
      </w:r>
      <w:proofErr w:type="spellEnd"/>
      <w:r w:rsidRPr="00044923">
        <w:rPr>
          <w:sz w:val="22"/>
        </w:rPr>
        <w:t xml:space="preserve"> IAS Prévention, Control and Management (intégration de la prévention, du contrôle et de la gestion des EEE) et l</w:t>
      </w:r>
      <w:r w:rsidRPr="00044923">
        <w:rPr>
          <w:sz w:val="22"/>
          <w:lang w:eastAsia="fr-FR" w:bidi="fr-FR"/>
        </w:rPr>
        <w:t xml:space="preserve">e projet </w:t>
      </w:r>
      <w:r w:rsidRPr="00044923">
        <w:rPr>
          <w:rStyle w:val="Bodytext2Italic"/>
          <w:rFonts w:ascii="Verdana" w:hAnsi="Verdana"/>
          <w:sz w:val="22"/>
        </w:rPr>
        <w:t xml:space="preserve">Ridge to </w:t>
      </w:r>
      <w:proofErr w:type="spellStart"/>
      <w:r w:rsidRPr="00044923">
        <w:rPr>
          <w:rStyle w:val="Bodytext2Italic"/>
          <w:rFonts w:ascii="Verdana" w:hAnsi="Verdana"/>
          <w:sz w:val="22"/>
        </w:rPr>
        <w:t>Reef</w:t>
      </w:r>
      <w:proofErr w:type="spellEnd"/>
      <w:r w:rsidRPr="00044923">
        <w:rPr>
          <w:sz w:val="22"/>
          <w:lang w:eastAsia="fr-FR" w:bidi="fr-FR"/>
        </w:rPr>
        <w:t xml:space="preserve"> (de </w:t>
      </w:r>
      <w:r w:rsidRPr="00044923">
        <w:rPr>
          <w:rStyle w:val="Bodytext2Italic"/>
          <w:rFonts w:ascii="Verdana" w:hAnsi="Verdana"/>
          <w:sz w:val="22"/>
        </w:rPr>
        <w:t>la crête au récif)</w:t>
      </w:r>
      <w:r w:rsidRPr="00044923">
        <w:rPr>
          <w:sz w:val="22"/>
          <w:lang w:eastAsia="fr-FR" w:bidi="fr-FR"/>
        </w:rPr>
        <w:t xml:space="preserve"> financé par l'UE. Dans les deux autres pays cibles, très peu de travaux de prévention, d'éradication et de contrôle des EEE ont été réalisés à ce jour. Malgré la gravité des menaces, toutes les initiatives de gestion des EEE ont jusqu'à présent porté sur des zones très limitées, car le coût de l'élimination des EEE et de la restauration des habitats avec des espèces indigènes est souvent prohibitif.</w:t>
      </w:r>
    </w:p>
    <w:p w14:paraId="2C84E200" w14:textId="77777777" w:rsidR="007B369C" w:rsidRPr="00044923" w:rsidRDefault="007B369C" w:rsidP="007B369C">
      <w:pPr>
        <w:pStyle w:val="Bodytext30"/>
        <w:shd w:val="clear" w:color="auto" w:fill="auto"/>
        <w:spacing w:after="87" w:line="220" w:lineRule="exact"/>
        <w:rPr>
          <w:rFonts w:ascii="Verdana" w:hAnsi="Verdana"/>
          <w:sz w:val="22"/>
        </w:rPr>
      </w:pPr>
      <w:r w:rsidRPr="00044923">
        <w:rPr>
          <w:rFonts w:ascii="Verdana" w:hAnsi="Verdana"/>
          <w:color w:val="000000"/>
          <w:sz w:val="22"/>
          <w:lang w:eastAsia="fr-FR" w:bidi="fr-FR"/>
        </w:rPr>
        <w:t>Objectifs du projet</w:t>
      </w:r>
    </w:p>
    <w:p w14:paraId="00DEE130" w14:textId="77777777" w:rsidR="007B369C" w:rsidRPr="00044923" w:rsidRDefault="007B369C" w:rsidP="007B369C">
      <w:pPr>
        <w:rPr>
          <w:sz w:val="22"/>
        </w:rPr>
      </w:pPr>
      <w:r w:rsidRPr="00044923">
        <w:rPr>
          <w:sz w:val="22"/>
          <w:lang w:eastAsia="fr-FR" w:bidi="fr-FR"/>
        </w:rPr>
        <w:t xml:space="preserve">Dans ce contexte, le projet contribuera à l'impact suivant : L'état et les perspectives de conservation de la biodiversité terrestre, d'eau douce et côtière unique des États insulaires de l'océan Indien occidental se sont améliorés à court, moyen et long terme </w:t>
      </w:r>
      <w:r w:rsidRPr="00044923">
        <w:rPr>
          <w:rStyle w:val="Bodytext2Bold"/>
          <w:rFonts w:ascii="Verdana" w:hAnsi="Verdana"/>
          <w:sz w:val="22"/>
        </w:rPr>
        <w:t xml:space="preserve">(impact). </w:t>
      </w:r>
      <w:r w:rsidRPr="00044923">
        <w:rPr>
          <w:sz w:val="22"/>
          <w:lang w:eastAsia="fr-FR" w:bidi="fr-FR"/>
        </w:rPr>
        <w:t>Pour y parvenir, le projet veillera à ce que, conformément à la cible 6 du GBF, les éléments suivants soient mis en place : Des systèmes améliorés de prévention, d'éradication et de contrôle des EEE sont en place dans certains États insulaires de l'océan Indien occidental (</w:t>
      </w:r>
      <w:r w:rsidRPr="00044923">
        <w:rPr>
          <w:rStyle w:val="Bodytext2Bold"/>
          <w:rFonts w:ascii="Verdana" w:hAnsi="Verdana"/>
          <w:sz w:val="22"/>
        </w:rPr>
        <w:t>r</w:t>
      </w:r>
      <w:r w:rsidRPr="00044923">
        <w:rPr>
          <w:sz w:val="22"/>
          <w:lang w:eastAsia="fr-FR" w:bidi="fr-FR"/>
        </w:rPr>
        <w:t>é</w:t>
      </w:r>
      <w:r w:rsidRPr="00044923">
        <w:rPr>
          <w:rStyle w:val="Bodytext2Bold"/>
          <w:rFonts w:ascii="Verdana" w:hAnsi="Verdana"/>
          <w:sz w:val="22"/>
        </w:rPr>
        <w:t>sultat</w:t>
      </w:r>
      <w:r w:rsidRPr="00044923">
        <w:rPr>
          <w:sz w:val="22"/>
          <w:lang w:eastAsia="fr-FR" w:bidi="fr-FR"/>
        </w:rPr>
        <w:t>). Les indicateurs possibles sont les suivants (I) nombre de stratégies/politiques/législations nationales relatives aux EEE adoptées/renforcées, (II) nombre de ports aériens/séparatifs avec des mesures ou une capacité améliorée pour les EEE et actions de prévention en cours, (III) surface totale sous gestion efficace des EEE (par exemple, ha débarrassés des EEE végétales et surface restaurée), (IV) surface où des plantes indigènes ont été plantées avec succès (y compris le taux de survie après un an), (V) quantité de biochar ou d'autres produits commerciaux produits ; et (VI) fonds générés ou emplois (pour les femmes, les jeunes et les hommes) créés grâce à des mécanismes de financement innovants.</w:t>
      </w:r>
    </w:p>
    <w:p w14:paraId="017190FC" w14:textId="77777777" w:rsidR="007B369C" w:rsidRPr="00044923" w:rsidRDefault="007B369C" w:rsidP="007B369C">
      <w:pPr>
        <w:rPr>
          <w:sz w:val="22"/>
        </w:rPr>
      </w:pPr>
      <w:r w:rsidRPr="00044923">
        <w:rPr>
          <w:sz w:val="22"/>
          <w:lang w:eastAsia="fr-FR" w:bidi="fr-FR"/>
        </w:rPr>
        <w:t xml:space="preserve">Le projet aboutira à ce résultat par le biais de </w:t>
      </w:r>
      <w:r w:rsidRPr="00044923">
        <w:rPr>
          <w:sz w:val="22"/>
        </w:rPr>
        <w:t>quatre réalisations :</w:t>
      </w:r>
    </w:p>
    <w:p w14:paraId="7CD3BCE8"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lang w:eastAsia="fr-FR" w:bidi="fr-FR"/>
        </w:rPr>
        <w:t>en</w:t>
      </w:r>
      <w:proofErr w:type="gramEnd"/>
      <w:r w:rsidRPr="00044923">
        <w:rPr>
          <w:sz w:val="22"/>
          <w:lang w:eastAsia="fr-FR" w:bidi="fr-FR"/>
        </w:rPr>
        <w:t xml:space="preserve"> veillant à ce que des stratégies, des politiques et des données soient élaborées ou renforcées pour soutenir la prévention, la surveillance et la gestion (éradication et contrôle) des EEE dans trois États membres de </w:t>
      </w:r>
      <w:r w:rsidRPr="00044923">
        <w:rPr>
          <w:sz w:val="22"/>
        </w:rPr>
        <w:t>la COI (résultat 1) ;</w:t>
      </w:r>
    </w:p>
    <w:p w14:paraId="6202FFCF"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r w:rsidRPr="00044923">
        <w:rPr>
          <w:sz w:val="22"/>
        </w:rPr>
        <w:lastRenderedPageBreak/>
        <w:t xml:space="preserve"> </w:t>
      </w:r>
      <w:proofErr w:type="gramStart"/>
      <w:r w:rsidRPr="00044923">
        <w:rPr>
          <w:sz w:val="22"/>
        </w:rPr>
        <w:t>en</w:t>
      </w:r>
      <w:proofErr w:type="gramEnd"/>
      <w:r w:rsidRPr="00044923">
        <w:rPr>
          <w:sz w:val="22"/>
        </w:rPr>
        <w:t xml:space="preserve"> mettant en œuvre des actions prioritaires (i) pour améliorer la prévention et la surveillance au niveau national, et (ii) pour la gestion (éradication, contrôle et restauration des écosystèmes) des EEE prioritaires sur des sites sélectionnés (résultat 2) ;</w:t>
      </w:r>
    </w:p>
    <w:p w14:paraId="281C8C88"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rPr>
        <w:t>en</w:t>
      </w:r>
      <w:proofErr w:type="gramEnd"/>
      <w:r w:rsidRPr="00044923">
        <w:rPr>
          <w:sz w:val="22"/>
        </w:rPr>
        <w:t xml:space="preserve"> introduisant des concepts de financement innovants pour la prévention de nouvelles introductions et la gestion des EEE, y compris la restauration des écosystèmes (résultat 3) ;</w:t>
      </w:r>
    </w:p>
    <w:p w14:paraId="6A47F932" w14:textId="77777777" w:rsidR="007B369C" w:rsidRPr="00044923" w:rsidRDefault="007B369C" w:rsidP="007B369C">
      <w:pPr>
        <w:pStyle w:val="Paragraphedeliste"/>
        <w:widowControl w:val="0"/>
        <w:numPr>
          <w:ilvl w:val="0"/>
          <w:numId w:val="19"/>
        </w:numPr>
        <w:autoSpaceDE w:val="0"/>
        <w:autoSpaceDN w:val="0"/>
        <w:ind w:left="851" w:hanging="284"/>
        <w:contextualSpacing w:val="0"/>
        <w:rPr>
          <w:sz w:val="22"/>
        </w:rPr>
      </w:pPr>
      <w:proofErr w:type="gramStart"/>
      <w:r w:rsidRPr="00044923">
        <w:rPr>
          <w:sz w:val="22"/>
        </w:rPr>
        <w:t>et</w:t>
      </w:r>
      <w:proofErr w:type="gramEnd"/>
      <w:r w:rsidRPr="00044923">
        <w:rPr>
          <w:sz w:val="22"/>
        </w:rPr>
        <w:t xml:space="preserve"> en faisant progresser et en partageant les connaissances (scientifiques), les bonnes pratiques et les enseignements tirés de la prévention, de la gestion et du financement novateur des EEE entre tous les États membres de la COI et dans l'ensemble de la région de l'océan Indien (résultat 4)</w:t>
      </w:r>
    </w:p>
    <w:p w14:paraId="662FF16B" w14:textId="77777777" w:rsidR="007B369C" w:rsidRPr="00044923" w:rsidRDefault="007B369C" w:rsidP="007B369C">
      <w:pPr>
        <w:rPr>
          <w:sz w:val="22"/>
        </w:rPr>
      </w:pPr>
      <w:r w:rsidRPr="00044923">
        <w:rPr>
          <w:sz w:val="22"/>
          <w:lang w:eastAsia="fr-FR" w:bidi="fr-FR"/>
        </w:rPr>
        <w:t>Le projet adoptera une approche systémique et cohérente tenant compte de la dimension de genre, et s'appuiera sur les structures existantes, les priorités locales et les connaissances indigènes. Comme il existe des différences considérables entre les pays partenaires en termes de taille, de conditions socio-économiques et d'expérience antérieure en matière de prévention et de gestion des EEE, nous nous attendons à ce que les bonnes pratiques et les leçons tirées de ce projet soient pertinentes pour les petits et les grands pays insulaires dans l'ensemble de l'océan Indien et dans le monde entier.</w:t>
      </w:r>
    </w:p>
    <w:p w14:paraId="584D722E" w14:textId="77777777" w:rsidR="007B369C" w:rsidRPr="00044923" w:rsidRDefault="007B369C" w:rsidP="007B369C">
      <w:pPr>
        <w:rPr>
          <w:sz w:val="22"/>
        </w:rPr>
      </w:pPr>
      <w:r w:rsidRPr="00044923">
        <w:rPr>
          <w:sz w:val="22"/>
          <w:lang w:eastAsia="fr-FR" w:bidi="fr-FR"/>
        </w:rPr>
        <w:t xml:space="preserve">Par le </w:t>
      </w:r>
      <w:r w:rsidRPr="00044923">
        <w:rPr>
          <w:sz w:val="22"/>
        </w:rPr>
        <w:t>biais du résultat 1, le projet contribuera à l'établissement de données de base sur la présence, la distribution et les impacts des EEE, y compris les impacts socio-économiques et les impacts différenciés selon le sexe. Il identifiera également les voies d'introduction à haut risque et les futures EEE potentielles, ainsi que les options d'éradication réalisables. Il soutiendra l'amélioration ou le développement de stratégies, de politiques, de réglementations et de structures pour la prévention et la gestion des EEE (éradication et contrôle) et pour la surveillance des EEE dans les trois pays partenaires.</w:t>
      </w:r>
    </w:p>
    <w:p w14:paraId="2E224686" w14:textId="77777777" w:rsidR="007B369C" w:rsidRPr="00044923" w:rsidRDefault="007B369C" w:rsidP="007B369C">
      <w:pPr>
        <w:rPr>
          <w:sz w:val="22"/>
        </w:rPr>
      </w:pPr>
      <w:r w:rsidRPr="00044923">
        <w:rPr>
          <w:sz w:val="22"/>
        </w:rPr>
        <w:t>Pour obtenir des résultats tangibles sur le terrain, une surveillance systématique des menaces posées par les EEE sur les sites sensibles sera mise en œuvre dans le cadre du résultat 2, sur la base des priorités identifiées dans le résultat 1. Les actions de prévention se concentreront sur les voies prioritaires d'introduction et de propagation au niveau national et entre les îles, notamment en renforçant les capacités des fonctionnaires aux principaux points d'entrée tels que les ports et les aéroports et en développant et en mettant en œuvre les meilleures pratiques spécifiques au secteur pour prévenir la propagation des EEE, par exemple, l'encrassement biologique sur les bateaux de plaisance. Pour la gestion (éradication ou contrôle) des EEE et la restauration des écosystèmes (terrestres) avec des plantes indigènes, des espèces et des sites prioritaires seront sélectionnés dans chaque pays (sur la base du résultat 1) et des actions seront mises en œuvre par des ONG locales en collaboration avec les communautés locales, en veillant à ce que les femmes, les jeunes et les populations indigènes soient représentés de manière adéquate et contribuent à l'ensemble du processus. Ces actions comprendront également la création de pépinières communautaires d'espèces indigènes pour les travaux de restauration.</w:t>
      </w:r>
    </w:p>
    <w:p w14:paraId="73F84729" w14:textId="77777777" w:rsidR="007B369C" w:rsidRPr="00044923" w:rsidRDefault="007B369C" w:rsidP="007B369C">
      <w:pPr>
        <w:rPr>
          <w:sz w:val="22"/>
        </w:rPr>
      </w:pPr>
      <w:r w:rsidRPr="00044923">
        <w:rPr>
          <w:sz w:val="22"/>
        </w:rPr>
        <w:t xml:space="preserve">La mise en œuvre sur le terrain par le biais du résultat 2 s'accompagnera de concepts de financement et de modèles commerciaux innovants pour l'éradication et le contrôle des EEE et la restauration des écosystèmes (résultat 3). Les mesures seront élaborées site par site, en tenant compte des espèces spécifiques à éliminer, ainsi que des </w:t>
      </w:r>
      <w:r w:rsidRPr="00044923">
        <w:rPr>
          <w:sz w:val="22"/>
        </w:rPr>
        <w:lastRenderedPageBreak/>
        <w:t>opportunités socio-économiques pour les communautés</w:t>
      </w:r>
      <w:r w:rsidRPr="00044923">
        <w:rPr>
          <w:sz w:val="22"/>
          <w:lang w:eastAsia="fr-FR" w:bidi="fr-FR"/>
        </w:rPr>
        <w:t xml:space="preserve"> locales. Les sites et les espèces qui se prêtent à des mécanismes d'incitation à la gestion des EEE seront sélectionnés sur la base d'une analyse des risques afin d'éviter de créer des incitations perverses à la propagation et/ou à la dissémination intentionnelle des EEE. Une option est la production de biochar à partir d'espèces végétales envahissantes éliminées, telles que l'acacia, le goyavier-fraise ou la jacinthe d'eau, qui peut être utilisé pour l'amélioration des sols dans l'agriculture ou les pépinières, et pour le piégeage du carbone. Ces avantages supplémentaires pourraient être utilisés pour déclencher des contributions financières de la part du secteur du tourisme en tant que compensations volontaires pour les émissions dues aux vols. Ces nouveaux modèles de financement visent à faciliter l'expansion des efforts de gestion des EEE en termes de portée et de couverture géographique. En outre, la possibilité d'établir un mécanisme de subvention pour la réaction rapide et l'éradication des EEE sera étudiée, sur la base des éléments suivants : </w:t>
      </w:r>
    </w:p>
    <w:p w14:paraId="16CEF0D9" w14:textId="77777777" w:rsidR="007B369C" w:rsidRPr="00044923" w:rsidRDefault="007B369C" w:rsidP="007B369C">
      <w:pPr>
        <w:rPr>
          <w:sz w:val="22"/>
        </w:rPr>
        <w:sectPr w:rsidR="007B369C" w:rsidRPr="00044923" w:rsidSect="007B369C">
          <w:headerReference w:type="even" r:id="rId7"/>
          <w:headerReference w:type="default" r:id="rId8"/>
          <w:footerReference w:type="even" r:id="rId9"/>
          <w:footerReference w:type="first" r:id="rId10"/>
          <w:type w:val="continuous"/>
          <w:pgSz w:w="11900" w:h="16840"/>
          <w:pgMar w:top="1440" w:right="1268" w:bottom="1440" w:left="992" w:header="0" w:footer="3" w:gutter="0"/>
          <w:cols w:space="720"/>
          <w:noEndnote/>
          <w:docGrid w:linePitch="360"/>
        </w:sectPr>
      </w:pPr>
    </w:p>
    <w:p w14:paraId="1BFA7F8A" w14:textId="77777777" w:rsidR="007B369C" w:rsidRPr="00044923" w:rsidRDefault="007B369C" w:rsidP="007B369C">
      <w:pPr>
        <w:rPr>
          <w:sz w:val="22"/>
        </w:rPr>
      </w:pPr>
      <w:r w:rsidRPr="00044923">
        <w:rPr>
          <w:sz w:val="22"/>
          <w:lang w:eastAsia="fr-FR" w:bidi="fr-FR"/>
        </w:rPr>
        <w:t xml:space="preserve">Le Fonds Save Our </w:t>
      </w:r>
      <w:proofErr w:type="spellStart"/>
      <w:r w:rsidRPr="00044923">
        <w:rPr>
          <w:sz w:val="22"/>
          <w:lang w:eastAsia="fr-FR" w:bidi="fr-FR"/>
        </w:rPr>
        <w:t>Species</w:t>
      </w:r>
      <w:proofErr w:type="spellEnd"/>
      <w:r w:rsidRPr="00044923">
        <w:rPr>
          <w:sz w:val="22"/>
          <w:lang w:eastAsia="fr-FR" w:bidi="fr-FR"/>
        </w:rPr>
        <w:t xml:space="preserve"> de l'</w:t>
      </w:r>
      <w:proofErr w:type="spellStart"/>
      <w:r w:rsidRPr="00044923">
        <w:rPr>
          <w:sz w:val="22"/>
          <w:lang w:eastAsia="fr-FR" w:bidi="fr-FR"/>
        </w:rPr>
        <w:t>UlCN</w:t>
      </w:r>
      <w:proofErr w:type="spellEnd"/>
      <w:r w:rsidRPr="00044923">
        <w:rPr>
          <w:sz w:val="22"/>
          <w:lang w:eastAsia="fr-FR" w:bidi="fr-FR"/>
        </w:rPr>
        <w:t xml:space="preserve">. Grâce au versement rapide de petites subventions et aux conseils fournis par le réseau mondial d'experts de l'UICN au sein de son groupe de spécialistes des espèces envahissantes (ISSG), les espèces exotiques envahissantes récemment introduites peuvent être éliminées efficacement avant qu'elles ne s'établissent. Ce mécanisme de financement serait piloté après la première année de mise en œuvre du projet en utilisant les fonds du projet, mais vise à mobiliser des fonds supplémentaires de sources privées et publiques pour assurer la durabilité à long terme et l'expansion de sa portée géographique. Les technologies de </w:t>
      </w:r>
      <w:proofErr w:type="spellStart"/>
      <w:r w:rsidRPr="00044923">
        <w:rPr>
          <w:sz w:val="22"/>
          <w:lang w:eastAsia="fr-FR" w:bidi="fr-FR"/>
        </w:rPr>
        <w:t>géo</w:t>
      </w:r>
      <w:r w:rsidRPr="00044923">
        <w:rPr>
          <w:sz w:val="22"/>
          <w:lang w:eastAsia="fr-FR" w:bidi="fr-FR"/>
        </w:rPr>
        <w:softHyphen/>
        <w:t>information</w:t>
      </w:r>
      <w:proofErr w:type="spellEnd"/>
      <w:r w:rsidRPr="00044923">
        <w:rPr>
          <w:sz w:val="22"/>
          <w:lang w:eastAsia="fr-FR" w:bidi="fr-FR"/>
        </w:rPr>
        <w:t xml:space="preserve"> telles que la télédétection seront utilisées tout au long des résultats 1 à 3 à des fins de surveillance et de vérification, tandis que les outils numériques seront utilisés à des fins de surveillance, pour afficher les résultats, ainsi que pour mobiliser des fonds auprès du secteur du tourisme.</w:t>
      </w:r>
    </w:p>
    <w:p w14:paraId="73FB8847" w14:textId="77777777" w:rsidR="007B369C" w:rsidRPr="00044923" w:rsidRDefault="007B369C" w:rsidP="007B369C">
      <w:pPr>
        <w:rPr>
          <w:sz w:val="22"/>
        </w:rPr>
      </w:pPr>
      <w:r w:rsidRPr="00044923">
        <w:rPr>
          <w:sz w:val="22"/>
        </w:rPr>
        <w:t>Le résultat 4</w:t>
      </w:r>
      <w:r w:rsidRPr="00044923">
        <w:rPr>
          <w:rStyle w:val="Bodytext2Bold"/>
          <w:rFonts w:ascii="Verdana" w:hAnsi="Verdana"/>
          <w:sz w:val="22"/>
        </w:rPr>
        <w:t xml:space="preserve"> </w:t>
      </w:r>
      <w:r w:rsidRPr="00044923">
        <w:rPr>
          <w:sz w:val="22"/>
          <w:lang w:eastAsia="fr-FR" w:bidi="fr-FR"/>
        </w:rPr>
        <w:t xml:space="preserve">favorisera le renforcement de la coopération et l'échange entre pairs sur les bonnes pratiques, les résultats de la recherche, les enseignements tirés, ainsi que les modèles de financement </w:t>
      </w:r>
      <w:r w:rsidRPr="00044923">
        <w:rPr>
          <w:sz w:val="22"/>
        </w:rPr>
        <w:t xml:space="preserve">novateurs entre tous les États membres de la COI, y compris les Seychelles et </w:t>
      </w:r>
      <w:proofErr w:type="gramStart"/>
      <w:r w:rsidRPr="00044923">
        <w:rPr>
          <w:sz w:val="22"/>
        </w:rPr>
        <w:t>La</w:t>
      </w:r>
      <w:proofErr w:type="gramEnd"/>
      <w:r w:rsidRPr="00044923">
        <w:rPr>
          <w:sz w:val="22"/>
        </w:rPr>
        <w:t xml:space="preserve"> Réunion/France. Grâce</w:t>
      </w:r>
      <w:r w:rsidRPr="00044923">
        <w:rPr>
          <w:sz w:val="22"/>
          <w:lang w:eastAsia="fr-FR" w:bidi="fr-FR"/>
        </w:rPr>
        <w:t xml:space="preserve"> à une coopération avec l'</w:t>
      </w:r>
      <w:proofErr w:type="spellStart"/>
      <w:r w:rsidRPr="00044923">
        <w:rPr>
          <w:sz w:val="22"/>
          <w:lang w:eastAsia="fr-FR" w:bidi="fr-FR"/>
        </w:rPr>
        <w:t>Indian</w:t>
      </w:r>
      <w:proofErr w:type="spellEnd"/>
      <w:r w:rsidRPr="00044923">
        <w:rPr>
          <w:sz w:val="22"/>
          <w:lang w:eastAsia="fr-FR" w:bidi="fr-FR"/>
        </w:rPr>
        <w:t xml:space="preserve"> </w:t>
      </w:r>
      <w:proofErr w:type="spellStart"/>
      <w:r w:rsidRPr="00044923">
        <w:rPr>
          <w:sz w:val="22"/>
          <w:lang w:eastAsia="fr-FR" w:bidi="fr-FR"/>
        </w:rPr>
        <w:t>Ocean</w:t>
      </w:r>
      <w:proofErr w:type="spellEnd"/>
      <w:r w:rsidRPr="00044923">
        <w:rPr>
          <w:sz w:val="22"/>
          <w:lang w:eastAsia="fr-FR" w:bidi="fr-FR"/>
        </w:rPr>
        <w:t xml:space="preserve"> Rim Association (IORA), les 23 États membres de la région de l'océan Indien bénéficieront également d'un partage et d'un échange de connaissances. La COI, en tant que partenaire principal de ce produit, assurera la liaison avec les universités, les instituts de recherche et d'autres organisations locales de la région, en s'appuyant sur les plateformes d'échange et les réseaux régionaux existants sur les menaces et la gestion des espèces exotiques envahissantes.</w:t>
      </w:r>
    </w:p>
    <w:p w14:paraId="13A80003" w14:textId="77777777" w:rsidR="007B369C" w:rsidRPr="00044923" w:rsidRDefault="007B369C" w:rsidP="007B369C">
      <w:pPr>
        <w:pStyle w:val="Titre2"/>
        <w:rPr>
          <w:rFonts w:ascii="Verdana" w:hAnsi="Verdana"/>
          <w:sz w:val="22"/>
          <w:szCs w:val="22"/>
        </w:rPr>
      </w:pPr>
      <w:r w:rsidRPr="00044923">
        <w:rPr>
          <w:rFonts w:ascii="Verdana" w:hAnsi="Verdana"/>
          <w:sz w:val="22"/>
          <w:szCs w:val="22"/>
          <w:lang w:eastAsia="fr-FR" w:bidi="fr-FR"/>
        </w:rPr>
        <w:t>Groupes cibles</w:t>
      </w:r>
    </w:p>
    <w:p w14:paraId="2F151C14" w14:textId="77777777" w:rsidR="007B369C" w:rsidRPr="00044923" w:rsidRDefault="007B369C" w:rsidP="007B369C">
      <w:pPr>
        <w:rPr>
          <w:sz w:val="22"/>
        </w:rPr>
      </w:pPr>
      <w:r w:rsidRPr="00044923">
        <w:rPr>
          <w:color w:val="000000"/>
          <w:sz w:val="22"/>
          <w:lang w:eastAsia="fr-FR" w:bidi="fr-FR"/>
        </w:rPr>
        <w:t xml:space="preserve">Le groupe cible qui bénéficiera directement du </w:t>
      </w:r>
      <w:r w:rsidRPr="00044923">
        <w:rPr>
          <w:sz w:val="22"/>
        </w:rPr>
        <w:t xml:space="preserve">projet est la population locale des trois pays dont les moyens de subsistance sont affectés par les EEE (tels que les pêcheurs, les agriculteurs et les personnes qui dépendent du tourisme). Compte tenu des différences de taille des pays, des conditions locales et des sites d'intervention, il n'est pas possible de quantifier le nombre de bénéficiaires directs à ce stade. Une analyse approfondie de l'égalité des sexes au cours de la phase d'élaboration de la proposition permettra d'élaborer une stratégie spécifique en matière d'égalité des sexes pour le projet et d'en assurer le suivi. Cela garantira que les interventions dans tous les résultats abordent les inégalités concernant les droits, les ressources et la représentation des femmes. Les techniciens et le personnel des douanes travaillant en mer et dans les aéroports bénéficieront d'un renforcement de leurs capacités. Les partenaires locaux, tels que les ONG, les institutions scientifiques et le secteur privé, </w:t>
      </w:r>
      <w:r w:rsidRPr="00044923">
        <w:rPr>
          <w:sz w:val="22"/>
        </w:rPr>
        <w:lastRenderedPageBreak/>
        <w:t>seront guidés dans la mise en œuvre des différentes interventions. La gestion et la restauration des sites sélectionnés seront assurées par des ONG locales, en étroite collaboration avec les communautés locales, les administrations des parcs nationaux et les initiatives pertinentes du secteur privé (par exemple, la forêt d'ébène à Maurice). Sur les sites appropriés, l'approche du modèle d'entreprise permettra aux opérateurs locaux du secteur privé de se prendre en charge, par exemple pour produire du biochar ou d'autres produits commerciaux. Les bénéficiaires secondaires seront les agriculteurs et les petits exploitants qui pourront améliorer leur production en utilisant le biochar comme amendement du sol. En général, les communautés loca</w:t>
      </w:r>
      <w:r w:rsidRPr="00044923">
        <w:rPr>
          <w:color w:val="000000"/>
          <w:sz w:val="22"/>
          <w:lang w:eastAsia="fr-FR" w:bidi="fr-FR"/>
        </w:rPr>
        <w:t>les situées à proximité des sites prioritaires, mais aussi ailleurs dans la région, bénéficieront d'un accès à des sources de revenus nouvelles et durables grâce aux activités du projet. Grâce à l'approche régionale envisagée dans le projet, les parties prenantes impliquées dans la lutte contre les EEE dans d'autres pays de la région bénéficieront également du partage et de l'échange de connaissances.</w:t>
      </w:r>
    </w:p>
    <w:p w14:paraId="57E2EC74" w14:textId="77777777" w:rsidR="007B369C" w:rsidRPr="00044923" w:rsidRDefault="007B369C" w:rsidP="007B369C">
      <w:pPr>
        <w:pStyle w:val="Titre2"/>
        <w:rPr>
          <w:rFonts w:ascii="Verdana" w:hAnsi="Verdana"/>
          <w:sz w:val="22"/>
          <w:szCs w:val="22"/>
        </w:rPr>
      </w:pPr>
      <w:r w:rsidRPr="00044923">
        <w:rPr>
          <w:rFonts w:ascii="Verdana" w:hAnsi="Verdana"/>
          <w:sz w:val="22"/>
          <w:szCs w:val="22"/>
          <w:lang w:eastAsia="fr-FR" w:bidi="fr-FR"/>
        </w:rPr>
        <w:t>Transformation et innovation</w:t>
      </w:r>
    </w:p>
    <w:p w14:paraId="25196DCA" w14:textId="3795F908" w:rsidR="00F8259D" w:rsidRPr="00044923" w:rsidRDefault="007B369C" w:rsidP="00C2082F">
      <w:pPr>
        <w:spacing w:before="0" w:after="0" w:line="240" w:lineRule="auto"/>
        <w:rPr>
          <w:sz w:val="22"/>
        </w:rPr>
      </w:pPr>
      <w:r w:rsidRPr="00044923">
        <w:rPr>
          <w:sz w:val="22"/>
          <w:lang w:eastAsia="fr-FR" w:bidi="fr-FR"/>
        </w:rPr>
        <w:t>Ce projet entraîne</w:t>
      </w:r>
      <w:r w:rsidRPr="00044923">
        <w:rPr>
          <w:sz w:val="22"/>
        </w:rPr>
        <w:t>ra un changement transformateur, car il permettra aux pays partenaires de prévenir et de gérer les EEE de manière systématique et complète, en passant d'une approche réactive et coûteuse à une approche préventive et plus rentable, ce qui leur permettra de mieux lutter contre les EEE et d'en prévenir les effets. La région de l'Océan Indien étant un hotspot de biodiversité unique, une action efficace est cruciale pour atteindre les objectifs du nouveau GBF. Le projet est innovant en ce sens qu'il propose de développer des cadres politiques qui n'existent pas encore dans la région WIO, qu'il déploie des outils numériques pour le suivi des EEE, qu'il mobilise des fonds du secteur du tourisme et qu'il développe des concepts de financement innovants pour des actions de réponse rapide et pour la gestion environnementale et socio</w:t>
      </w:r>
      <w:r w:rsidRPr="00044923">
        <w:rPr>
          <w:sz w:val="22"/>
        </w:rPr>
        <w:softHyphen/>
        <w:t>économique à long terme des espèces végétales envahissantes, avec des avantages supplémentaires en</w:t>
      </w:r>
      <w:r w:rsidRPr="00044923">
        <w:rPr>
          <w:sz w:val="22"/>
          <w:lang w:eastAsia="fr-FR" w:bidi="fr-FR"/>
        </w:rPr>
        <w:t xml:space="preserve"> termes de séquestration du carbone et de création d'emplois. Mis en œuvre par les gouvernements, les ONG locales, les communautés et les entreprises locales, en coopération avec le secteur international du tourisme, ce projet créera la dynamique nécessaire pour lutter contre les EEE à grande échelle dans les pays partenaires et au-delà, en s'étendant à l'ensemble de la région de l'Océan Indien occidental.</w:t>
      </w:r>
    </w:p>
    <w:p w14:paraId="5B95977A" w14:textId="77777777" w:rsidR="00F8259D" w:rsidRPr="00044923" w:rsidRDefault="00F8259D" w:rsidP="00F8259D">
      <w:pPr>
        <w:pStyle w:val="Corpsdetexte"/>
        <w:rPr>
          <w:rFonts w:ascii="Verdana" w:hAnsi="Verdana"/>
          <w:sz w:val="22"/>
          <w:szCs w:val="22"/>
        </w:rPr>
      </w:pPr>
    </w:p>
    <w:p w14:paraId="1E206D09" w14:textId="77777777" w:rsidR="009F2583" w:rsidRPr="00044923" w:rsidRDefault="009F2583">
      <w:pPr>
        <w:spacing w:before="0" w:after="160" w:line="259" w:lineRule="auto"/>
        <w:jc w:val="left"/>
        <w:rPr>
          <w:rFonts w:eastAsia="Verdana" w:cs="Verdana"/>
          <w:b/>
          <w:bCs/>
          <w:sz w:val="22"/>
        </w:rPr>
      </w:pPr>
      <w:r w:rsidRPr="00044923">
        <w:rPr>
          <w:sz w:val="22"/>
        </w:rPr>
        <w:br w:type="page"/>
      </w:r>
    </w:p>
    <w:p w14:paraId="4371CFF1" w14:textId="1B335C38" w:rsidR="00F8259D" w:rsidRPr="00044923" w:rsidRDefault="00F8259D" w:rsidP="00F8259D">
      <w:pPr>
        <w:rPr>
          <w:sz w:val="22"/>
          <w:lang w:eastAsia="fr-FR" w:bidi="fr-FR"/>
        </w:rPr>
        <w:sectPr w:rsidR="00F8259D" w:rsidRPr="00044923" w:rsidSect="006A2FD2">
          <w:headerReference w:type="even" r:id="rId11"/>
          <w:footerReference w:type="even" r:id="rId12"/>
          <w:footerReference w:type="first" r:id="rId13"/>
          <w:type w:val="continuous"/>
          <w:pgSz w:w="11900" w:h="16840"/>
          <w:pgMar w:top="1440" w:right="1552" w:bottom="1440" w:left="992" w:header="0" w:footer="3" w:gutter="0"/>
          <w:cols w:space="720"/>
          <w:noEndnote/>
          <w:docGrid w:linePitch="360"/>
        </w:sectPr>
      </w:pPr>
    </w:p>
    <w:p w14:paraId="42C96361" w14:textId="77777777" w:rsidR="00F8259D" w:rsidRDefault="00F8259D" w:rsidP="00F8259D"/>
    <w:tbl>
      <w:tblPr>
        <w:tblStyle w:val="Grilledutableau"/>
        <w:tblW w:w="14404" w:type="dxa"/>
        <w:tblInd w:w="567" w:type="dxa"/>
        <w:tblLook w:val="04A0" w:firstRow="1" w:lastRow="0" w:firstColumn="1" w:lastColumn="0" w:noHBand="0" w:noVBand="1"/>
      </w:tblPr>
      <w:tblGrid>
        <w:gridCol w:w="3823"/>
        <w:gridCol w:w="3543"/>
        <w:gridCol w:w="4111"/>
        <w:gridCol w:w="2884"/>
        <w:gridCol w:w="43"/>
      </w:tblGrid>
      <w:tr w:rsidR="00F8259D" w14:paraId="42CAFE7E" w14:textId="77777777" w:rsidTr="009F2583">
        <w:tc>
          <w:tcPr>
            <w:tcW w:w="14404" w:type="dxa"/>
            <w:gridSpan w:val="5"/>
          </w:tcPr>
          <w:p w14:paraId="42F64878" w14:textId="77777777" w:rsidR="00F8259D" w:rsidRPr="00FB5E3A" w:rsidRDefault="00F8259D" w:rsidP="0042783A">
            <w:pPr>
              <w:pStyle w:val="Heading10"/>
              <w:keepNext/>
              <w:keepLines/>
              <w:shd w:val="clear" w:color="auto" w:fill="auto"/>
              <w:spacing w:before="60" w:afterLines="60" w:after="144" w:line="250" w:lineRule="auto"/>
              <w:jc w:val="center"/>
              <w:rPr>
                <w:b w:val="0"/>
                <w:bCs w:val="0"/>
                <w:szCs w:val="20"/>
              </w:rPr>
            </w:pPr>
            <w:bookmarkStart w:id="1" w:name="bookmark1"/>
            <w:r w:rsidRPr="00FB5E3A">
              <w:rPr>
                <w:rStyle w:val="Heading1Exact"/>
                <w:szCs w:val="20"/>
              </w:rPr>
              <w:t>Incidence(s)</w:t>
            </w:r>
            <w:bookmarkEnd w:id="1"/>
          </w:p>
          <w:p w14:paraId="7D470153" w14:textId="77777777" w:rsidR="00F8259D" w:rsidRPr="00FB5E3A" w:rsidRDefault="00F8259D" w:rsidP="009F2583">
            <w:pPr>
              <w:pStyle w:val="Bodytext5"/>
              <w:shd w:val="clear" w:color="auto" w:fill="auto"/>
              <w:spacing w:before="0" w:after="0" w:line="240" w:lineRule="auto"/>
              <w:jc w:val="center"/>
            </w:pPr>
            <w:r w:rsidRPr="00FB5E3A">
              <w:rPr>
                <w:color w:val="000000"/>
                <w:lang w:eastAsia="fr-FR" w:bidi="fr-FR"/>
              </w:rPr>
              <w:t>L'état et les perspectives de conservation de la biodiversité terrestre, d'eau douce et côtière unique des États insulaires de l'océan Indien occidental se</w:t>
            </w:r>
          </w:p>
          <w:p w14:paraId="280AD646" w14:textId="77777777" w:rsidR="00F8259D" w:rsidRPr="00FB5E3A" w:rsidRDefault="00F8259D" w:rsidP="009F2583">
            <w:pPr>
              <w:pStyle w:val="Bodytext5"/>
              <w:shd w:val="clear" w:color="auto" w:fill="auto"/>
              <w:spacing w:before="0" w:after="0" w:line="240" w:lineRule="auto"/>
              <w:jc w:val="center"/>
            </w:pPr>
            <w:proofErr w:type="gramStart"/>
            <w:r w:rsidRPr="00FB5E3A">
              <w:rPr>
                <w:color w:val="000000"/>
                <w:lang w:eastAsia="fr-FR" w:bidi="fr-FR"/>
              </w:rPr>
              <w:t>sont</w:t>
            </w:r>
            <w:proofErr w:type="gramEnd"/>
            <w:r w:rsidRPr="00FB5E3A">
              <w:rPr>
                <w:color w:val="000000"/>
                <w:lang w:eastAsia="fr-FR" w:bidi="fr-FR"/>
              </w:rPr>
              <w:t xml:space="preserve"> améliorés à court, moyen et long terme.</w:t>
            </w:r>
          </w:p>
        </w:tc>
      </w:tr>
      <w:tr w:rsidR="00F8259D" w14:paraId="2602504F" w14:textId="77777777" w:rsidTr="009F2583">
        <w:tc>
          <w:tcPr>
            <w:tcW w:w="14404" w:type="dxa"/>
            <w:gridSpan w:val="5"/>
          </w:tcPr>
          <w:p w14:paraId="0091F10F" w14:textId="45FAE61E" w:rsidR="00F8259D" w:rsidRPr="00FB5E3A" w:rsidRDefault="00F8259D" w:rsidP="0042783A">
            <w:pPr>
              <w:pStyle w:val="Heading10"/>
              <w:keepNext/>
              <w:keepLines/>
              <w:shd w:val="clear" w:color="auto" w:fill="auto"/>
              <w:spacing w:before="60" w:afterLines="60" w:after="144" w:line="250" w:lineRule="auto"/>
              <w:ind w:right="40"/>
              <w:jc w:val="center"/>
              <w:rPr>
                <w:b w:val="0"/>
                <w:bCs w:val="0"/>
                <w:szCs w:val="20"/>
              </w:rPr>
            </w:pPr>
            <w:bookmarkStart w:id="2" w:name="bookmark2"/>
            <w:r w:rsidRPr="00FB5E3A">
              <w:rPr>
                <w:rStyle w:val="Heading1Exact"/>
                <w:szCs w:val="20"/>
              </w:rPr>
              <w:t>Résultats</w:t>
            </w:r>
            <w:bookmarkEnd w:id="2"/>
          </w:p>
          <w:p w14:paraId="79D97249" w14:textId="77777777" w:rsidR="00F8259D" w:rsidRPr="00FB5E3A" w:rsidRDefault="00F8259D" w:rsidP="0042783A">
            <w:pPr>
              <w:pStyle w:val="Bodytext5"/>
              <w:shd w:val="clear" w:color="auto" w:fill="auto"/>
              <w:spacing w:afterLines="60" w:after="144" w:line="250" w:lineRule="auto"/>
              <w:ind w:right="40"/>
              <w:jc w:val="center"/>
            </w:pPr>
            <w:r w:rsidRPr="00FB5E3A">
              <w:rPr>
                <w:color w:val="000000"/>
                <w:lang w:eastAsia="fr-FR" w:bidi="fr-FR"/>
              </w:rPr>
              <w:t>Des systèmes améliorés de prévention, d'éradication et de contrôle des EEE sont en place dans certains États insulaires de l'océan Indien occidental.</w:t>
            </w:r>
          </w:p>
        </w:tc>
      </w:tr>
      <w:tr w:rsidR="00F8259D" w14:paraId="6980B030" w14:textId="77777777" w:rsidTr="009F2583">
        <w:tc>
          <w:tcPr>
            <w:tcW w:w="14404" w:type="dxa"/>
            <w:gridSpan w:val="5"/>
          </w:tcPr>
          <w:p w14:paraId="41CFBA65" w14:textId="77777777" w:rsidR="00F8259D" w:rsidRPr="00FB5E3A" w:rsidRDefault="00F8259D" w:rsidP="0042783A">
            <w:pPr>
              <w:pStyle w:val="Bodytext30"/>
              <w:shd w:val="clear" w:color="auto" w:fill="auto"/>
              <w:spacing w:before="60" w:after="60" w:line="250" w:lineRule="auto"/>
              <w:ind w:right="40"/>
              <w:jc w:val="center"/>
              <w:rPr>
                <w:b w:val="0"/>
                <w:bCs w:val="0"/>
                <w:szCs w:val="20"/>
              </w:rPr>
            </w:pPr>
            <w:r w:rsidRPr="00FB5E3A">
              <w:rPr>
                <w:rStyle w:val="Bodytext3Exact"/>
                <w:szCs w:val="20"/>
              </w:rPr>
              <w:t>Hypothèses clés sur la manière dont l'utilisation des résultats contribuera à la réalisation de l'objectif</w:t>
            </w:r>
          </w:p>
          <w:p w14:paraId="592E8A68" w14:textId="77777777" w:rsidR="00F8259D" w:rsidRPr="00FB5E3A" w:rsidRDefault="00F8259D" w:rsidP="0042783A">
            <w:pPr>
              <w:pStyle w:val="Bodytext5"/>
              <w:shd w:val="clear" w:color="auto" w:fill="auto"/>
              <w:spacing w:line="250" w:lineRule="auto"/>
              <w:jc w:val="both"/>
              <w:rPr>
                <w:rStyle w:val="Heading1Exact"/>
                <w:b w:val="0"/>
                <w:bCs w:val="0"/>
                <w:sz w:val="18"/>
                <w:szCs w:val="18"/>
              </w:rPr>
            </w:pPr>
            <w:r w:rsidRPr="00FB5E3A">
              <w:rPr>
                <w:color w:val="000000"/>
                <w:sz w:val="18"/>
                <w:szCs w:val="18"/>
                <w:lang w:eastAsia="fr-FR" w:bidi="fr-FR"/>
              </w:rPr>
              <w:t xml:space="preserve">L'OP1 fournit des cadres politiques et stratégiques cohérents pour les actions de prévention, d'éradication et de contrôle (PEC) menées par les agences gouvernementales, les ONG, le secteur privé et la société civile. L'OP 2 rendra ces cadres opérationnels sur le terrain, à la fois pour la prévention de l'introduction et de la propagation, la surveillance et la gestion des EEE, y compris la restauration des écosystèmes. Cela déclenche des actions de la part des parties chargées de la gestion des zones protégées, des ONG et des communautés locales, ainsi que d'autres parties prenantes. L'OP 3 stimulera l'engagement du secteur privé dans le PEC des EEE, en développant et en testant des modèles commerciaux/chaînes de valeur qui génèrent un financement durable pour la gestion des EEE. L'OP 4 encouragera l'échange de bonnes pratiques, de leçons apprises et de preuves scientifiques dans les États membres de la COI et dans l'ensemble de la région de l'océan Indien. En combinaison, l'adoption de ces résultats par les groupes cibles permettra une gestion efficace </w:t>
            </w:r>
            <w:r w:rsidRPr="00FB5E3A">
              <w:rPr>
                <w:rStyle w:val="Bodytext5Exact"/>
                <w:sz w:val="18"/>
                <w:szCs w:val="18"/>
              </w:rPr>
              <w:t>des EEE dans la région.</w:t>
            </w:r>
          </w:p>
        </w:tc>
      </w:tr>
      <w:tr w:rsidR="00F8259D" w14:paraId="13211E70" w14:textId="77777777" w:rsidTr="009F2583">
        <w:tc>
          <w:tcPr>
            <w:tcW w:w="14404" w:type="dxa"/>
            <w:gridSpan w:val="5"/>
          </w:tcPr>
          <w:p w14:paraId="08F41DAC" w14:textId="77777777" w:rsidR="00F8259D" w:rsidRDefault="00F8259D" w:rsidP="0042783A">
            <w:pPr>
              <w:pStyle w:val="Bodytext5"/>
              <w:shd w:val="clear" w:color="auto" w:fill="auto"/>
              <w:spacing w:line="250" w:lineRule="auto"/>
              <w:ind w:right="40"/>
              <w:jc w:val="center"/>
              <w:rPr>
                <w:rStyle w:val="Bodytext511ptBoldExact"/>
                <w:sz w:val="18"/>
                <w:szCs w:val="18"/>
              </w:rPr>
            </w:pPr>
            <w:r w:rsidRPr="00FB5E3A">
              <w:rPr>
                <w:rStyle w:val="Bodytext511ptBoldExact"/>
                <w:sz w:val="18"/>
                <w:szCs w:val="18"/>
              </w:rPr>
              <w:t>Hypothèses clés concernant l'utilisation des résultats par les groupes cibles</w:t>
            </w:r>
          </w:p>
          <w:p w14:paraId="1823091B" w14:textId="77777777" w:rsidR="00F8259D" w:rsidRPr="00FB5E3A" w:rsidRDefault="00F8259D" w:rsidP="0042783A">
            <w:pPr>
              <w:pStyle w:val="Bodytext5"/>
              <w:shd w:val="clear" w:color="auto" w:fill="auto"/>
              <w:spacing w:line="250" w:lineRule="auto"/>
              <w:ind w:right="40"/>
              <w:jc w:val="both"/>
              <w:rPr>
                <w:sz w:val="18"/>
                <w:szCs w:val="18"/>
              </w:rPr>
            </w:pPr>
            <w:r w:rsidRPr="00FB5E3A">
              <w:rPr>
                <w:color w:val="000000"/>
                <w:sz w:val="18"/>
                <w:szCs w:val="18"/>
                <w:lang w:eastAsia="fr-FR" w:bidi="fr-FR"/>
              </w:rPr>
              <w:t>Plusieurs partenaires clés ont déjà exprimé leur soutien aux objectifs de ce projet (voir lettres). Les principaux groupes de parties prenantes, y compris la</w:t>
            </w:r>
            <w:r>
              <w:rPr>
                <w:color w:val="000000"/>
                <w:sz w:val="18"/>
                <w:szCs w:val="18"/>
                <w:lang w:eastAsia="fr-FR" w:bidi="fr-FR"/>
              </w:rPr>
              <w:t xml:space="preserve"> </w:t>
            </w:r>
            <w:r w:rsidRPr="00FB5E3A">
              <w:rPr>
                <w:color w:val="000000"/>
                <w:sz w:val="18"/>
                <w:szCs w:val="18"/>
                <w:lang w:eastAsia="fr-FR" w:bidi="fr-FR"/>
              </w:rPr>
              <w:t>société civile, utiliseront les résultats s'ils comprennent les impacts des EEE et comment ils peuvent faire la différence. Les communautés locales utiliseront les</w:t>
            </w:r>
            <w:r>
              <w:rPr>
                <w:color w:val="000000"/>
                <w:sz w:val="18"/>
                <w:szCs w:val="18"/>
                <w:lang w:eastAsia="fr-FR" w:bidi="fr-FR"/>
              </w:rPr>
              <w:t xml:space="preserve"> </w:t>
            </w:r>
            <w:r w:rsidRPr="00FB5E3A">
              <w:rPr>
                <w:color w:val="000000"/>
                <w:sz w:val="18"/>
                <w:szCs w:val="18"/>
                <w:lang w:eastAsia="fr-FR" w:bidi="fr-FR"/>
              </w:rPr>
              <w:t>résultats s'ils offrent des avantages économiques clairs - d'où l'accent mis sur le développement de modèles commerciaux et d'activités génératrices de</w:t>
            </w:r>
            <w:r>
              <w:rPr>
                <w:color w:val="000000"/>
                <w:sz w:val="18"/>
                <w:szCs w:val="18"/>
                <w:lang w:eastAsia="fr-FR" w:bidi="fr-FR"/>
              </w:rPr>
              <w:t xml:space="preserve"> </w:t>
            </w:r>
            <w:r w:rsidRPr="00FB5E3A">
              <w:rPr>
                <w:color w:val="000000"/>
                <w:sz w:val="18"/>
                <w:szCs w:val="18"/>
                <w:lang w:eastAsia="fr-FR" w:bidi="fr-FR"/>
              </w:rPr>
              <w:t>revenus afin d'encourager l'appropriation locale. On suppose que le nouveau GBF, avec ses objectifs ambitieux, garantira l'intérêt politique à long terme et</w:t>
            </w:r>
            <w:r>
              <w:rPr>
                <w:color w:val="000000"/>
                <w:sz w:val="18"/>
                <w:szCs w:val="18"/>
                <w:lang w:eastAsia="fr-FR" w:bidi="fr-FR"/>
              </w:rPr>
              <w:t xml:space="preserve"> </w:t>
            </w:r>
            <w:r w:rsidRPr="00FB5E3A">
              <w:rPr>
                <w:color w:val="000000"/>
                <w:sz w:val="18"/>
                <w:szCs w:val="18"/>
                <w:lang w:eastAsia="fr-FR" w:bidi="fr-FR"/>
              </w:rPr>
              <w:t>donc la continuité et la durabilité de la prévention et de la gestion des EEE dans l'Océan Indien occidental.</w:t>
            </w:r>
          </w:p>
        </w:tc>
      </w:tr>
      <w:tr w:rsidR="00F8259D" w14:paraId="603EDA89" w14:textId="77777777" w:rsidTr="009F2583">
        <w:trPr>
          <w:gridAfter w:val="1"/>
          <w:wAfter w:w="43" w:type="dxa"/>
        </w:trPr>
        <w:tc>
          <w:tcPr>
            <w:tcW w:w="3823" w:type="dxa"/>
          </w:tcPr>
          <w:p w14:paraId="7899690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 xml:space="preserve">Les </w:t>
            </w:r>
            <w:r w:rsidRPr="006A2FD2">
              <w:rPr>
                <w:rStyle w:val="Bodytext5Exact"/>
                <w:sz w:val="18"/>
                <w:szCs w:val="18"/>
              </w:rPr>
              <w:t>gouvernements</w:t>
            </w:r>
            <w:r w:rsidRPr="006A2FD2">
              <w:rPr>
                <w:color w:val="000000"/>
                <w:sz w:val="18"/>
                <w:szCs w:val="18"/>
                <w:lang w:eastAsia="fr-FR" w:bidi="fr-FR"/>
              </w:rPr>
              <w:t xml:space="preserve"> des trois États membres de la COI maintiennent leur engagement politique, adoptent des stratégies et des politiques relatives aux espèces exotiques envahissantes et ont développé les capacités nécessaires au fonctionnement des systèmes de PEC.</w:t>
            </w:r>
          </w:p>
          <w:p w14:paraId="30602B08" w14:textId="77777777" w:rsidR="00F8259D" w:rsidRPr="006A2FD2" w:rsidRDefault="00F8259D" w:rsidP="0042783A">
            <w:pPr>
              <w:pStyle w:val="Bodytext5"/>
              <w:shd w:val="clear" w:color="auto" w:fill="auto"/>
              <w:spacing w:beforeLines="60" w:before="144" w:afterLines="60" w:after="144" w:line="250" w:lineRule="auto"/>
              <w:rPr>
                <w:sz w:val="18"/>
                <w:szCs w:val="18"/>
              </w:rPr>
            </w:pPr>
          </w:p>
        </w:tc>
        <w:tc>
          <w:tcPr>
            <w:tcW w:w="3543" w:type="dxa"/>
          </w:tcPr>
          <w:p w14:paraId="745FAFF0" w14:textId="77777777" w:rsidR="00F8259D" w:rsidRPr="006A2FD2" w:rsidRDefault="00F8259D" w:rsidP="00F8259D">
            <w:pPr>
              <w:pStyle w:val="Bodytext5"/>
              <w:widowControl/>
              <w:numPr>
                <w:ilvl w:val="0"/>
                <w:numId w:val="17"/>
              </w:numPr>
              <w:shd w:val="clear" w:color="auto" w:fill="auto"/>
              <w:tabs>
                <w:tab w:val="left" w:pos="250"/>
              </w:tabs>
              <w:spacing w:beforeLines="60" w:before="144" w:afterLines="60" w:after="144" w:line="250" w:lineRule="auto"/>
              <w:rPr>
                <w:sz w:val="18"/>
                <w:szCs w:val="18"/>
              </w:rPr>
            </w:pPr>
            <w:r w:rsidRPr="006A2FD2">
              <w:rPr>
                <w:rStyle w:val="Bodytext5Exact"/>
                <w:sz w:val="18"/>
                <w:szCs w:val="18"/>
              </w:rPr>
              <w:t xml:space="preserve">Les principales parties prenantes, y compris les </w:t>
            </w:r>
            <w:r w:rsidRPr="006A2FD2">
              <w:rPr>
                <w:color w:val="000000"/>
                <w:sz w:val="18"/>
                <w:szCs w:val="18"/>
                <w:lang w:eastAsia="fr-FR" w:bidi="fr-FR"/>
              </w:rPr>
              <w:t xml:space="preserve">responsables des aéroports, des </w:t>
            </w:r>
            <w:r w:rsidRPr="006A2FD2">
              <w:rPr>
                <w:rStyle w:val="Bodytext5Exact"/>
                <w:sz w:val="18"/>
                <w:szCs w:val="18"/>
              </w:rPr>
              <w:t>ports et des douanes,</w:t>
            </w:r>
            <w:r w:rsidRPr="006A2FD2">
              <w:rPr>
                <w:color w:val="000000"/>
                <w:sz w:val="18"/>
                <w:szCs w:val="18"/>
                <w:lang w:eastAsia="fr-FR" w:bidi="fr-FR"/>
              </w:rPr>
              <w:t xml:space="preserve"> mettent en œuvre des mesures de prévention des EEE.</w:t>
            </w:r>
          </w:p>
          <w:p w14:paraId="15ED88D2" w14:textId="77777777" w:rsidR="00F8259D" w:rsidRPr="006A2FD2" w:rsidRDefault="00F8259D" w:rsidP="00F8259D">
            <w:pPr>
              <w:pStyle w:val="Bodytext5"/>
              <w:widowControl/>
              <w:numPr>
                <w:ilvl w:val="0"/>
                <w:numId w:val="17"/>
              </w:numPr>
              <w:shd w:val="clear" w:color="auto" w:fill="auto"/>
              <w:tabs>
                <w:tab w:val="left" w:pos="298"/>
              </w:tabs>
              <w:spacing w:beforeLines="60" w:before="144" w:afterLines="60" w:after="144" w:line="250" w:lineRule="auto"/>
              <w:rPr>
                <w:sz w:val="18"/>
                <w:szCs w:val="18"/>
              </w:rPr>
            </w:pPr>
            <w:r w:rsidRPr="006A2FD2">
              <w:rPr>
                <w:rStyle w:val="Bodytext5Exact"/>
                <w:sz w:val="18"/>
                <w:szCs w:val="18"/>
              </w:rPr>
              <w:t>Les ONG locales</w:t>
            </w:r>
            <w:r w:rsidRPr="006A2FD2">
              <w:rPr>
                <w:color w:val="000000"/>
                <w:sz w:val="18"/>
                <w:szCs w:val="18"/>
                <w:lang w:eastAsia="fr-FR" w:bidi="fr-FR"/>
              </w:rPr>
              <w:t xml:space="preserve"> et d'autres acteurs gèrent efficacement les menaces liées aux EEE sur des sites sélectionnés, avec la participation économique des communautés locales, des femmes et des jeunes.</w:t>
            </w:r>
          </w:p>
        </w:tc>
        <w:tc>
          <w:tcPr>
            <w:tcW w:w="4111" w:type="dxa"/>
          </w:tcPr>
          <w:p w14:paraId="54A692DD"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Les acteurs locaux</w:t>
            </w:r>
            <w:r w:rsidRPr="006A2FD2">
              <w:rPr>
                <w:color w:val="000000"/>
                <w:sz w:val="18"/>
                <w:szCs w:val="18"/>
                <w:lang w:eastAsia="fr-FR" w:bidi="fr-FR"/>
              </w:rPr>
              <w:t xml:space="preserve"> développent et mettent en œuvre des modèles commerciaux prometteurs pour la gestion à long terme des EEE. Les </w:t>
            </w:r>
            <w:r w:rsidRPr="006A2FD2">
              <w:rPr>
                <w:rStyle w:val="Bodytext5Exact"/>
                <w:sz w:val="18"/>
                <w:szCs w:val="18"/>
              </w:rPr>
              <w:t>communautés locales p</w:t>
            </w:r>
            <w:r w:rsidRPr="006A2FD2">
              <w:rPr>
                <w:color w:val="000000"/>
                <w:sz w:val="18"/>
                <w:szCs w:val="18"/>
                <w:lang w:eastAsia="fr-FR" w:bidi="fr-FR"/>
              </w:rPr>
              <w:t xml:space="preserve">articipent aux actions de lutte contre les EEE et utilisent les produits qui en résultent, tels que le biochar. Le </w:t>
            </w:r>
            <w:r w:rsidRPr="006A2FD2">
              <w:rPr>
                <w:rStyle w:val="Bodytext5Exact"/>
                <w:sz w:val="18"/>
                <w:szCs w:val="18"/>
              </w:rPr>
              <w:t xml:space="preserve">secteur privé </w:t>
            </w:r>
            <w:r w:rsidRPr="006A2FD2">
              <w:rPr>
                <w:color w:val="000000"/>
                <w:sz w:val="18"/>
                <w:szCs w:val="18"/>
                <w:lang w:eastAsia="fr-FR" w:bidi="fr-FR"/>
              </w:rPr>
              <w:t>contribue au financement de la gestion et de l'éradication rapide des EEE</w:t>
            </w:r>
          </w:p>
        </w:tc>
        <w:tc>
          <w:tcPr>
            <w:tcW w:w="2884" w:type="dxa"/>
          </w:tcPr>
          <w:p w14:paraId="155D196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 xml:space="preserve">Les agences gouvernementales et les </w:t>
            </w:r>
            <w:r w:rsidRPr="006A2FD2">
              <w:rPr>
                <w:rStyle w:val="Bodytext5Exact"/>
                <w:sz w:val="18"/>
                <w:szCs w:val="18"/>
              </w:rPr>
              <w:t>universités</w:t>
            </w:r>
            <w:r w:rsidRPr="006A2FD2">
              <w:rPr>
                <w:color w:val="000000"/>
                <w:sz w:val="18"/>
                <w:szCs w:val="18"/>
                <w:lang w:eastAsia="fr-FR" w:bidi="fr-FR"/>
              </w:rPr>
              <w:t xml:space="preserve"> concernées </w:t>
            </w:r>
            <w:r w:rsidRPr="006A2FD2">
              <w:rPr>
                <w:rStyle w:val="Bodytext5Exact"/>
                <w:sz w:val="18"/>
                <w:szCs w:val="18"/>
              </w:rPr>
              <w:t>de la région OI au sens large p</w:t>
            </w:r>
            <w:r w:rsidRPr="006A2FD2">
              <w:rPr>
                <w:color w:val="000000"/>
                <w:sz w:val="18"/>
                <w:szCs w:val="18"/>
                <w:lang w:eastAsia="fr-FR" w:bidi="fr-FR"/>
              </w:rPr>
              <w:t>articipent activement à l'échange et à l'extension des méthodes de gestion des EEE qui ont fait leurs preuves.</w:t>
            </w:r>
          </w:p>
          <w:p w14:paraId="2FA54F14" w14:textId="77777777" w:rsidR="00F8259D" w:rsidRPr="006A2FD2" w:rsidRDefault="00F8259D" w:rsidP="0042783A">
            <w:pPr>
              <w:spacing w:beforeLines="60" w:before="144" w:afterLines="60" w:after="144"/>
              <w:ind w:left="34" w:right="135"/>
              <w:rPr>
                <w:sz w:val="18"/>
                <w:szCs w:val="18"/>
              </w:rPr>
            </w:pPr>
          </w:p>
        </w:tc>
      </w:tr>
      <w:tr w:rsidR="00F8259D" w14:paraId="65682A0C" w14:textId="77777777" w:rsidTr="009F2583">
        <w:trPr>
          <w:gridAfter w:val="1"/>
          <w:wAfter w:w="43" w:type="dxa"/>
        </w:trPr>
        <w:tc>
          <w:tcPr>
            <w:tcW w:w="3823" w:type="dxa"/>
          </w:tcPr>
          <w:p w14:paraId="2CBCB549" w14:textId="77777777" w:rsidR="00F8259D" w:rsidRPr="006A2FD2" w:rsidRDefault="00F8259D" w:rsidP="0042783A">
            <w:pPr>
              <w:pStyle w:val="Heading10"/>
              <w:keepNext/>
              <w:keepLines/>
              <w:shd w:val="clear" w:color="auto" w:fill="auto"/>
              <w:spacing w:beforeLines="60" w:before="144" w:afterLines="60" w:after="144" w:line="250" w:lineRule="auto"/>
              <w:jc w:val="center"/>
              <w:rPr>
                <w:sz w:val="18"/>
                <w:szCs w:val="18"/>
              </w:rPr>
            </w:pPr>
            <w:r w:rsidRPr="006A2FD2">
              <w:rPr>
                <w:rStyle w:val="Heading1Exact"/>
                <w:sz w:val="18"/>
                <w:szCs w:val="18"/>
              </w:rPr>
              <w:lastRenderedPageBreak/>
              <w:t>Sortie I</w:t>
            </w:r>
          </w:p>
          <w:p w14:paraId="5E838EA7" w14:textId="77777777" w:rsidR="00F8259D" w:rsidRPr="006A2FD2" w:rsidRDefault="00F8259D" w:rsidP="0042783A">
            <w:pPr>
              <w:pStyle w:val="Bodytext5"/>
              <w:shd w:val="clear" w:color="auto" w:fill="auto"/>
              <w:spacing w:beforeLines="60" w:before="144" w:afterLines="60" w:after="144" w:line="250" w:lineRule="auto"/>
              <w:rPr>
                <w:color w:val="000000"/>
                <w:sz w:val="18"/>
                <w:szCs w:val="18"/>
                <w:lang w:eastAsia="fr-FR" w:bidi="fr-FR"/>
              </w:rPr>
            </w:pPr>
          </w:p>
          <w:p w14:paraId="78049466"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Des stratégies, des politiques et des capacités de prévention et de gestion des EEE (éradication et contrôle) sont élaborées ou renforcées dans trois États membres de la COI.</w:t>
            </w:r>
          </w:p>
          <w:p w14:paraId="62BE174C"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 xml:space="preserve">Chef de file : UICN </w:t>
            </w:r>
            <w:r w:rsidRPr="006A2FD2">
              <w:rPr>
                <w:color w:val="000000"/>
                <w:sz w:val="18"/>
                <w:szCs w:val="18"/>
                <w:lang w:eastAsia="fr-FR" w:bidi="fr-FR"/>
              </w:rPr>
              <w:t>Part du budget :</w:t>
            </w:r>
          </w:p>
          <w:p w14:paraId="31909D65"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16%</w:t>
            </w:r>
          </w:p>
          <w:p w14:paraId="13F2FCEB" w14:textId="77777777" w:rsidR="00F8259D" w:rsidRPr="006A2FD2" w:rsidRDefault="00F8259D" w:rsidP="0042783A">
            <w:pPr>
              <w:spacing w:beforeLines="60" w:before="144" w:afterLines="60" w:after="144"/>
              <w:ind w:left="34" w:right="135"/>
              <w:rPr>
                <w:sz w:val="18"/>
                <w:szCs w:val="18"/>
              </w:rPr>
            </w:pPr>
          </w:p>
        </w:tc>
        <w:tc>
          <w:tcPr>
            <w:tcW w:w="3543" w:type="dxa"/>
          </w:tcPr>
          <w:p w14:paraId="6BDD72F3" w14:textId="77777777" w:rsidR="00F8259D" w:rsidRPr="006A2FD2" w:rsidRDefault="00F8259D" w:rsidP="0042783A">
            <w:pPr>
              <w:pStyle w:val="Heading10"/>
              <w:keepNext/>
              <w:keepLines/>
              <w:shd w:val="clear" w:color="auto" w:fill="auto"/>
              <w:spacing w:beforeLines="60" w:before="144" w:afterLines="60" w:after="144" w:line="250" w:lineRule="auto"/>
              <w:jc w:val="center"/>
              <w:rPr>
                <w:sz w:val="18"/>
                <w:szCs w:val="18"/>
              </w:rPr>
            </w:pPr>
            <w:bookmarkStart w:id="3" w:name="bookmark4"/>
            <w:r w:rsidRPr="006A2FD2">
              <w:rPr>
                <w:rStyle w:val="Heading1Exact"/>
                <w:sz w:val="18"/>
                <w:szCs w:val="18"/>
              </w:rPr>
              <w:t>Sortie II</w:t>
            </w:r>
            <w:bookmarkEnd w:id="3"/>
          </w:p>
          <w:p w14:paraId="298FBB3B" w14:textId="77777777" w:rsidR="00F8259D" w:rsidRPr="006A2FD2" w:rsidRDefault="00F8259D" w:rsidP="0042783A">
            <w:pPr>
              <w:pStyle w:val="Bodytext5"/>
              <w:shd w:val="clear" w:color="auto" w:fill="auto"/>
              <w:spacing w:beforeLines="60" w:before="144" w:afterLines="60" w:after="144" w:line="250" w:lineRule="auto"/>
              <w:jc w:val="both"/>
              <w:rPr>
                <w:sz w:val="18"/>
                <w:szCs w:val="18"/>
              </w:rPr>
            </w:pPr>
            <w:r w:rsidRPr="006A2FD2">
              <w:rPr>
                <w:color w:val="000000"/>
                <w:sz w:val="18"/>
                <w:szCs w:val="18"/>
                <w:lang w:eastAsia="fr-FR" w:bidi="fr-FR"/>
              </w:rPr>
              <w:t>Des actions prioritaires sont mises en œuvre (i) pour améliorer la prévention et la surveillance au niveau national, et (ii) pour la gestion (éradication, contrôle et restauration des écosystèmes) des EEE prioritaires sur des sites sélectionnés.</w:t>
            </w:r>
          </w:p>
          <w:p w14:paraId="0A0E9017" w14:textId="77777777" w:rsidR="00F8259D" w:rsidRPr="006A2FD2" w:rsidRDefault="00F8259D" w:rsidP="0042783A">
            <w:pPr>
              <w:pStyle w:val="Bodytext5"/>
              <w:shd w:val="clear" w:color="auto" w:fill="auto"/>
              <w:spacing w:beforeLines="60" w:before="144" w:afterLines="60" w:after="144" w:line="250" w:lineRule="auto"/>
              <w:ind w:right="620"/>
              <w:rPr>
                <w:sz w:val="18"/>
                <w:szCs w:val="18"/>
              </w:rPr>
            </w:pPr>
            <w:r w:rsidRPr="006A2FD2">
              <w:rPr>
                <w:color w:val="000000"/>
                <w:sz w:val="18"/>
                <w:szCs w:val="18"/>
                <w:lang w:eastAsia="fr-FR" w:bidi="fr-FR"/>
              </w:rPr>
              <w:t>Responsables : (i) UICN, (ii) GIZ Part du budget : 38%</w:t>
            </w:r>
          </w:p>
          <w:p w14:paraId="6BBA8B09" w14:textId="77777777" w:rsidR="00F8259D" w:rsidRPr="006A2FD2" w:rsidRDefault="00F8259D" w:rsidP="0042783A">
            <w:pPr>
              <w:spacing w:beforeLines="60" w:before="144" w:afterLines="60" w:after="144"/>
              <w:ind w:left="34" w:right="135"/>
              <w:rPr>
                <w:sz w:val="18"/>
                <w:szCs w:val="18"/>
              </w:rPr>
            </w:pPr>
          </w:p>
        </w:tc>
        <w:tc>
          <w:tcPr>
            <w:tcW w:w="4111" w:type="dxa"/>
          </w:tcPr>
          <w:p w14:paraId="6E74B973" w14:textId="77777777" w:rsidR="00F8259D" w:rsidRPr="006A2FD2" w:rsidRDefault="00F8259D" w:rsidP="0042783A">
            <w:pPr>
              <w:pStyle w:val="Heading10"/>
              <w:keepNext/>
              <w:keepLines/>
              <w:shd w:val="clear" w:color="auto" w:fill="auto"/>
              <w:spacing w:beforeLines="60" w:before="144" w:afterLines="60" w:after="144" w:line="250" w:lineRule="auto"/>
              <w:ind w:left="1160"/>
              <w:jc w:val="left"/>
              <w:rPr>
                <w:sz w:val="18"/>
                <w:szCs w:val="18"/>
              </w:rPr>
            </w:pPr>
            <w:bookmarkStart w:id="4" w:name="bookmark5"/>
            <w:r w:rsidRPr="006A2FD2">
              <w:rPr>
                <w:rStyle w:val="Heading1Exact"/>
                <w:sz w:val="18"/>
                <w:szCs w:val="18"/>
              </w:rPr>
              <w:t>Résultat III</w:t>
            </w:r>
            <w:bookmarkEnd w:id="4"/>
          </w:p>
          <w:p w14:paraId="0EFB613F"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Introduction de concepts de financement innovants pour la prévention de nouvelles introductions et la gestion des EEE, y compris la restauration des écosystèmes.</w:t>
            </w:r>
          </w:p>
          <w:p w14:paraId="5CCE7A16"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Chef de file : (iv) GIZ, (v)</w:t>
            </w:r>
          </w:p>
          <w:p w14:paraId="782E93C7"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UICN</w:t>
            </w:r>
            <w:r w:rsidRPr="006A2FD2">
              <w:rPr>
                <w:color w:val="000000"/>
                <w:sz w:val="18"/>
                <w:szCs w:val="18"/>
                <w:lang w:eastAsia="fr-FR" w:bidi="fr-FR"/>
              </w:rPr>
              <w:t xml:space="preserve"> Part du budget : 30%</w:t>
            </w:r>
          </w:p>
          <w:p w14:paraId="2DE827D0" w14:textId="77777777" w:rsidR="00F8259D" w:rsidRPr="006A2FD2" w:rsidRDefault="00F8259D" w:rsidP="0042783A">
            <w:pPr>
              <w:spacing w:beforeLines="60" w:before="144" w:afterLines="60" w:after="144"/>
              <w:ind w:left="34" w:right="135"/>
              <w:rPr>
                <w:sz w:val="18"/>
                <w:szCs w:val="18"/>
              </w:rPr>
            </w:pPr>
          </w:p>
        </w:tc>
        <w:tc>
          <w:tcPr>
            <w:tcW w:w="2884" w:type="dxa"/>
          </w:tcPr>
          <w:p w14:paraId="3E4C2D68" w14:textId="77777777" w:rsidR="00F8259D" w:rsidRPr="006A2FD2" w:rsidRDefault="00F8259D" w:rsidP="0042783A">
            <w:pPr>
              <w:pStyle w:val="Heading10"/>
              <w:keepNext/>
              <w:keepLines/>
              <w:shd w:val="clear" w:color="auto" w:fill="auto"/>
              <w:spacing w:beforeLines="60" w:before="144" w:afterLines="60" w:after="144" w:line="250" w:lineRule="auto"/>
              <w:ind w:left="1320"/>
              <w:jc w:val="left"/>
              <w:rPr>
                <w:sz w:val="18"/>
                <w:szCs w:val="18"/>
              </w:rPr>
            </w:pPr>
            <w:bookmarkStart w:id="5" w:name="bookmark6"/>
            <w:r w:rsidRPr="006A2FD2">
              <w:rPr>
                <w:rStyle w:val="Heading1Exact"/>
                <w:sz w:val="18"/>
                <w:szCs w:val="18"/>
              </w:rPr>
              <w:t>Sortie IV</w:t>
            </w:r>
            <w:bookmarkEnd w:id="5"/>
          </w:p>
          <w:p w14:paraId="0B76B644"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color w:val="000000"/>
                <w:sz w:val="18"/>
                <w:szCs w:val="18"/>
                <w:lang w:eastAsia="fr-FR" w:bidi="fr-FR"/>
              </w:rPr>
              <w:t>Les connaissances et la capacité à prévenir, gérer et contrôler durablement les EEE dans tous les États membres de la COI sont renforcées et partagées avec l'ensemble de la région de l'océan Indien.</w:t>
            </w:r>
          </w:p>
          <w:p w14:paraId="643B0D1E" w14:textId="77777777" w:rsidR="00F8259D" w:rsidRPr="006A2FD2" w:rsidRDefault="00F8259D" w:rsidP="0042783A">
            <w:pPr>
              <w:pStyle w:val="Bodytext5"/>
              <w:shd w:val="clear" w:color="auto" w:fill="auto"/>
              <w:spacing w:beforeLines="60" w:before="144" w:afterLines="60" w:after="144" w:line="250" w:lineRule="auto"/>
              <w:rPr>
                <w:sz w:val="18"/>
                <w:szCs w:val="18"/>
              </w:rPr>
            </w:pPr>
            <w:r w:rsidRPr="006A2FD2">
              <w:rPr>
                <w:rStyle w:val="Bodytext5Exact"/>
                <w:sz w:val="18"/>
                <w:szCs w:val="18"/>
              </w:rPr>
              <w:t>Responsable : CIO</w:t>
            </w:r>
          </w:p>
          <w:p w14:paraId="48731D80" w14:textId="77777777" w:rsidR="00F8259D" w:rsidRPr="006A2FD2" w:rsidRDefault="00F8259D" w:rsidP="0042783A">
            <w:pPr>
              <w:spacing w:beforeLines="60" w:before="144" w:afterLines="60" w:after="144"/>
              <w:ind w:left="34" w:right="135"/>
              <w:rPr>
                <w:sz w:val="18"/>
                <w:szCs w:val="18"/>
              </w:rPr>
            </w:pPr>
            <w:r w:rsidRPr="006A2FD2">
              <w:rPr>
                <w:rStyle w:val="Bodytext5Exact"/>
                <w:sz w:val="18"/>
                <w:szCs w:val="18"/>
              </w:rPr>
              <w:t>Part du budget : 16%</w:t>
            </w:r>
          </w:p>
        </w:tc>
      </w:tr>
    </w:tbl>
    <w:p w14:paraId="5A28D990" w14:textId="78813BC6" w:rsidR="00F8259D" w:rsidRPr="00044923" w:rsidRDefault="00F8259D" w:rsidP="009F2583">
      <w:pPr>
        <w:spacing w:before="0" w:after="0" w:line="240" w:lineRule="auto"/>
        <w:jc w:val="left"/>
        <w:rPr>
          <w:color w:val="FF0000"/>
        </w:rPr>
      </w:pPr>
    </w:p>
    <w:sectPr w:rsidR="00F8259D" w:rsidRPr="00044923" w:rsidSect="00816BAC">
      <w:headerReference w:type="default" r:id="rId14"/>
      <w:footerReference w:type="default" r:id="rId15"/>
      <w:pgSz w:w="16838" w:h="11906" w:orient="landscape"/>
      <w:pgMar w:top="1417" w:right="1135" w:bottom="1417" w:left="1276"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0DF3" w14:textId="77777777" w:rsidR="00C571DF" w:rsidRDefault="00C571DF">
      <w:pPr>
        <w:spacing w:after="0" w:line="240" w:lineRule="auto"/>
      </w:pPr>
      <w:r>
        <w:separator/>
      </w:r>
    </w:p>
  </w:endnote>
  <w:endnote w:type="continuationSeparator" w:id="0">
    <w:p w14:paraId="52206735" w14:textId="77777777" w:rsidR="00C571DF" w:rsidRDefault="00C5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CA0E" w14:textId="6684BC09" w:rsidR="007B369C" w:rsidRDefault="00C2082F">
    <w:pPr>
      <w:rPr>
        <w:sz w:val="2"/>
        <w:szCs w:val="2"/>
      </w:rPr>
    </w:pPr>
    <w:r>
      <w:rPr>
        <w:noProof/>
        <w:sz w:val="24"/>
        <w:szCs w:val="24"/>
      </w:rPr>
      <mc:AlternateContent>
        <mc:Choice Requires="wps">
          <w:drawing>
            <wp:anchor distT="0" distB="0" distL="63500" distR="63500" simplePos="0" relativeHeight="251664384" behindDoc="1" locked="0" layoutInCell="1" allowOverlap="1" wp14:anchorId="25C75A6B" wp14:editId="0EBF935B">
              <wp:simplePos x="0" y="0"/>
              <wp:positionH relativeFrom="page">
                <wp:posOffset>3740150</wp:posOffset>
              </wp:positionH>
              <wp:positionV relativeFrom="page">
                <wp:posOffset>9933940</wp:posOffset>
              </wp:positionV>
              <wp:extent cx="69850" cy="109855"/>
              <wp:effectExtent l="0" t="0" r="0" b="0"/>
              <wp:wrapNone/>
              <wp:docPr id="1901309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91CB"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C75A6B" id="_x0000_t202" coordsize="21600,21600" o:spt="202" path="m,l,21600r21600,l21600,xe">
              <v:stroke joinstyle="miter"/>
              <v:path gradientshapeok="t" o:connecttype="rect"/>
            </v:shapetype>
            <v:shape id="Zone de texte 2" o:spid="_x0000_s1027" type="#_x0000_t202" style="position:absolute;left:0;text-align:left;margin-left:294.5pt;margin-top:782.2pt;width:5.5pt;height:8.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" filled="f" stroked="f">
              <v:textbox style="mso-fit-shape-to-text:t" inset="0,0,0,0">
                <w:txbxContent>
                  <w:p w14:paraId="078091CB"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0029" w14:textId="1E088951" w:rsidR="007B369C" w:rsidRDefault="00C2082F">
    <w:pPr>
      <w:rPr>
        <w:sz w:val="2"/>
        <w:szCs w:val="2"/>
      </w:rPr>
    </w:pPr>
    <w:r>
      <w:rPr>
        <w:noProof/>
        <w:sz w:val="24"/>
        <w:szCs w:val="24"/>
      </w:rPr>
      <mc:AlternateContent>
        <mc:Choice Requires="wps">
          <w:drawing>
            <wp:anchor distT="0" distB="0" distL="63500" distR="63500" simplePos="0" relativeHeight="251665408" behindDoc="1" locked="0" layoutInCell="1" allowOverlap="1" wp14:anchorId="6BE48E57" wp14:editId="73E47279">
              <wp:simplePos x="0" y="0"/>
              <wp:positionH relativeFrom="page">
                <wp:posOffset>3752215</wp:posOffset>
              </wp:positionH>
              <wp:positionV relativeFrom="page">
                <wp:posOffset>9930765</wp:posOffset>
              </wp:positionV>
              <wp:extent cx="39370" cy="109855"/>
              <wp:effectExtent l="0" t="0" r="0" b="0"/>
              <wp:wrapNone/>
              <wp:docPr id="3363712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62A7"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48E57" id="_x0000_t202" coordsize="21600,21600" o:spt="202" path="m,l,21600r21600,l21600,xe">
              <v:stroke joinstyle="miter"/>
              <v:path gradientshapeok="t" o:connecttype="rect"/>
            </v:shapetype>
            <v:shape id="Zone de texte 1" o:spid="_x0000_s1028" type="#_x0000_t202" style="position:absolute;left:0;text-align:left;margin-left:295.45pt;margin-top:781.95pt;width:3.1pt;height:8.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" filled="f" stroked="f">
              <v:textbox style="mso-fit-shape-to-text:t" inset="0,0,0,0">
                <w:txbxContent>
                  <w:p w14:paraId="603B62A7" w14:textId="77777777" w:rsidR="007B369C" w:rsidRDefault="007B369C">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DA84" w14:textId="56ECC505" w:rsidR="00F8259D" w:rsidRDefault="007B369C">
    <w:pPr>
      <w:rPr>
        <w:sz w:val="2"/>
        <w:szCs w:val="2"/>
      </w:rPr>
    </w:pPr>
    <w:r>
      <w:rPr>
        <w:noProof/>
        <w:sz w:val="24"/>
        <w:szCs w:val="24"/>
      </w:rPr>
      <mc:AlternateContent>
        <mc:Choice Requires="wps">
          <w:drawing>
            <wp:anchor distT="0" distB="0" distL="63500" distR="63500" simplePos="0" relativeHeight="251660288" behindDoc="1" locked="0" layoutInCell="1" allowOverlap="1" wp14:anchorId="637D6C9C" wp14:editId="2BBB9917">
              <wp:simplePos x="0" y="0"/>
              <wp:positionH relativeFrom="page">
                <wp:posOffset>3740150</wp:posOffset>
              </wp:positionH>
              <wp:positionV relativeFrom="page">
                <wp:posOffset>9933940</wp:posOffset>
              </wp:positionV>
              <wp:extent cx="69850" cy="10985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CBDD"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D6C9C" id="_x0000_t202" coordsize="21600,21600" o:spt="202" path="m,l,21600r21600,l21600,xe">
              <v:stroke joinstyle="miter"/>
              <v:path gradientshapeok="t" o:connecttype="rect"/>
            </v:shapetype>
            <v:shape id="Zone de texte 3" o:spid="_x0000_s1027" type="#_x0000_t202" style="position:absolute;left:0;text-align:left;margin-left:294.5pt;margin-top:782.2pt;width:5.5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" filled="f" stroked="f">
              <v:textbox style="mso-fit-shape-to-text:t" inset="0,0,0,0">
                <w:txbxContent>
                  <w:p w14:paraId="36BECBDD"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6930" w14:textId="2C9A245A" w:rsidR="00F8259D" w:rsidRDefault="007B369C">
    <w:pPr>
      <w:rPr>
        <w:sz w:val="2"/>
        <w:szCs w:val="2"/>
      </w:rPr>
    </w:pPr>
    <w:r>
      <w:rPr>
        <w:noProof/>
        <w:sz w:val="24"/>
        <w:szCs w:val="24"/>
      </w:rPr>
      <mc:AlternateContent>
        <mc:Choice Requires="wps">
          <w:drawing>
            <wp:anchor distT="0" distB="0" distL="63500" distR="63500" simplePos="0" relativeHeight="251661312" behindDoc="1" locked="0" layoutInCell="1" allowOverlap="1" wp14:anchorId="5DBC795B" wp14:editId="7ADDDDFD">
              <wp:simplePos x="0" y="0"/>
              <wp:positionH relativeFrom="page">
                <wp:posOffset>3752215</wp:posOffset>
              </wp:positionH>
              <wp:positionV relativeFrom="page">
                <wp:posOffset>9930765</wp:posOffset>
              </wp:positionV>
              <wp:extent cx="39370" cy="10985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8E78"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C795B" id="_x0000_t202" coordsize="21600,21600" o:spt="202" path="m,l,21600r21600,l21600,xe">
              <v:stroke joinstyle="miter"/>
              <v:path gradientshapeok="t" o:connecttype="rect"/>
            </v:shapetype>
            <v:shape id="Zone de texte 2" o:spid="_x0000_s1028" type="#_x0000_t202" style="position:absolute;left:0;text-align:left;margin-left:295.45pt;margin-top:781.95pt;width:3.1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" filled="f" stroked="f">
              <v:textbox style="mso-fit-shape-to-text:t" inset="0,0,0,0">
                <w:txbxContent>
                  <w:p w14:paraId="1B1B8E78" w14:textId="77777777" w:rsidR="00F8259D" w:rsidRDefault="00F8259D">
                    <w:pPr>
                      <w:spacing w:line="240" w:lineRule="auto"/>
                    </w:pPr>
                    <w:r>
                      <w:rPr>
                        <w:rFonts w:ascii="Calibri" w:eastAsia="Verdana" w:hAnsi="Calibri" w:cs="Verdana"/>
                      </w:rPr>
                      <w:fldChar w:fldCharType="begin"/>
                    </w:r>
                    <w:r>
                      <w:instrText xml:space="preserve"> PAGE \* MERGEFORMAT </w:instrText>
                    </w:r>
                    <w:r>
                      <w:rPr>
                        <w:rFonts w:ascii="Calibri" w:eastAsia="Verdana" w:hAnsi="Calibri" w:cs="Verdana"/>
                      </w:rPr>
                      <w:fldChar w:fldCharType="separate"/>
                    </w:r>
                    <w:r>
                      <w:rPr>
                        <w:rStyle w:val="Headerorfooter11ptNotItalic"/>
                      </w:rPr>
                      <w:t>#</w:t>
                    </w:r>
                    <w:r>
                      <w:rPr>
                        <w:rStyle w:val="Headerorfooter11ptNotItalic"/>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321E096A" w14:textId="77777777" w:rsidR="006D1FE2" w:rsidRDefault="006D1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799B" w14:textId="77777777" w:rsidR="00C571DF" w:rsidRDefault="00C571DF">
      <w:pPr>
        <w:spacing w:after="0" w:line="240" w:lineRule="auto"/>
      </w:pPr>
      <w:r>
        <w:separator/>
      </w:r>
    </w:p>
  </w:footnote>
  <w:footnote w:type="continuationSeparator" w:id="0">
    <w:p w14:paraId="2BF0A427" w14:textId="77777777" w:rsidR="00C571DF" w:rsidRDefault="00C5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62C8" w14:textId="3590CEC9" w:rsidR="007B369C" w:rsidRDefault="00C2082F">
    <w:pPr>
      <w:rPr>
        <w:sz w:val="2"/>
        <w:szCs w:val="2"/>
      </w:rPr>
    </w:pPr>
    <w:r>
      <w:rPr>
        <w:noProof/>
        <w:sz w:val="24"/>
        <w:szCs w:val="24"/>
      </w:rPr>
      <mc:AlternateContent>
        <mc:Choice Requires="wps">
          <w:drawing>
            <wp:anchor distT="0" distB="0" distL="63500" distR="63500" simplePos="0" relativeHeight="251663360" behindDoc="1" locked="0" layoutInCell="1" allowOverlap="1" wp14:anchorId="0F7F680C" wp14:editId="0404572B">
              <wp:simplePos x="0" y="0"/>
              <wp:positionH relativeFrom="page">
                <wp:posOffset>856615</wp:posOffset>
              </wp:positionH>
              <wp:positionV relativeFrom="page">
                <wp:posOffset>473075</wp:posOffset>
              </wp:positionV>
              <wp:extent cx="5559425" cy="118745"/>
              <wp:effectExtent l="0" t="0" r="3810" b="0"/>
              <wp:wrapNone/>
              <wp:docPr id="94575125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586C8" w14:textId="77777777" w:rsidR="007B369C" w:rsidRDefault="007B369C">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7F680C" id="_x0000_t202" coordsize="21600,21600" o:spt="202" path="m,l,21600r21600,l21600,xe">
              <v:stroke joinstyle="miter"/>
              <v:path gradientshapeok="t" o:connecttype="rect"/>
            </v:shapetype>
            <v:shape id="Zone de texte 3" o:spid="_x0000_s1026" type="#_x0000_t202" style="position:absolute;left:0;text-align:left;margin-left:67.45pt;margin-top:37.25pt;width:437.75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" filled="f" stroked="f">
              <v:textbox style="mso-fit-shape-to-text:t" inset="0,0,0,0">
                <w:txbxContent>
                  <w:p w14:paraId="3A3586C8" w14:textId="77777777" w:rsidR="007B369C" w:rsidRDefault="007B369C">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E9BC" w14:textId="77777777" w:rsidR="00816BAC" w:rsidRDefault="00816BAC" w:rsidP="00C2082F">
    <w:pPr>
      <w:pStyle w:val="En-tte"/>
      <w:tabs>
        <w:tab w:val="clear" w:pos="9072"/>
        <w:tab w:val="right" w:pos="9214"/>
      </w:tabs>
    </w:pPr>
  </w:p>
  <w:p w14:paraId="006C29BC" w14:textId="77777777" w:rsidR="00816BAC" w:rsidRDefault="00816BAC">
    <w:pPr>
      <w:pStyle w:val="En-tte"/>
    </w:pPr>
  </w:p>
  <w:p w14:paraId="4E26CA6F" w14:textId="7A5884A5" w:rsidR="00816BAC" w:rsidRDefault="00C2082F" w:rsidP="00C2082F">
    <w:pPr>
      <w:pStyle w:val="En-tte"/>
      <w:tabs>
        <w:tab w:val="clear" w:pos="9072"/>
        <w:tab w:val="right" w:pos="9214"/>
      </w:tabs>
    </w:pPr>
    <w:r>
      <w:tab/>
    </w:r>
    <w:r>
      <w:tab/>
    </w:r>
    <w:r w:rsidRPr="00C2082F">
      <w:rPr>
        <w:sz w:val="22"/>
        <w:szCs w:val="24"/>
      </w:rPr>
      <w:t>2.</w:t>
    </w:r>
    <w:r>
      <w:rPr>
        <w:sz w:val="22"/>
        <w:szCs w:val="24"/>
      </w:rPr>
      <w:t>7</w:t>
    </w:r>
    <w:r w:rsidRPr="00C2082F">
      <w:rPr>
        <w:sz w:val="22"/>
        <w:szCs w:val="24"/>
      </w:rPr>
      <w:t xml:space="preserve"> – Annexe 2</w:t>
    </w:r>
  </w:p>
  <w:p w14:paraId="0A4668C1" w14:textId="77777777" w:rsidR="00816BAC" w:rsidRDefault="00816B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EA3" w14:textId="37D2E379" w:rsidR="00F8259D" w:rsidRDefault="007B369C">
    <w:pPr>
      <w:rPr>
        <w:sz w:val="2"/>
        <w:szCs w:val="2"/>
      </w:rPr>
    </w:pPr>
    <w:r>
      <w:rPr>
        <w:noProof/>
        <w:sz w:val="24"/>
        <w:szCs w:val="24"/>
      </w:rPr>
      <mc:AlternateContent>
        <mc:Choice Requires="wps">
          <w:drawing>
            <wp:anchor distT="0" distB="0" distL="63500" distR="63500" simplePos="0" relativeHeight="251659264" behindDoc="1" locked="0" layoutInCell="1" allowOverlap="1" wp14:anchorId="6E80EFD3" wp14:editId="1956F3C7">
              <wp:simplePos x="0" y="0"/>
              <wp:positionH relativeFrom="page">
                <wp:posOffset>856615</wp:posOffset>
              </wp:positionH>
              <wp:positionV relativeFrom="page">
                <wp:posOffset>473075</wp:posOffset>
              </wp:positionV>
              <wp:extent cx="5559425" cy="118745"/>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88C59" w14:textId="77777777" w:rsidR="00F8259D" w:rsidRDefault="00F8259D">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0EFD3" id="_x0000_t202" coordsize="21600,21600" o:spt="202" path="m,l,21600r21600,l21600,xe">
              <v:stroke joinstyle="miter"/>
              <v:path gradientshapeok="t" o:connecttype="rect"/>
            </v:shapetype>
            <v:shape id="Zone de texte 4" o:spid="_x0000_s1026" type="#_x0000_t202" style="position:absolute;left:0;text-align:left;margin-left:67.45pt;margin-top:37.25pt;width:437.75pt;height:9.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" filled="f" stroked="f">
              <v:textbox style="mso-fit-shape-to-text:t" inset="0,0,0,0">
                <w:txbxContent>
                  <w:p w14:paraId="22888C59" w14:textId="77777777" w:rsidR="00F8259D" w:rsidRDefault="00F8259D">
                    <w:pPr>
                      <w:spacing w:line="240" w:lineRule="auto"/>
                    </w:pPr>
                    <w:r>
                      <w:rPr>
                        <w:rStyle w:val="Headerorfooter"/>
                        <w:i w:val="0"/>
                        <w:iCs w:val="0"/>
                      </w:rPr>
                      <w:t xml:space="preserve">Appel thématique 2022 de l'IKI - Note de concept : </w:t>
                    </w:r>
                    <w:r>
                      <w:rPr>
                        <w:rStyle w:val="Headerorfooter95ptBold"/>
                      </w:rPr>
                      <w:t>Prévention/éradication/contrôle des EEE dans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3026" w14:textId="248667FC" w:rsidR="00816BAC" w:rsidRDefault="00816BAC" w:rsidP="00AA63A3">
    <w:pPr>
      <w:pStyle w:val="En-tte"/>
      <w:pBdr>
        <w:bottom w:val="single" w:sz="4" w:space="1" w:color="0070C0"/>
      </w:pBdr>
      <w:tabs>
        <w:tab w:val="clear" w:pos="4536"/>
        <w:tab w:val="clear" w:pos="9072"/>
        <w:tab w:val="center" w:pos="0"/>
      </w:tabs>
    </w:pPr>
    <w:r>
      <w:t>2.</w:t>
    </w:r>
    <w:r w:rsidR="00C2082F">
      <w:t>7 -</w:t>
    </w:r>
    <w:r>
      <w:t xml:space="preserve"> Annexe 2 – projet espèces exotiques envahissantes - GIZ</w:t>
    </w:r>
  </w:p>
  <w:p w14:paraId="7EA93C91" w14:textId="77777777" w:rsidR="006D1FE2" w:rsidRDefault="006D1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C40F9"/>
    <w:multiLevelType w:val="hybridMultilevel"/>
    <w:tmpl w:val="078E23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7"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6C61CB"/>
    <w:multiLevelType w:val="hybridMultilevel"/>
    <w:tmpl w:val="F38A92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4390991">
    <w:abstractNumId w:val="8"/>
  </w:num>
  <w:num w:numId="2" w16cid:durableId="2001032902">
    <w:abstractNumId w:val="15"/>
  </w:num>
  <w:num w:numId="3" w16cid:durableId="326638622">
    <w:abstractNumId w:val="2"/>
  </w:num>
  <w:num w:numId="4" w16cid:durableId="567427041">
    <w:abstractNumId w:val="0"/>
  </w:num>
  <w:num w:numId="5" w16cid:durableId="1714963816">
    <w:abstractNumId w:val="14"/>
  </w:num>
  <w:num w:numId="6" w16cid:durableId="727612033">
    <w:abstractNumId w:val="7"/>
  </w:num>
  <w:num w:numId="7" w16cid:durableId="1973826214">
    <w:abstractNumId w:val="10"/>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11"/>
  </w:num>
  <w:num w:numId="12" w16cid:durableId="1712455698">
    <w:abstractNumId w:val="13"/>
  </w:num>
  <w:num w:numId="13" w16cid:durableId="1940480463">
    <w:abstractNumId w:val="4"/>
  </w:num>
  <w:num w:numId="14" w16cid:durableId="1605577337">
    <w:abstractNumId w:val="16"/>
  </w:num>
  <w:num w:numId="15" w16cid:durableId="532613762">
    <w:abstractNumId w:val="12"/>
  </w:num>
  <w:num w:numId="16" w16cid:durableId="1158496173">
    <w:abstractNumId w:val="17"/>
  </w:num>
  <w:num w:numId="17" w16cid:durableId="130447496">
    <w:abstractNumId w:val="5"/>
  </w:num>
  <w:num w:numId="18" w16cid:durableId="1522352198">
    <w:abstractNumId w:val="18"/>
  </w:num>
  <w:num w:numId="19" w16cid:durableId="558904546">
    <w:abstractNumId w:val="9"/>
  </w:num>
  <w:num w:numId="20" w16cid:durableId="60727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84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4923"/>
    <w:rsid w:val="00060CA0"/>
    <w:rsid w:val="00063A26"/>
    <w:rsid w:val="0008468B"/>
    <w:rsid w:val="000A227D"/>
    <w:rsid w:val="000A468A"/>
    <w:rsid w:val="000A7C89"/>
    <w:rsid w:val="000B0FBD"/>
    <w:rsid w:val="000F4728"/>
    <w:rsid w:val="00107D9D"/>
    <w:rsid w:val="0014360E"/>
    <w:rsid w:val="0018252D"/>
    <w:rsid w:val="00194B97"/>
    <w:rsid w:val="001A56F1"/>
    <w:rsid w:val="001B4738"/>
    <w:rsid w:val="001E0070"/>
    <w:rsid w:val="00207AF2"/>
    <w:rsid w:val="00232BDE"/>
    <w:rsid w:val="0023445A"/>
    <w:rsid w:val="00296998"/>
    <w:rsid w:val="002A0933"/>
    <w:rsid w:val="002A096E"/>
    <w:rsid w:val="002A1B8D"/>
    <w:rsid w:val="002C56ED"/>
    <w:rsid w:val="00321F89"/>
    <w:rsid w:val="0032463A"/>
    <w:rsid w:val="00343D97"/>
    <w:rsid w:val="00346472"/>
    <w:rsid w:val="003604B9"/>
    <w:rsid w:val="003772FB"/>
    <w:rsid w:val="00391152"/>
    <w:rsid w:val="003C2538"/>
    <w:rsid w:val="003D485F"/>
    <w:rsid w:val="003D5328"/>
    <w:rsid w:val="003F439E"/>
    <w:rsid w:val="0041278C"/>
    <w:rsid w:val="00417683"/>
    <w:rsid w:val="00426673"/>
    <w:rsid w:val="004607F7"/>
    <w:rsid w:val="004A7F49"/>
    <w:rsid w:val="004E41C3"/>
    <w:rsid w:val="004F5C4B"/>
    <w:rsid w:val="00516988"/>
    <w:rsid w:val="00521F20"/>
    <w:rsid w:val="0052574A"/>
    <w:rsid w:val="0053773D"/>
    <w:rsid w:val="005910DF"/>
    <w:rsid w:val="005D5C27"/>
    <w:rsid w:val="005D7FC8"/>
    <w:rsid w:val="005F2BF3"/>
    <w:rsid w:val="00620B90"/>
    <w:rsid w:val="00623F03"/>
    <w:rsid w:val="006356AF"/>
    <w:rsid w:val="006548BF"/>
    <w:rsid w:val="00660504"/>
    <w:rsid w:val="006D1FE2"/>
    <w:rsid w:val="006D3AF2"/>
    <w:rsid w:val="006D6768"/>
    <w:rsid w:val="006E2D9E"/>
    <w:rsid w:val="00741101"/>
    <w:rsid w:val="00760F24"/>
    <w:rsid w:val="007634FE"/>
    <w:rsid w:val="007B245C"/>
    <w:rsid w:val="007B2DA8"/>
    <w:rsid w:val="007B369C"/>
    <w:rsid w:val="007C78FC"/>
    <w:rsid w:val="00816BAC"/>
    <w:rsid w:val="00816DAC"/>
    <w:rsid w:val="0083290E"/>
    <w:rsid w:val="00843FF2"/>
    <w:rsid w:val="008453AB"/>
    <w:rsid w:val="00854EEA"/>
    <w:rsid w:val="008551DA"/>
    <w:rsid w:val="008D193F"/>
    <w:rsid w:val="008F173C"/>
    <w:rsid w:val="0095354C"/>
    <w:rsid w:val="00955BB3"/>
    <w:rsid w:val="009A38AD"/>
    <w:rsid w:val="009F2583"/>
    <w:rsid w:val="00A148A1"/>
    <w:rsid w:val="00A36C09"/>
    <w:rsid w:val="00A37C9F"/>
    <w:rsid w:val="00A621FB"/>
    <w:rsid w:val="00A70123"/>
    <w:rsid w:val="00A72147"/>
    <w:rsid w:val="00A76B07"/>
    <w:rsid w:val="00A81B98"/>
    <w:rsid w:val="00A90305"/>
    <w:rsid w:val="00AA63A3"/>
    <w:rsid w:val="00AB3CA3"/>
    <w:rsid w:val="00AB5EB7"/>
    <w:rsid w:val="00AB6F40"/>
    <w:rsid w:val="00AD4D97"/>
    <w:rsid w:val="00AD7A1D"/>
    <w:rsid w:val="00AE2453"/>
    <w:rsid w:val="00B020AC"/>
    <w:rsid w:val="00B05DFC"/>
    <w:rsid w:val="00B10EE7"/>
    <w:rsid w:val="00B25276"/>
    <w:rsid w:val="00B36EEA"/>
    <w:rsid w:val="00B52626"/>
    <w:rsid w:val="00BA4B55"/>
    <w:rsid w:val="00C02EA6"/>
    <w:rsid w:val="00C12C93"/>
    <w:rsid w:val="00C2082F"/>
    <w:rsid w:val="00C325F5"/>
    <w:rsid w:val="00C333D3"/>
    <w:rsid w:val="00C36C64"/>
    <w:rsid w:val="00C457E8"/>
    <w:rsid w:val="00C571DF"/>
    <w:rsid w:val="00C609B9"/>
    <w:rsid w:val="00C96775"/>
    <w:rsid w:val="00CE2386"/>
    <w:rsid w:val="00D24BF0"/>
    <w:rsid w:val="00D97367"/>
    <w:rsid w:val="00E1178A"/>
    <w:rsid w:val="00E32408"/>
    <w:rsid w:val="00E71F04"/>
    <w:rsid w:val="00E845D4"/>
    <w:rsid w:val="00E84E8F"/>
    <w:rsid w:val="00E907E9"/>
    <w:rsid w:val="00EC22CC"/>
    <w:rsid w:val="00EC751B"/>
    <w:rsid w:val="00ED6B69"/>
    <w:rsid w:val="00EE34F4"/>
    <w:rsid w:val="00EF22A4"/>
    <w:rsid w:val="00F0596C"/>
    <w:rsid w:val="00F46F38"/>
    <w:rsid w:val="00F54EA0"/>
    <w:rsid w:val="00F574CA"/>
    <w:rsid w:val="00F8259D"/>
    <w:rsid w:val="00F85B95"/>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F8259D"/>
    <w:pPr>
      <w:numPr>
        <w:numId w:val="15"/>
      </w:numPr>
      <w:suppressAutoHyphens/>
      <w:ind w:left="851"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3320</Words>
  <Characters>18265</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Shirley LAW</cp:lastModifiedBy>
  <cp:revision>2</cp:revision>
  <cp:lastPrinted>2023-05-09T07:07:00Z</cp:lastPrinted>
  <dcterms:created xsi:type="dcterms:W3CDTF">2023-05-09T07:07:00Z</dcterms:created>
  <dcterms:modified xsi:type="dcterms:W3CDTF">2023-05-09T07:07:00Z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