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E205" w14:textId="7574F6A3" w:rsidR="00F8259D" w:rsidRPr="00044923" w:rsidRDefault="00F8259D" w:rsidP="006F1CB5">
      <w:pPr>
        <w:pStyle w:val="Titre"/>
        <w:ind w:left="0"/>
        <w:rPr>
          <w:rFonts w:ascii="Verdana" w:hAnsi="Verdana"/>
          <w:sz w:val="22"/>
          <w:szCs w:val="22"/>
        </w:rPr>
      </w:pPr>
      <w:r w:rsidRPr="00044923">
        <w:rPr>
          <w:rFonts w:ascii="Verdana" w:hAnsi="Verdana"/>
          <w:sz w:val="22"/>
          <w:szCs w:val="22"/>
        </w:rPr>
        <w:t>Feuille de route pour la préfiguration de l’agence de la biodiversit</w:t>
      </w:r>
      <w:r w:rsidR="00044923">
        <w:rPr>
          <w:rFonts w:ascii="Verdana" w:hAnsi="Verdana"/>
          <w:sz w:val="22"/>
          <w:szCs w:val="22"/>
        </w:rPr>
        <w:t>é</w:t>
      </w:r>
    </w:p>
    <w:p w14:paraId="20773CB6" w14:textId="77777777" w:rsidR="00F8259D" w:rsidRPr="00044923" w:rsidRDefault="00F8259D" w:rsidP="00F8259D">
      <w:pPr>
        <w:pStyle w:val="Titre1"/>
        <w:ind w:left="0" w:firstLine="0"/>
        <w:rPr>
          <w:sz w:val="22"/>
          <w:szCs w:val="22"/>
        </w:rPr>
      </w:pPr>
      <w:bookmarkStart w:id="0" w:name="_Toc115857520"/>
      <w:r w:rsidRPr="00044923">
        <w:rPr>
          <w:sz w:val="22"/>
          <w:szCs w:val="22"/>
        </w:rPr>
        <w:t>Principes</w:t>
      </w:r>
      <w:bookmarkEnd w:id="0"/>
      <w:r w:rsidRPr="00044923">
        <w:rPr>
          <w:sz w:val="22"/>
          <w:szCs w:val="22"/>
        </w:rPr>
        <w:t xml:space="preserve">  </w:t>
      </w:r>
    </w:p>
    <w:p w14:paraId="1960C31F"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Les principes proposés pour cette agence de la biodiversité pour les Etats membres de la COI sont les suivants. Ils ne sont pas hiérarchisés par un quelconque ordre d’importance ou de priorité mais sont à considérer comme un tout </w:t>
      </w:r>
      <w:proofErr w:type="gramStart"/>
      <w:r w:rsidRPr="00044923">
        <w:rPr>
          <w:rFonts w:ascii="Verdana" w:hAnsi="Verdana"/>
          <w:sz w:val="22"/>
          <w:szCs w:val="22"/>
        </w:rPr>
        <w:t>cohérent</w:t>
      </w:r>
      <w:proofErr w:type="gramEnd"/>
      <w:r w:rsidRPr="00044923">
        <w:rPr>
          <w:rFonts w:ascii="Verdana" w:hAnsi="Verdana"/>
          <w:sz w:val="22"/>
          <w:szCs w:val="22"/>
        </w:rPr>
        <w:t xml:space="preserve"> et équilibré d’une action reconnue et durable : </w:t>
      </w:r>
    </w:p>
    <w:p w14:paraId="302A4E29"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L’Agence biodiversité ne se substitue pas aux acteurs en présence (institutions nationales, réseaux nationaux, régionaux ou internationaux) et respecte la souveraineté des politiques, des stratégies et organisations des acteurs pour agir en matière de protection et de gestion de la biodiversité ;</w:t>
      </w:r>
    </w:p>
    <w:p w14:paraId="620542D3"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Actant que la biodiversité est partout, l’Agence ne hiérarchise pas dans ses missions ou actions selon les milieux (marins, terrestres ou côtiers) ou les espaces (emblématiques, déjà classés ou à classer, agricoles, plus ordinaires ou urbains) ; de même, elle privilégie avant tout une approche d’intérêt régional mettant l’accent sur les Etats insulaires mais n’excluant naturellement pas le travail en réseau et en complémentarité avec les autres Etats, institutions, réseaux ou projets impliqués dans la région  ;</w:t>
      </w:r>
    </w:p>
    <w:p w14:paraId="7EE180E0"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 xml:space="preserve">Actant également que la biodiversité est affectée par de multiples causes ou que sa dégradation a de multiples impacts, l’Agence portera attention aux liens entre biodiversité et climat, biodiversité et santé, agriculture, aménagement du territoire, ou développement social et économique, et qu’à ce titre, agira pour une meilleure intégration des enjeux de préservation de la biodiversité par les différentes politiques publiques relatives à ces enjeux ; </w:t>
      </w:r>
    </w:p>
    <w:p w14:paraId="2C1A049E"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L’Agence, selon son programme d’action défini en concertation avec les Etats membres et en cohérence avec les conventions régionales, est susceptible d’agir sur l’ensemble des domaines utiles pour une meilleure prise en compte des enjeux de protection de la biodiversité à l’échelle régionale ou en appui à un des Etats membres de la COI. Elle agit dans une vision long terme, non partisane et indépendamment des influences partisanes ;</w:t>
      </w:r>
    </w:p>
    <w:p w14:paraId="7D2FE2F5"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 xml:space="preserve">Si l’Agence a intérêt à avoir son propre budget de fonctionnement et une équipe dédiée à l’accompagnement des acteurs dans la mise en œuvre des actions, elle reste d’une taille modeste. Pour sécuriser la pérennité du dispositif mis en place et assurer à la fois un bénéfice commun des actions entreprises, il est proposé que l’Agence biodiversité soit étroitement rattachée à la COI ; </w:t>
      </w:r>
    </w:p>
    <w:p w14:paraId="3122CEBC" w14:textId="77777777" w:rsidR="00F8259D" w:rsidRPr="00044923" w:rsidRDefault="00F8259D" w:rsidP="00F8259D">
      <w:pPr>
        <w:pStyle w:val="COI-Listechiffre"/>
        <w:rPr>
          <w:rFonts w:ascii="Verdana" w:hAnsi="Verdana"/>
          <w:sz w:val="22"/>
          <w:szCs w:val="22"/>
        </w:rPr>
      </w:pPr>
      <w:r w:rsidRPr="00044923">
        <w:rPr>
          <w:rFonts w:ascii="Verdana" w:hAnsi="Verdana"/>
          <w:sz w:val="22"/>
          <w:szCs w:val="22"/>
        </w:rPr>
        <w:t xml:space="preserve">Enfin, l’Agence rend compte régulièrement de ses activités aux instances de gouvernance de la COI. </w:t>
      </w:r>
    </w:p>
    <w:p w14:paraId="1F61D458" w14:textId="77777777" w:rsidR="00F8259D" w:rsidRPr="00044923" w:rsidRDefault="00F8259D" w:rsidP="00F8259D">
      <w:pPr>
        <w:pStyle w:val="Titre2"/>
        <w:rPr>
          <w:rFonts w:ascii="Verdana" w:hAnsi="Verdana"/>
          <w:sz w:val="22"/>
          <w:szCs w:val="22"/>
        </w:rPr>
      </w:pPr>
      <w:r w:rsidRPr="00044923">
        <w:rPr>
          <w:rFonts w:ascii="Verdana" w:hAnsi="Verdana"/>
          <w:sz w:val="22"/>
          <w:szCs w:val="22"/>
        </w:rPr>
        <w:t xml:space="preserve">Champs d’action  </w:t>
      </w:r>
    </w:p>
    <w:p w14:paraId="071C09D7"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Favoriser l’expression de plaidoyers régionaux sur les différents enjeux de protection de la biodiversité – terrestre et marine – dans les différentes instances régionales ou internationales ; </w:t>
      </w:r>
    </w:p>
    <w:p w14:paraId="59B236B9"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Accompagner, dans le long terme, la présence de représentants des Etats membres dans des groupes de travail internationaux, lors de conférences internationales.</w:t>
      </w:r>
      <w:r w:rsidRPr="00044923">
        <w:rPr>
          <w:rStyle w:val="Appelnotedebasdep"/>
          <w:rFonts w:ascii="Verdana" w:hAnsi="Verdana"/>
          <w:sz w:val="22"/>
          <w:szCs w:val="22"/>
        </w:rPr>
        <w:footnoteReference w:id="1"/>
      </w:r>
      <w:r w:rsidRPr="00044923">
        <w:rPr>
          <w:rFonts w:ascii="Verdana" w:hAnsi="Verdana"/>
          <w:sz w:val="22"/>
          <w:szCs w:val="22"/>
        </w:rPr>
        <w:t> ;</w:t>
      </w:r>
    </w:p>
    <w:p w14:paraId="24EA4B33"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lastRenderedPageBreak/>
        <w:t xml:space="preserve">Elaborer, en cohérence avec les engagements internationaux, une stratégie régionale de la biodiversité ; </w:t>
      </w:r>
    </w:p>
    <w:p w14:paraId="4B539DE5"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Accompagner, dans le cadre de « centre de ressources » les porteurs de projets, locaux, nationaux ou régionaux ; </w:t>
      </w:r>
    </w:p>
    <w:p w14:paraId="61DD4723"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Contribuer aux travaux d’évaluation des politiques publiques sectorielles ou multi sectorielles liées aux enjeux de protection, de reconquête ou d’intégration de la biodiversité dans le développement durable ;  </w:t>
      </w:r>
    </w:p>
    <w:p w14:paraId="00FEE79B"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Au niveau local, favoriser l’intervention de relais de sensibilisation (y compris religieux) pour « faire passer des messages » et sensibiliser les communautés les plus en prise avec les conséquences de la dégradation ou sur les bénéfices attendus d’une meilleure protection de l’environnement. </w:t>
      </w:r>
    </w:p>
    <w:p w14:paraId="4E07C946" w14:textId="77777777" w:rsidR="00F8259D" w:rsidRPr="00044923" w:rsidRDefault="00F8259D" w:rsidP="00F8259D">
      <w:pPr>
        <w:pStyle w:val="Titre2"/>
        <w:rPr>
          <w:rFonts w:ascii="Verdana" w:hAnsi="Verdana"/>
          <w:sz w:val="22"/>
          <w:szCs w:val="22"/>
        </w:rPr>
      </w:pPr>
      <w:r w:rsidRPr="00044923">
        <w:rPr>
          <w:rFonts w:ascii="Verdana" w:hAnsi="Verdana"/>
          <w:sz w:val="22"/>
          <w:szCs w:val="22"/>
        </w:rPr>
        <w:t xml:space="preserve">Gouvernance  </w:t>
      </w:r>
    </w:p>
    <w:p w14:paraId="1BC16377" w14:textId="77777777" w:rsidR="00F8259D" w:rsidRPr="00044923" w:rsidRDefault="00F8259D" w:rsidP="00F8259D">
      <w:pPr>
        <w:pStyle w:val="Corpsdetexte"/>
        <w:rPr>
          <w:rFonts w:ascii="Verdana" w:eastAsia="Times New Roman" w:hAnsi="Verdana"/>
          <w:color w:val="00000A"/>
          <w:sz w:val="22"/>
          <w:szCs w:val="22"/>
          <w:lang w:eastAsia="ar-SA"/>
        </w:rPr>
      </w:pPr>
      <w:r w:rsidRPr="00044923">
        <w:rPr>
          <w:rFonts w:ascii="Verdana" w:eastAsia="Times New Roman" w:hAnsi="Verdana"/>
          <w:color w:val="00000A"/>
          <w:sz w:val="22"/>
          <w:szCs w:val="22"/>
          <w:lang w:eastAsia="ar-SA"/>
        </w:rPr>
        <w:t xml:space="preserve">En matière de gouvernance, plusieurs pistes sont à explorer. Ils sont présentés ici du plus simple et plus souple, au plus élaboré : </w:t>
      </w:r>
    </w:p>
    <w:p w14:paraId="651193C9"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Une approche « centre de ressource » telle que développée dans le cadre du projet GIZ sur les Espèces exotiques envahissantes pourrait être mise en œuvre sur des enjeux de connaissance, d’accompagnement de politiques publiques, de valorisation et d’échanges de bonnes pratiques et de mise en réseau. Ce « Centre de ressource biodiversité » pourrait être financé par la COI dans le cadre d’un accord avec un partenaire financier, l’équipe pourrait être soit hébergée au Secrétariat, soit au sein d’un Etat membre ; </w:t>
      </w:r>
    </w:p>
    <w:p w14:paraId="6E5F71C4"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L’établissement d’un "Protocole d'accord pour la biodiversité de l'Océan indien", pourrait, sous l’égide de la COI pourrait poser les grands principes et objectifs partagés et formaliser ainsi un cadre d’intervention. </w:t>
      </w:r>
    </w:p>
    <w:p w14:paraId="5E9C4DAF"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Des exemples de convention ouvrant à une coopération étroite entre Etats pour concilier les multiples intérêts en termes d’usage et de protection de milieux naturels existent</w:t>
      </w:r>
      <w:r w:rsidRPr="00044923">
        <w:rPr>
          <w:rStyle w:val="Appelnotedebasdep"/>
          <w:rFonts w:ascii="Verdana" w:hAnsi="Verdana"/>
          <w:sz w:val="22"/>
          <w:szCs w:val="22"/>
        </w:rPr>
        <w:footnoteReference w:id="2"/>
      </w:r>
      <w:r w:rsidRPr="00044923">
        <w:rPr>
          <w:rFonts w:ascii="Verdana" w:hAnsi="Verdana"/>
          <w:sz w:val="22"/>
          <w:szCs w:val="22"/>
        </w:rPr>
        <w:t xml:space="preserve">. </w:t>
      </w:r>
    </w:p>
    <w:p w14:paraId="2D5D188E"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La gouvernance de l’agence peut être spécifique. Il est toutefois proposé que la présidence de la COI soit aussi la présidence de l’agence. Enfin, il est proposé que la gouvernance de l’Agence soit élargie aux principaux acteurs, et bailleurs de fonds impliqués sur ces enjeux selon un équilibre validé par les instances de la COI. </w:t>
      </w:r>
    </w:p>
    <w:p w14:paraId="6783BB3A" w14:textId="77777777" w:rsidR="00F8259D" w:rsidRPr="00044923" w:rsidRDefault="00F8259D" w:rsidP="00F8259D">
      <w:pPr>
        <w:pStyle w:val="Titre2"/>
        <w:rPr>
          <w:rFonts w:ascii="Verdana" w:hAnsi="Verdana"/>
          <w:sz w:val="22"/>
          <w:szCs w:val="22"/>
        </w:rPr>
      </w:pPr>
      <w:bookmarkStart w:id="1" w:name="_Toc115857521"/>
      <w:r w:rsidRPr="00044923">
        <w:rPr>
          <w:rFonts w:ascii="Verdana" w:hAnsi="Verdana"/>
          <w:sz w:val="22"/>
          <w:szCs w:val="22"/>
        </w:rPr>
        <w:t>Premiers éléments de feuille de route</w:t>
      </w:r>
      <w:bookmarkEnd w:id="1"/>
      <w:r w:rsidRPr="00044923">
        <w:rPr>
          <w:rFonts w:ascii="Verdana" w:hAnsi="Verdana"/>
          <w:sz w:val="22"/>
          <w:szCs w:val="22"/>
        </w:rPr>
        <w:t> :</w:t>
      </w:r>
    </w:p>
    <w:p w14:paraId="43B29063" w14:textId="77777777" w:rsidR="00F8259D" w:rsidRPr="00044923" w:rsidRDefault="00F8259D" w:rsidP="00F8259D">
      <w:pPr>
        <w:pStyle w:val="Titre3"/>
        <w:ind w:left="0" w:firstLine="0"/>
        <w:rPr>
          <w:rFonts w:ascii="Verdana" w:hAnsi="Verdana"/>
          <w:sz w:val="22"/>
          <w:szCs w:val="22"/>
        </w:rPr>
      </w:pPr>
      <w:bookmarkStart w:id="2" w:name="_Toc115857522"/>
      <w:r w:rsidRPr="00044923">
        <w:rPr>
          <w:rFonts w:ascii="Verdana" w:hAnsi="Verdana"/>
          <w:sz w:val="22"/>
          <w:szCs w:val="22"/>
        </w:rPr>
        <w:t>Périmètre de l’agence</w:t>
      </w:r>
      <w:bookmarkEnd w:id="2"/>
      <w:r w:rsidRPr="00044923">
        <w:rPr>
          <w:rFonts w:ascii="Verdana" w:hAnsi="Verdana"/>
          <w:sz w:val="22"/>
          <w:szCs w:val="22"/>
        </w:rPr>
        <w:t xml:space="preserve">  </w:t>
      </w:r>
    </w:p>
    <w:p w14:paraId="345A0A85" w14:textId="77777777" w:rsidR="00F8259D" w:rsidRPr="00044923" w:rsidRDefault="00F8259D" w:rsidP="00F8259D">
      <w:pPr>
        <w:pStyle w:val="Corpsdetexte"/>
        <w:rPr>
          <w:rStyle w:val="Titredulivre"/>
          <w:rFonts w:ascii="Verdana" w:hAnsi="Verdana"/>
          <w:b w:val="0"/>
          <w:bCs w:val="0"/>
          <w:i w:val="0"/>
          <w:iCs w:val="0"/>
          <w:sz w:val="22"/>
          <w:szCs w:val="22"/>
        </w:rPr>
      </w:pPr>
      <w:r w:rsidRPr="00044923">
        <w:rPr>
          <w:rStyle w:val="Titredulivre"/>
          <w:rFonts w:ascii="Verdana" w:hAnsi="Verdana"/>
          <w:sz w:val="22"/>
          <w:szCs w:val="22"/>
        </w:rPr>
        <w:t xml:space="preserve">Le périmètre d’action de l’agence peut se définir par ses champs d’actions ou de non-action. </w:t>
      </w:r>
    </w:p>
    <w:p w14:paraId="7D526103" w14:textId="77777777" w:rsidR="00F8259D" w:rsidRPr="00044923" w:rsidRDefault="00F8259D" w:rsidP="00F8259D">
      <w:pPr>
        <w:pStyle w:val="Corpsdetexte"/>
        <w:rPr>
          <w:rFonts w:ascii="Verdana" w:hAnsi="Verdana"/>
          <w:sz w:val="22"/>
          <w:szCs w:val="22"/>
        </w:rPr>
      </w:pPr>
      <w:r w:rsidRPr="00044923">
        <w:rPr>
          <w:rStyle w:val="Titredulivre"/>
          <w:rFonts w:ascii="Verdana" w:hAnsi="Verdana"/>
          <w:sz w:val="22"/>
          <w:szCs w:val="22"/>
        </w:rPr>
        <w:t xml:space="preserve">Ainsi, un temps de travail de groupe a été dédié à cette réflexion. Il en ressort, une première exclusion de domaines d’intervention de l’agence </w:t>
      </w:r>
      <w:r w:rsidRPr="00044923">
        <w:rPr>
          <w:rFonts w:ascii="Verdana" w:hAnsi="Verdana"/>
          <w:sz w:val="22"/>
          <w:szCs w:val="22"/>
        </w:rPr>
        <w:t xml:space="preserve">: </w:t>
      </w:r>
    </w:p>
    <w:p w14:paraId="5C60A1FB"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lastRenderedPageBreak/>
        <w:t>Interférer dans les échanges entre les instances ou politiques nationales de biodiversité ;</w:t>
      </w:r>
    </w:p>
    <w:p w14:paraId="0232F7A0"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Prendre en charge les activités nationales ;</w:t>
      </w:r>
    </w:p>
    <w:p w14:paraId="785255A4" w14:textId="77777777" w:rsidR="00F8259D" w:rsidRPr="00044923" w:rsidRDefault="00F8259D" w:rsidP="00F8259D">
      <w:pPr>
        <w:pStyle w:val="COI-Listepoint"/>
        <w:rPr>
          <w:rFonts w:ascii="Verdana" w:hAnsi="Verdana"/>
          <w:sz w:val="22"/>
          <w:szCs w:val="22"/>
        </w:rPr>
      </w:pPr>
      <w:r w:rsidRPr="00044923">
        <w:rPr>
          <w:rFonts w:ascii="Verdana" w:hAnsi="Verdana"/>
          <w:sz w:val="22"/>
          <w:szCs w:val="22"/>
        </w:rPr>
        <w:t xml:space="preserve">Dupliquer ou chercher à intervenir dans le champ des acteurs déjà en place et reconnus depuis de nombreuses années (ex </w:t>
      </w:r>
      <w:proofErr w:type="spellStart"/>
      <w:r w:rsidRPr="00044923">
        <w:rPr>
          <w:rFonts w:ascii="Verdana" w:hAnsi="Verdana"/>
          <w:sz w:val="22"/>
          <w:szCs w:val="22"/>
        </w:rPr>
        <w:t>Wiomsa</w:t>
      </w:r>
      <w:proofErr w:type="spellEnd"/>
      <w:r w:rsidRPr="00044923">
        <w:rPr>
          <w:rFonts w:ascii="Verdana" w:hAnsi="Verdana"/>
          <w:sz w:val="22"/>
          <w:szCs w:val="22"/>
        </w:rPr>
        <w:t xml:space="preserve">, réseaux de suivi de la déforestation…).  </w:t>
      </w:r>
    </w:p>
    <w:p w14:paraId="09AC6E58" w14:textId="77777777" w:rsidR="00F8259D" w:rsidRPr="00044923" w:rsidRDefault="00F8259D" w:rsidP="00F8259D">
      <w:pPr>
        <w:pStyle w:val="Corpsdetexte"/>
        <w:rPr>
          <w:rFonts w:ascii="Verdana" w:hAnsi="Verdana"/>
          <w:sz w:val="22"/>
          <w:szCs w:val="22"/>
        </w:rPr>
      </w:pPr>
      <w:r w:rsidRPr="00044923">
        <w:rPr>
          <w:rStyle w:val="Titredulivre"/>
          <w:rFonts w:ascii="Verdana" w:hAnsi="Verdana"/>
          <w:sz w:val="22"/>
          <w:szCs w:val="22"/>
        </w:rPr>
        <w:t xml:space="preserve">Ainsi, les Domaines d’intervention de l’agence pourraient être (liste non classée en ordre de priorité ou autre) </w:t>
      </w:r>
      <w:r w:rsidRPr="00044923">
        <w:rPr>
          <w:rFonts w:ascii="Verdana" w:hAnsi="Verdana"/>
          <w:sz w:val="22"/>
          <w:szCs w:val="22"/>
        </w:rPr>
        <w:t xml:space="preserve">: </w:t>
      </w:r>
    </w:p>
    <w:p w14:paraId="3711D074" w14:textId="77777777" w:rsidR="00F8259D" w:rsidRPr="00044923" w:rsidRDefault="00F8259D" w:rsidP="00F8259D">
      <w:pPr>
        <w:pStyle w:val="COI-Listepoint"/>
        <w:rPr>
          <w:rFonts w:ascii="Verdana" w:hAnsi="Verdana"/>
          <w:b/>
          <w:bCs/>
          <w:sz w:val="22"/>
          <w:szCs w:val="22"/>
        </w:rPr>
      </w:pPr>
      <w:r w:rsidRPr="00044923">
        <w:rPr>
          <w:rFonts w:ascii="Verdana" w:hAnsi="Verdana"/>
          <w:b/>
          <w:bCs/>
          <w:sz w:val="22"/>
          <w:szCs w:val="22"/>
        </w:rPr>
        <w:t xml:space="preserve">Dans le domaine technique </w:t>
      </w:r>
    </w:p>
    <w:p w14:paraId="4176CB9B"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Promouvoir des solutions, politiques ou approches pertinentes pour la protection de la biodiversité au regard des enjeux de changement climatique ;</w:t>
      </w:r>
    </w:p>
    <w:p w14:paraId="056DCE82"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Promouvoir le partage d’expériences et de bonnes pratiques </w:t>
      </w:r>
    </w:p>
    <w:p w14:paraId="6097F27E"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Contribuer au rapprochement, à la convergence voire à l’harmonisation et à la diffusion de protocoles de collecte de données ;</w:t>
      </w:r>
    </w:p>
    <w:p w14:paraId="403EBE7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Apporter un appui en termes de méthode de suivi et d’évaluation des impacts des projets ;</w:t>
      </w:r>
    </w:p>
    <w:p w14:paraId="421E9EC5"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Accompagner, en cohérence avec l’engagement commun pour la mise en œuvre de l’accord de Kunming-Montréal, l’établissement et la mise à jour des espèces en dangers dans les pays et au niveau régional ;</w:t>
      </w:r>
    </w:p>
    <w:p w14:paraId="2BBDD1D8"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Coordonner une veille sur certaines espèces exotiques envahissantes ;</w:t>
      </w:r>
    </w:p>
    <w:p w14:paraId="2C2822F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Assurer une fonction de hub pour les données de la connaissance sur la biodiversité et redistribuer, sous la forme d’un transfert accessible à différents publics, des informations fiables et indépendantes sur l’environnement (ex Agence européenne de l’environnement) ;</w:t>
      </w:r>
    </w:p>
    <w:p w14:paraId="1AD2FD62"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Mettre en place des outils, méthodes ou moyens régionaux de collecte de données (ex achat d’imagerie satellite pour certains inventaires d’habitats.</w:t>
      </w:r>
    </w:p>
    <w:p w14:paraId="2B4F584B"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Identifier les besoins en matière de développement des capacités et contribuer à la recherche de réponses adaptées.</w:t>
      </w:r>
    </w:p>
    <w:p w14:paraId="1DFAF7DC"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Sur le suivi de la convention CDB, chaque pays devra réviser sa Stratégie et plan d’action national pour la biodiversité (SPANB) d’ici la COP 16 (qui se tiendra en 2024 en Turquie) et soumettre des objectifs nationaux alignés avec les nouveaux objectifs mondiaux. Aussi, les SPANB pourraient faire l’objet de collaboration régionale (élaboration, suivi des objectifs et indicateurs, alignement thématique, etc.) </w:t>
      </w:r>
    </w:p>
    <w:p w14:paraId="400378C1" w14:textId="77777777" w:rsidR="00F8259D" w:rsidRPr="00044923" w:rsidRDefault="00F8259D" w:rsidP="00F8259D">
      <w:pPr>
        <w:pStyle w:val="COI-Listepoint"/>
        <w:rPr>
          <w:rFonts w:ascii="Verdana" w:hAnsi="Verdana"/>
          <w:b/>
          <w:bCs/>
          <w:sz w:val="22"/>
          <w:szCs w:val="22"/>
        </w:rPr>
      </w:pPr>
      <w:r w:rsidRPr="00044923">
        <w:rPr>
          <w:rFonts w:ascii="Verdana" w:hAnsi="Verdana"/>
          <w:b/>
          <w:bCs/>
          <w:sz w:val="22"/>
          <w:szCs w:val="22"/>
        </w:rPr>
        <w:t xml:space="preserve">Dans le domaine de la communication, du renforcement de capacité et de sensibilisation </w:t>
      </w:r>
    </w:p>
    <w:p w14:paraId="603C690A"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Organiser des conférences, et évènements sur différents thèmes mobilisateurs pour les acteurs de la biodiversité dans la région ;</w:t>
      </w:r>
    </w:p>
    <w:p w14:paraId="0896982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Favoriser le dialogue entre les administrations, les gestionnaires, les ONG et les scientifiques </w:t>
      </w:r>
      <w:r w:rsidRPr="00044923">
        <w:rPr>
          <w:rFonts w:ascii="Verdana" w:hAnsi="Verdana"/>
          <w:i/>
          <w:sz w:val="22"/>
          <w:szCs w:val="22"/>
        </w:rPr>
        <w:t>(par exemple et sans exclusivité : via l’organisation d’un colloque annuel)</w:t>
      </w:r>
      <w:r w:rsidRPr="00044923">
        <w:rPr>
          <w:rFonts w:ascii="Verdana" w:hAnsi="Verdana"/>
          <w:sz w:val="22"/>
          <w:szCs w:val="22"/>
        </w:rPr>
        <w:t> ;</w:t>
      </w:r>
    </w:p>
    <w:p w14:paraId="1458AD46"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lastRenderedPageBreak/>
        <w:t xml:space="preserve">Accompagner, notamment par la diffusion des actions nationales à l’échelle régionale, la mise en place d’évènements mobilisateurs pour la société civile (ex </w:t>
      </w:r>
      <w:proofErr w:type="spellStart"/>
      <w:r w:rsidRPr="00044923">
        <w:rPr>
          <w:rFonts w:ascii="Verdana" w:hAnsi="Verdana"/>
          <w:sz w:val="22"/>
          <w:szCs w:val="22"/>
        </w:rPr>
        <w:t>sea</w:t>
      </w:r>
      <w:proofErr w:type="spellEnd"/>
      <w:r w:rsidRPr="00044923">
        <w:rPr>
          <w:rFonts w:ascii="Verdana" w:hAnsi="Verdana"/>
          <w:sz w:val="22"/>
          <w:szCs w:val="22"/>
        </w:rPr>
        <w:t xml:space="preserve"> </w:t>
      </w:r>
      <w:proofErr w:type="spellStart"/>
      <w:r w:rsidRPr="00044923">
        <w:rPr>
          <w:rFonts w:ascii="Verdana" w:hAnsi="Verdana"/>
          <w:sz w:val="22"/>
          <w:szCs w:val="22"/>
        </w:rPr>
        <w:t>turtle</w:t>
      </w:r>
      <w:proofErr w:type="spellEnd"/>
      <w:r w:rsidRPr="00044923">
        <w:rPr>
          <w:rFonts w:ascii="Verdana" w:hAnsi="Verdana"/>
          <w:sz w:val="22"/>
          <w:szCs w:val="22"/>
        </w:rPr>
        <w:t xml:space="preserve"> festival des Seychelles) ;</w:t>
      </w:r>
    </w:p>
    <w:p w14:paraId="28FC0F60"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Mettre en place des programmes de renforcement de capacité ou formation professionnelle favorisant les échanges pairs à pairs, ou entre chercheurs ou pour assurer la formation long terme de techniciens ou agents travaillant dans les espaces protégés sur des rôles clés de la gestion de la biodiversité, de l’accueil et de sensibilisation du public et d’application de la réglementation ;</w:t>
      </w:r>
    </w:p>
    <w:p w14:paraId="68E6B183"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Favoriser la communication (voire les regroupements) entre acteurs œuvrant sur les mêmes sujets dans différents pays ;</w:t>
      </w:r>
    </w:p>
    <w:p w14:paraId="7534CE0C"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Organiser une bibliothèque centrale des rapports d’évaluation des projets nationaux ou régionaux ; </w:t>
      </w:r>
    </w:p>
    <w:p w14:paraId="05D18BF0"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Partager des termes de référence d’Experts ou soutenir les acteurs dans la recherche d’experts, en soutenant l’émergence d’équipes d’experts issus de la région</w:t>
      </w:r>
    </w:p>
    <w:p w14:paraId="52F2271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Dissémination du concept d’aires marines/terrestres éducatives ?</w:t>
      </w:r>
    </w:p>
    <w:p w14:paraId="2ED374D4" w14:textId="77777777" w:rsidR="00F8259D" w:rsidRPr="00044923" w:rsidRDefault="00F8259D" w:rsidP="00F8259D">
      <w:pPr>
        <w:pStyle w:val="COI-Listepoint"/>
        <w:rPr>
          <w:rFonts w:ascii="Verdana" w:hAnsi="Verdana"/>
          <w:b/>
          <w:bCs/>
          <w:sz w:val="22"/>
          <w:szCs w:val="22"/>
        </w:rPr>
      </w:pPr>
      <w:r w:rsidRPr="00044923">
        <w:rPr>
          <w:rFonts w:ascii="Verdana" w:hAnsi="Verdana"/>
          <w:b/>
          <w:bCs/>
          <w:sz w:val="22"/>
          <w:szCs w:val="22"/>
        </w:rPr>
        <w:t xml:space="preserve">Dans le domaine de l’appui à l’accès aux financements : </w:t>
      </w:r>
    </w:p>
    <w:p w14:paraId="0135B512"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Organiser sur une base bisannuelle une conférence des bailleurs de fonds pour la biodiversité dans la zone OI ;</w:t>
      </w:r>
    </w:p>
    <w:p w14:paraId="04703508"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Promouvoir et soutenir, par l’apport d’expertise spécifique, l’identification et la préparation de projets, notamment régionaux ;</w:t>
      </w:r>
    </w:p>
    <w:p w14:paraId="5FAF1DF1"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Soutenir financièrement ou techniquement les réseaux existants.</w:t>
      </w:r>
    </w:p>
    <w:p w14:paraId="5C1C8810"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Dans le domaine stratégique, législatif et juridique </w:t>
      </w:r>
    </w:p>
    <w:p w14:paraId="4D9CC2C6"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 xml:space="preserve">Favoriser les approches partagées et coordonnées </w:t>
      </w:r>
      <w:r w:rsidRPr="00044923">
        <w:rPr>
          <w:rFonts w:ascii="Verdana" w:hAnsi="Verdana"/>
          <w:i/>
          <w:sz w:val="22"/>
          <w:szCs w:val="22"/>
        </w:rPr>
        <w:t>(y compris pour des espèces ou des habitats naturels partagés entre plusieurs EM)</w:t>
      </w:r>
      <w:r w:rsidRPr="00044923">
        <w:rPr>
          <w:rFonts w:ascii="Verdana" w:hAnsi="Verdana"/>
          <w:sz w:val="22"/>
          <w:szCs w:val="22"/>
        </w:rPr>
        <w:t> ;</w:t>
      </w:r>
    </w:p>
    <w:p w14:paraId="11E91487"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Mettre en place des études et des espaces d’échanges sur les manques existants en matière de législation nationale, voire régionale ;</w:t>
      </w:r>
    </w:p>
    <w:p w14:paraId="35C5366A"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Accompagner les pays de la région pour le partage d’expérience sur les législations existantes (promotion des meilleures approches et pratiques) ;</w:t>
      </w:r>
    </w:p>
    <w:p w14:paraId="69C56343"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Apporter une expertise aux pays pour une meilleure mise en conformité des cadres nationaux avec les directives internationales (notamment cadres post 2020, CITES, Ramsar, Protocoles de Nagoya et partage des avantages, lutte contre le braconnage et police de l’environnement</w:t>
      </w:r>
      <w:proofErr w:type="gramStart"/>
      <w:r w:rsidRPr="00044923">
        <w:rPr>
          <w:rFonts w:ascii="Verdana" w:hAnsi="Verdana"/>
          <w:sz w:val="22"/>
          <w:szCs w:val="22"/>
        </w:rPr>
        <w:t>… )</w:t>
      </w:r>
      <w:proofErr w:type="gramEnd"/>
    </w:p>
    <w:p w14:paraId="547DEA9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Organiser une facilité d’accès aux financements (comme cela se met en place pour le climat) ;</w:t>
      </w:r>
    </w:p>
    <w:p w14:paraId="7D9E6ABD"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Soutenir la mise en place d’études, de projets de recherche ou de projets sur les liens entre biodiversité et climat, biodiversité et santé ;</w:t>
      </w:r>
    </w:p>
    <w:p w14:paraId="4171CF78" w14:textId="77777777" w:rsidR="00F8259D" w:rsidRPr="00044923" w:rsidRDefault="00F8259D" w:rsidP="00F8259D">
      <w:pPr>
        <w:pStyle w:val="COI-Listepoint"/>
        <w:rPr>
          <w:rFonts w:ascii="Verdana" w:hAnsi="Verdana"/>
          <w:b/>
          <w:bCs/>
          <w:sz w:val="22"/>
          <w:szCs w:val="22"/>
        </w:rPr>
      </w:pPr>
      <w:r w:rsidRPr="00044923">
        <w:rPr>
          <w:rFonts w:ascii="Verdana" w:hAnsi="Verdana"/>
          <w:b/>
          <w:bCs/>
          <w:sz w:val="22"/>
          <w:szCs w:val="22"/>
        </w:rPr>
        <w:t xml:space="preserve">Dans le domaine institutionnel </w:t>
      </w:r>
    </w:p>
    <w:p w14:paraId="4630FD58"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Accompagner, selon les demandes politique, la promotion de plaidoyers sur les enjeux de protection de la biodiversité dans les Etats et iles de la région ;</w:t>
      </w:r>
    </w:p>
    <w:p w14:paraId="6073EF22"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t>Accompagner les Etats membres à être représenté et actif dans les instances et débats régionaux et internationaux ;</w:t>
      </w:r>
    </w:p>
    <w:p w14:paraId="5AA9E735" w14:textId="77777777" w:rsidR="00F8259D" w:rsidRPr="00044923" w:rsidRDefault="00F8259D" w:rsidP="00F8259D">
      <w:pPr>
        <w:pStyle w:val="COI-Listepoint"/>
        <w:numPr>
          <w:ilvl w:val="1"/>
          <w:numId w:val="15"/>
        </w:numPr>
        <w:ind w:left="993" w:hanging="164"/>
        <w:rPr>
          <w:rFonts w:ascii="Verdana" w:hAnsi="Verdana"/>
          <w:sz w:val="22"/>
          <w:szCs w:val="22"/>
        </w:rPr>
      </w:pPr>
      <w:r w:rsidRPr="00044923">
        <w:rPr>
          <w:rFonts w:ascii="Verdana" w:hAnsi="Verdana"/>
          <w:sz w:val="22"/>
          <w:szCs w:val="22"/>
        </w:rPr>
        <w:lastRenderedPageBreak/>
        <w:t>Favoriser les liens, pour une meilleure connaissance mais aussi pour une meilleure contribution, les Etats dans les instances et organisations régionales ou internationales.</w:t>
      </w:r>
    </w:p>
    <w:p w14:paraId="4317BFC2"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Cette liste, non exhaustive devra être mise à l’épreuve des priorités au regard des moyens, humains, techniques et financiers, de manière à engager le projet d’agence sur des actions très opérationnelles, visibles et démonstratives pour les partenaires, répondant aux besoins et s’inscrivant dans la durée.  </w:t>
      </w:r>
    </w:p>
    <w:p w14:paraId="012457B6" w14:textId="77777777" w:rsidR="00F8259D" w:rsidRPr="00044923" w:rsidRDefault="00F8259D" w:rsidP="00F8259D">
      <w:pPr>
        <w:pStyle w:val="Titre1"/>
        <w:ind w:left="0" w:firstLine="0"/>
        <w:rPr>
          <w:sz w:val="22"/>
          <w:szCs w:val="22"/>
        </w:rPr>
      </w:pPr>
      <w:r w:rsidRPr="00044923">
        <w:rPr>
          <w:sz w:val="22"/>
          <w:szCs w:val="22"/>
        </w:rPr>
        <w:t xml:space="preserve">Conclusions et suites à donner : </w:t>
      </w:r>
    </w:p>
    <w:p w14:paraId="6A45999C"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Si cette agence doit avant tout servir les intérêts des Etats membres de la COI, il convient d’acter que les enjeux ne se limitent pas à leurs frontières. Ainsi, le groupe de travail recommande, comme cela se fait pour la santé ou pour le climat, que l’Agence reste ouverte à la coopération et aux échanges avec d’autres Etats non membres de la COI. </w:t>
      </w:r>
    </w:p>
    <w:p w14:paraId="0B22F43B"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Il ressort également que des efforts de concertation et de mise en synergie des nombreux acteurs agissant dans ce domaine seraient déjà porteur de fruits positifs.</w:t>
      </w:r>
    </w:p>
    <w:p w14:paraId="5700325B"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Le groupe de travail recommande également une approche pragmatique, très opérationnelle et « pas à pas ». En effet, les besoins identifiés et attentes exprimées par le groupe de travail Biodiversité des Etats membres de la COI sont immenses et nécessite une équipe dédiée.</w:t>
      </w:r>
    </w:p>
    <w:p w14:paraId="3D98AC5E" w14:textId="77777777" w:rsidR="00F8259D" w:rsidRPr="00044923" w:rsidRDefault="00F8259D" w:rsidP="00F8259D">
      <w:pPr>
        <w:pStyle w:val="Corpsdetexte"/>
        <w:rPr>
          <w:rFonts w:ascii="Verdana" w:hAnsi="Verdana"/>
          <w:sz w:val="22"/>
          <w:szCs w:val="22"/>
        </w:rPr>
      </w:pPr>
      <w:r w:rsidRPr="00044923">
        <w:rPr>
          <w:rFonts w:ascii="Verdana" w:hAnsi="Verdana"/>
          <w:sz w:val="22"/>
          <w:szCs w:val="22"/>
        </w:rPr>
        <w:t xml:space="preserve">Tout en poursuivant la concertation avec ses Etats membres, la COI se propose d’ouvrir des échanges avec ses partenaires financiers pour engager, au cours de l’année 2023, une étude de faisabilité devant préciser les termes de cette agence. </w:t>
      </w:r>
    </w:p>
    <w:p w14:paraId="25196DCA" w14:textId="4C683522" w:rsidR="00F8259D" w:rsidRPr="00044923" w:rsidRDefault="00F8259D" w:rsidP="00F8259D">
      <w:pPr>
        <w:spacing w:before="0" w:after="0" w:line="240" w:lineRule="auto"/>
        <w:jc w:val="left"/>
        <w:rPr>
          <w:sz w:val="22"/>
        </w:rPr>
      </w:pPr>
    </w:p>
    <w:p w14:paraId="5B95977A" w14:textId="77777777" w:rsidR="00F8259D" w:rsidRPr="00044923" w:rsidRDefault="00F8259D" w:rsidP="00F8259D">
      <w:pPr>
        <w:pStyle w:val="Corpsdetexte"/>
        <w:rPr>
          <w:rFonts w:ascii="Verdana" w:hAnsi="Verdana"/>
          <w:sz w:val="22"/>
          <w:szCs w:val="22"/>
        </w:rPr>
      </w:pPr>
    </w:p>
    <w:sectPr w:rsidR="00F8259D" w:rsidRPr="00044923" w:rsidSect="006F1CB5">
      <w:headerReference w:type="default" r:id="rId7"/>
      <w:footerReference w:type="default" r:id="rId8"/>
      <w:type w:val="continuous"/>
      <w:pgSz w:w="11900" w:h="16840" w:code="9"/>
      <w:pgMar w:top="1418" w:right="1418" w:bottom="1134" w:left="1134"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3929" w14:textId="77777777" w:rsidR="00095FF5" w:rsidRDefault="00095FF5">
      <w:pPr>
        <w:spacing w:after="0" w:line="240" w:lineRule="auto"/>
      </w:pPr>
      <w:r>
        <w:separator/>
      </w:r>
    </w:p>
  </w:endnote>
  <w:endnote w:type="continuationSeparator" w:id="0">
    <w:p w14:paraId="3E2A51B3" w14:textId="77777777" w:rsidR="00095FF5" w:rsidRDefault="0009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786283"/>
      <w:docPartObj>
        <w:docPartGallery w:val="Page Numbers (Bottom of Page)"/>
        <w:docPartUnique/>
      </w:docPartObj>
    </w:sdtPr>
    <w:sdtContent>
      <w:p w14:paraId="1B9DB406" w14:textId="71FEE12D" w:rsidR="006F1CB5" w:rsidRDefault="006F1CB5">
        <w:pPr>
          <w:pStyle w:val="Pieddepage"/>
          <w:jc w:val="center"/>
        </w:pPr>
        <w:r>
          <w:fldChar w:fldCharType="begin"/>
        </w:r>
        <w:r>
          <w:instrText>PAGE   \* MERGEFORMAT</w:instrText>
        </w:r>
        <w:r>
          <w:fldChar w:fldCharType="separate"/>
        </w:r>
        <w:r>
          <w:t>2</w:t>
        </w:r>
        <w:r>
          <w:fldChar w:fldCharType="end"/>
        </w:r>
      </w:p>
    </w:sdtContent>
  </w:sdt>
  <w:p w14:paraId="4159AF4A" w14:textId="77777777" w:rsidR="006F1CB5" w:rsidRPr="006F1CB5" w:rsidRDefault="006F1CB5" w:rsidP="006F1C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7EAE" w14:textId="77777777" w:rsidR="00095FF5" w:rsidRDefault="00095FF5">
      <w:pPr>
        <w:spacing w:after="0" w:line="240" w:lineRule="auto"/>
      </w:pPr>
      <w:r>
        <w:separator/>
      </w:r>
    </w:p>
  </w:footnote>
  <w:footnote w:type="continuationSeparator" w:id="0">
    <w:p w14:paraId="0E42B6E9" w14:textId="77777777" w:rsidR="00095FF5" w:rsidRDefault="00095FF5">
      <w:pPr>
        <w:spacing w:after="0" w:line="240" w:lineRule="auto"/>
      </w:pPr>
      <w:r>
        <w:continuationSeparator/>
      </w:r>
    </w:p>
  </w:footnote>
  <w:footnote w:id="1">
    <w:p w14:paraId="6689AD95" w14:textId="77777777" w:rsidR="00F8259D" w:rsidRDefault="00F8259D" w:rsidP="00F8259D">
      <w:pPr>
        <w:pStyle w:val="Pieddepage"/>
        <w:ind w:left="142" w:hanging="142"/>
      </w:pPr>
      <w:r>
        <w:rPr>
          <w:rStyle w:val="Appelnotedebasdep"/>
        </w:rPr>
        <w:footnoteRef/>
      </w:r>
      <w:r>
        <w:t xml:space="preserve">  </w:t>
      </w:r>
      <w:r w:rsidRPr="00A74011">
        <w:t>A noter que cela ne peut se faire qu’avec un engagement ferme des Etats membres de nommer dans la durée des personnes compétentes et de les conserver sur ces postes</w:t>
      </w:r>
    </w:p>
  </w:footnote>
  <w:footnote w:id="2">
    <w:p w14:paraId="4AD52889" w14:textId="77777777" w:rsidR="00F8259D" w:rsidRPr="00F8259D" w:rsidRDefault="00F8259D" w:rsidP="00F8259D">
      <w:pPr>
        <w:pStyle w:val="Pieddepage"/>
      </w:pPr>
      <w:r>
        <w:rPr>
          <w:rStyle w:val="Appelnotedebasdep"/>
        </w:rPr>
        <w:footnoteRef/>
      </w:r>
      <w:r>
        <w:t xml:space="preserve">  </w:t>
      </w:r>
      <w:r w:rsidRPr="00F8259D">
        <w:t xml:space="preserve">Exemple de la </w:t>
      </w:r>
      <w:r w:rsidRPr="009F2583">
        <w:rPr>
          <w:highlight w:val="yellow"/>
        </w:rPr>
        <w:t>Commission internationale pour la protection du Rhin (CIPR)</w:t>
      </w:r>
      <w:r w:rsidRPr="009F2583">
        <w:t xml:space="preserve"> entre Suisse, Allemagne, France, le Luxembourg, les Pays-Bas et la Commission européenne. Cette commission s’appuie sur des groupes de travail et d’experts, dotés d’un </w:t>
      </w:r>
      <w:r w:rsidRPr="00F8259D">
        <w:t>mandat</w:t>
      </w:r>
      <w:r w:rsidRPr="009F2583">
        <w:t xml:space="preserve"> défini, relatifs à toutes les questions techniques découlant de la mise en œuvre de la Convention pour la protection du Rhin et du droit communautaire. Une fois par an, des décisions sont prises dans le cadre de l’Assemblée plénière et d’une Conférence ministérielle prenant des décisions sur des questions politiques majeures et posant les jalons de futurs programmes d’action.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3151" w14:textId="77777777" w:rsidR="006F1CB5" w:rsidRDefault="006F1CB5">
    <w:pPr>
      <w:pStyle w:val="En-tte"/>
    </w:pPr>
  </w:p>
  <w:p w14:paraId="65E5D167" w14:textId="77777777" w:rsidR="006F1CB5" w:rsidRDefault="006F1CB5" w:rsidP="006F1CB5">
    <w:pPr>
      <w:pStyle w:val="Titre"/>
      <w:ind w:left="0"/>
      <w:jc w:val="right"/>
      <w:rPr>
        <w:rFonts w:ascii="Verdana" w:hAnsi="Verdana"/>
        <w:sz w:val="22"/>
        <w:szCs w:val="22"/>
      </w:rPr>
    </w:pPr>
    <w:r>
      <w:tab/>
    </w:r>
    <w:r>
      <w:tab/>
    </w:r>
    <w:r>
      <w:rPr>
        <w:rFonts w:ascii="Verdana" w:hAnsi="Verdana"/>
        <w:sz w:val="22"/>
        <w:szCs w:val="22"/>
      </w:rPr>
      <w:t xml:space="preserve">2.7 - </w:t>
    </w:r>
    <w:r w:rsidRPr="00044923">
      <w:rPr>
        <w:rFonts w:ascii="Verdana" w:hAnsi="Verdana"/>
        <w:sz w:val="22"/>
        <w:szCs w:val="22"/>
      </w:rPr>
      <w:t>Annexe 1 </w:t>
    </w:r>
  </w:p>
  <w:p w14:paraId="0F14B3D9" w14:textId="3C9F36A2" w:rsidR="006F1CB5" w:rsidRDefault="006F1CB5" w:rsidP="006F1CB5">
    <w:pPr>
      <w:pStyle w:val="En-tte"/>
      <w:tabs>
        <w:tab w:val="clear" w:pos="9072"/>
        <w:tab w:val="right" w:pos="9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5" w15:restartNumberingAfterBreak="0">
    <w:nsid w:val="15051D77"/>
    <w:multiLevelType w:val="multilevel"/>
    <w:tmpl w:val="2BC8ED9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FC40F9"/>
    <w:multiLevelType w:val="hybridMultilevel"/>
    <w:tmpl w:val="078E23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B1F44EF"/>
    <w:multiLevelType w:val="multilevel"/>
    <w:tmpl w:val="75DCE970"/>
    <w:lvl w:ilvl="0">
      <w:start w:val="1"/>
      <w:numFmt w:val="bullet"/>
      <w:pStyle w:val="COI-Listepoi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B2C3ADE"/>
    <w:multiLevelType w:val="multilevel"/>
    <w:tmpl w:val="51BCF30E"/>
    <w:lvl w:ilvl="0">
      <w:start w:val="1"/>
      <w:numFmt w:val="decimal"/>
      <w:lvlText w:val="%1"/>
      <w:lvlJc w:val="left"/>
      <w:pPr>
        <w:ind w:left="432" w:hanging="432"/>
      </w:pPr>
      <w:rPr>
        <w:rFonts w:hint="default"/>
        <w:lang w:bidi="ar-SA"/>
      </w:rPr>
    </w:lvl>
    <w:lvl w:ilvl="1">
      <w:start w:val="1"/>
      <w:numFmt w:val="decimal"/>
      <w:lvlText w:val="%1.%2"/>
      <w:lvlJc w:val="left"/>
      <w:pPr>
        <w:ind w:left="576" w:hanging="576"/>
      </w:pPr>
      <w:rPr>
        <w:rFonts w:hint="default"/>
        <w:b/>
        <w:bCs/>
        <w:spacing w:val="-2"/>
        <w:w w:val="99"/>
        <w:sz w:val="20"/>
        <w:szCs w:val="20"/>
        <w:lang w:val="fr-FR" w:eastAsia="en-US" w:bidi="ar-SA"/>
      </w:rPr>
    </w:lvl>
    <w:lvl w:ilvl="2">
      <w:start w:val="1"/>
      <w:numFmt w:val="lowerLetter"/>
      <w:lvlText w:val="%3)"/>
      <w:lvlJc w:val="left"/>
      <w:pPr>
        <w:ind w:left="360" w:hanging="360"/>
      </w:pPr>
    </w:lvl>
    <w:lvl w:ilvl="3">
      <w:start w:val="1"/>
      <w:numFmt w:val="decimal"/>
      <w:lvlText w:val="%1.%2.%3.%4"/>
      <w:lvlJc w:val="left"/>
      <w:pPr>
        <w:ind w:left="864" w:hanging="864"/>
      </w:pPr>
      <w:rPr>
        <w:rFonts w:hint="default"/>
        <w:lang w:val="fr-FR" w:eastAsia="en-US" w:bidi="ar-SA"/>
      </w:rPr>
    </w:lvl>
    <w:lvl w:ilvl="4">
      <w:start w:val="1"/>
      <w:numFmt w:val="decimal"/>
      <w:lvlText w:val="%1.%2.%3.%4.%5"/>
      <w:lvlJc w:val="left"/>
      <w:pPr>
        <w:ind w:left="1008" w:hanging="1008"/>
      </w:pPr>
      <w:rPr>
        <w:rFonts w:hint="default"/>
        <w:lang w:val="fr-FR" w:eastAsia="en-US" w:bidi="ar-SA"/>
      </w:rPr>
    </w:lvl>
    <w:lvl w:ilvl="5">
      <w:start w:val="1"/>
      <w:numFmt w:val="decimal"/>
      <w:lvlText w:val="%1.%2.%3.%4.%5.%6"/>
      <w:lvlJc w:val="left"/>
      <w:pPr>
        <w:ind w:left="1152" w:hanging="1152"/>
      </w:pPr>
      <w:rPr>
        <w:rFonts w:hint="default"/>
        <w:lang w:val="fr-FR" w:eastAsia="en-US" w:bidi="ar-SA"/>
      </w:rPr>
    </w:lvl>
    <w:lvl w:ilvl="6">
      <w:start w:val="1"/>
      <w:numFmt w:val="decimal"/>
      <w:lvlText w:val="%1.%2.%3.%4.%5.%6.%7"/>
      <w:lvlJc w:val="left"/>
      <w:pPr>
        <w:ind w:left="1296" w:hanging="1296"/>
      </w:pPr>
      <w:rPr>
        <w:rFonts w:hint="default"/>
        <w:lang w:val="fr-FR" w:eastAsia="en-US" w:bidi="ar-SA"/>
      </w:rPr>
    </w:lvl>
    <w:lvl w:ilvl="7">
      <w:start w:val="1"/>
      <w:numFmt w:val="decimal"/>
      <w:lvlText w:val="%1.%2.%3.%4.%5.%6.%7.%8"/>
      <w:lvlJc w:val="left"/>
      <w:pPr>
        <w:ind w:left="1440" w:hanging="1440"/>
      </w:pPr>
      <w:rPr>
        <w:rFonts w:hint="default"/>
        <w:lang w:val="fr-FR" w:eastAsia="en-US" w:bidi="ar-SA"/>
      </w:rPr>
    </w:lvl>
    <w:lvl w:ilvl="8">
      <w:start w:val="1"/>
      <w:numFmt w:val="decimal"/>
      <w:lvlText w:val="%1.%2.%3.%4.%5.%6.%7.%8.%9"/>
      <w:lvlJc w:val="left"/>
      <w:pPr>
        <w:ind w:left="1584" w:hanging="1584"/>
      </w:pPr>
      <w:rPr>
        <w:rFonts w:hint="default"/>
        <w:lang w:val="fr-FR" w:eastAsia="en-US" w:bidi="ar-SA"/>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17" w15:restartNumberingAfterBreak="0">
    <w:nsid w:val="7A060A06"/>
    <w:multiLevelType w:val="multilevel"/>
    <w:tmpl w:val="65642704"/>
    <w:lvl w:ilvl="0">
      <w:start w:val="1"/>
      <w:numFmt w:val="decimal"/>
      <w:pStyle w:val="COI-Listechiffre"/>
      <w:lvlText w:val="%1."/>
      <w:lvlJc w:val="left"/>
      <w:pPr>
        <w:tabs>
          <w:tab w:val="num" w:pos="35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A6C61CB"/>
    <w:multiLevelType w:val="hybridMultilevel"/>
    <w:tmpl w:val="F38A92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4390991">
    <w:abstractNumId w:val="8"/>
  </w:num>
  <w:num w:numId="2" w16cid:durableId="2001032902">
    <w:abstractNumId w:val="15"/>
  </w:num>
  <w:num w:numId="3" w16cid:durableId="326638622">
    <w:abstractNumId w:val="2"/>
  </w:num>
  <w:num w:numId="4" w16cid:durableId="567427041">
    <w:abstractNumId w:val="0"/>
  </w:num>
  <w:num w:numId="5" w16cid:durableId="1714963816">
    <w:abstractNumId w:val="14"/>
  </w:num>
  <w:num w:numId="6" w16cid:durableId="727612033">
    <w:abstractNumId w:val="7"/>
  </w:num>
  <w:num w:numId="7" w16cid:durableId="1973826214">
    <w:abstractNumId w:val="10"/>
  </w:num>
  <w:num w:numId="8" w16cid:durableId="179857260">
    <w:abstractNumId w:val="2"/>
    <w:lvlOverride w:ilvl="0">
      <w:startOverride w:val="1"/>
    </w:lvlOverride>
  </w:num>
  <w:num w:numId="9" w16cid:durableId="69274050">
    <w:abstractNumId w:val="1"/>
  </w:num>
  <w:num w:numId="10" w16cid:durableId="1965304698">
    <w:abstractNumId w:val="3"/>
  </w:num>
  <w:num w:numId="11" w16cid:durableId="737173588">
    <w:abstractNumId w:val="11"/>
  </w:num>
  <w:num w:numId="12" w16cid:durableId="1712455698">
    <w:abstractNumId w:val="13"/>
  </w:num>
  <w:num w:numId="13" w16cid:durableId="1940480463">
    <w:abstractNumId w:val="4"/>
  </w:num>
  <w:num w:numId="14" w16cid:durableId="1605577337">
    <w:abstractNumId w:val="16"/>
  </w:num>
  <w:num w:numId="15" w16cid:durableId="532613762">
    <w:abstractNumId w:val="12"/>
  </w:num>
  <w:num w:numId="16" w16cid:durableId="1158496173">
    <w:abstractNumId w:val="17"/>
  </w:num>
  <w:num w:numId="17" w16cid:durableId="130447496">
    <w:abstractNumId w:val="5"/>
  </w:num>
  <w:num w:numId="18" w16cid:durableId="1522352198">
    <w:abstractNumId w:val="18"/>
  </w:num>
  <w:num w:numId="19" w16cid:durableId="558904546">
    <w:abstractNumId w:val="9"/>
  </w:num>
  <w:num w:numId="20" w16cid:durableId="607272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684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44923"/>
    <w:rsid w:val="00055C7D"/>
    <w:rsid w:val="00060CA0"/>
    <w:rsid w:val="00063A26"/>
    <w:rsid w:val="0008468B"/>
    <w:rsid w:val="00095FF5"/>
    <w:rsid w:val="000A227D"/>
    <w:rsid w:val="000A468A"/>
    <w:rsid w:val="000A7C89"/>
    <w:rsid w:val="000B0FBD"/>
    <w:rsid w:val="000F4728"/>
    <w:rsid w:val="00107D9D"/>
    <w:rsid w:val="0014360E"/>
    <w:rsid w:val="0018252D"/>
    <w:rsid w:val="00194B97"/>
    <w:rsid w:val="001A56F1"/>
    <w:rsid w:val="001B4738"/>
    <w:rsid w:val="001E0070"/>
    <w:rsid w:val="00207AF2"/>
    <w:rsid w:val="00232BDE"/>
    <w:rsid w:val="0023445A"/>
    <w:rsid w:val="00296998"/>
    <w:rsid w:val="002A0933"/>
    <w:rsid w:val="002A096E"/>
    <w:rsid w:val="002A1B8D"/>
    <w:rsid w:val="002C56ED"/>
    <w:rsid w:val="00321F89"/>
    <w:rsid w:val="00343D97"/>
    <w:rsid w:val="00346472"/>
    <w:rsid w:val="003604B9"/>
    <w:rsid w:val="003772FB"/>
    <w:rsid w:val="00391152"/>
    <w:rsid w:val="003C2538"/>
    <w:rsid w:val="003D485F"/>
    <w:rsid w:val="003D5328"/>
    <w:rsid w:val="003F439E"/>
    <w:rsid w:val="0041278C"/>
    <w:rsid w:val="00417683"/>
    <w:rsid w:val="00426673"/>
    <w:rsid w:val="004607F7"/>
    <w:rsid w:val="004A7F49"/>
    <w:rsid w:val="004E41C3"/>
    <w:rsid w:val="004F5C4B"/>
    <w:rsid w:val="00516988"/>
    <w:rsid w:val="00521F20"/>
    <w:rsid w:val="0052574A"/>
    <w:rsid w:val="0053773D"/>
    <w:rsid w:val="005910DF"/>
    <w:rsid w:val="005D5C27"/>
    <w:rsid w:val="005D7FC8"/>
    <w:rsid w:val="005F2BF3"/>
    <w:rsid w:val="00620B90"/>
    <w:rsid w:val="00623F03"/>
    <w:rsid w:val="006356AF"/>
    <w:rsid w:val="006548BF"/>
    <w:rsid w:val="00660504"/>
    <w:rsid w:val="006D1FE2"/>
    <w:rsid w:val="006D3AF2"/>
    <w:rsid w:val="006D6768"/>
    <w:rsid w:val="006E2D9E"/>
    <w:rsid w:val="006F1CB5"/>
    <w:rsid w:val="00741101"/>
    <w:rsid w:val="00760F24"/>
    <w:rsid w:val="007634FE"/>
    <w:rsid w:val="007B245C"/>
    <w:rsid w:val="007B2DA8"/>
    <w:rsid w:val="007C78FC"/>
    <w:rsid w:val="00816DAC"/>
    <w:rsid w:val="0083290E"/>
    <w:rsid w:val="00843FF2"/>
    <w:rsid w:val="008453AB"/>
    <w:rsid w:val="00854EEA"/>
    <w:rsid w:val="008551DA"/>
    <w:rsid w:val="008D193F"/>
    <w:rsid w:val="008F173C"/>
    <w:rsid w:val="0095354C"/>
    <w:rsid w:val="00955BB3"/>
    <w:rsid w:val="009A38AD"/>
    <w:rsid w:val="009F2583"/>
    <w:rsid w:val="00A148A1"/>
    <w:rsid w:val="00A36C09"/>
    <w:rsid w:val="00A37C9F"/>
    <w:rsid w:val="00A621FB"/>
    <w:rsid w:val="00A70123"/>
    <w:rsid w:val="00A72147"/>
    <w:rsid w:val="00A76B07"/>
    <w:rsid w:val="00A81B98"/>
    <w:rsid w:val="00A90305"/>
    <w:rsid w:val="00AA63A3"/>
    <w:rsid w:val="00AB3CA3"/>
    <w:rsid w:val="00AB5EB7"/>
    <w:rsid w:val="00AB6F40"/>
    <w:rsid w:val="00AD4D97"/>
    <w:rsid w:val="00AE2453"/>
    <w:rsid w:val="00B020AC"/>
    <w:rsid w:val="00B05DFC"/>
    <w:rsid w:val="00B10EE7"/>
    <w:rsid w:val="00B25276"/>
    <w:rsid w:val="00B36EEA"/>
    <w:rsid w:val="00B507B3"/>
    <w:rsid w:val="00B52626"/>
    <w:rsid w:val="00BA4B55"/>
    <w:rsid w:val="00C02EA6"/>
    <w:rsid w:val="00C12C93"/>
    <w:rsid w:val="00C325F5"/>
    <w:rsid w:val="00C333D3"/>
    <w:rsid w:val="00C36C64"/>
    <w:rsid w:val="00C457E8"/>
    <w:rsid w:val="00C609B9"/>
    <w:rsid w:val="00C96775"/>
    <w:rsid w:val="00CE2386"/>
    <w:rsid w:val="00D24BF0"/>
    <w:rsid w:val="00D97367"/>
    <w:rsid w:val="00E1178A"/>
    <w:rsid w:val="00E32408"/>
    <w:rsid w:val="00E71F04"/>
    <w:rsid w:val="00E845D4"/>
    <w:rsid w:val="00E84E8F"/>
    <w:rsid w:val="00E907E9"/>
    <w:rsid w:val="00EC22CC"/>
    <w:rsid w:val="00EC751B"/>
    <w:rsid w:val="00ED6B69"/>
    <w:rsid w:val="00EE34F4"/>
    <w:rsid w:val="00EF22A4"/>
    <w:rsid w:val="00F0596C"/>
    <w:rsid w:val="00F46F38"/>
    <w:rsid w:val="00F54EA0"/>
    <w:rsid w:val="00F574CA"/>
    <w:rsid w:val="00F8259D"/>
    <w:rsid w:val="00F85B95"/>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83"/>
    <w:pPr>
      <w:spacing w:before="120" w:after="120" w:line="250" w:lineRule="auto"/>
      <w:jc w:val="both"/>
    </w:pPr>
    <w:rPr>
      <w:rFonts w:ascii="Verdana" w:hAnsi="Verdana"/>
      <w:sz w:val="20"/>
    </w:rPr>
  </w:style>
  <w:style w:type="paragraph" w:styleId="Titre1">
    <w:name w:val="heading 1"/>
    <w:basedOn w:val="Normal"/>
    <w:link w:val="Titre1Car"/>
    <w:uiPriority w:val="9"/>
    <w:qFormat/>
    <w:rsid w:val="006D6768"/>
    <w:pPr>
      <w:widowControl w:val="0"/>
      <w:autoSpaceDE w:val="0"/>
      <w:autoSpaceDN w:val="0"/>
      <w:spacing w:before="240"/>
      <w:ind w:left="432" w:hanging="432"/>
      <w:outlineLvl w:val="0"/>
    </w:pPr>
    <w:rPr>
      <w:rFonts w:eastAsia="Verdana" w:cs="Verdana"/>
      <w:b/>
      <w:bCs/>
      <w:spacing w:val="-1"/>
      <w:w w:val="99"/>
      <w:szCs w:val="20"/>
    </w:rPr>
  </w:style>
  <w:style w:type="paragraph" w:styleId="Titre2">
    <w:name w:val="heading 2"/>
    <w:basedOn w:val="Normal"/>
    <w:next w:val="Normal"/>
    <w:link w:val="Titre2Car"/>
    <w:uiPriority w:val="9"/>
    <w:unhideWhenUsed/>
    <w:qFormat/>
    <w:rsid w:val="00D24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D6768"/>
    <w:pPr>
      <w:keepNext/>
      <w:keepLines/>
      <w:widowControl w:val="0"/>
      <w:autoSpaceDE w:val="0"/>
      <w:autoSpaceDN w:val="0"/>
      <w:spacing w:before="40"/>
      <w:ind w:left="360" w:hanging="360"/>
      <w:outlineLvl w:val="2"/>
    </w:pPr>
    <w:rPr>
      <w:rFonts w:ascii="Calibri" w:eastAsiaTheme="majorEastAsia" w:hAnsi="Calibri" w:cstheme="majorBidi"/>
      <w:szCs w:val="24"/>
    </w:rPr>
  </w:style>
  <w:style w:type="paragraph" w:styleId="Titre4">
    <w:name w:val="heading 4"/>
    <w:basedOn w:val="Normal"/>
    <w:next w:val="Normal"/>
    <w:link w:val="Titre4Car"/>
    <w:uiPriority w:val="9"/>
    <w:semiHidden/>
    <w:unhideWhenUsed/>
    <w:qFormat/>
    <w:rsid w:val="006D6768"/>
    <w:pPr>
      <w:keepNext/>
      <w:keepLines/>
      <w:widowControl w:val="0"/>
      <w:autoSpaceDE w:val="0"/>
      <w:autoSpaceDN w:val="0"/>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6D6768"/>
    <w:pPr>
      <w:keepNext/>
      <w:keepLines/>
      <w:widowControl w:val="0"/>
      <w:autoSpaceDE w:val="0"/>
      <w:autoSpaceDN w:val="0"/>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6D6768"/>
    <w:pPr>
      <w:keepNext/>
      <w:keepLines/>
      <w:widowControl w:val="0"/>
      <w:autoSpaceDE w:val="0"/>
      <w:autoSpaceDN w:val="0"/>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6D6768"/>
    <w:pPr>
      <w:keepNext/>
      <w:keepLines/>
      <w:widowControl w:val="0"/>
      <w:autoSpaceDE w:val="0"/>
      <w:autoSpaceDN w:val="0"/>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6D6768"/>
    <w:pPr>
      <w:keepNext/>
      <w:keepLines/>
      <w:widowControl w:val="0"/>
      <w:autoSpaceDE w:val="0"/>
      <w:autoSpaceDN w:val="0"/>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D6768"/>
    <w:pPr>
      <w:keepNext/>
      <w:keepLines/>
      <w:widowControl w:val="0"/>
      <w:autoSpaceDE w:val="0"/>
      <w:autoSpaceDN w:val="0"/>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F8259D"/>
    <w:pPr>
      <w:tabs>
        <w:tab w:val="center" w:pos="4536"/>
        <w:tab w:val="right" w:pos="9072"/>
      </w:tabs>
      <w:spacing w:before="0" w:after="0" w:line="240" w:lineRule="auto"/>
    </w:pPr>
    <w:rPr>
      <w:rFonts w:ascii="Calibri" w:hAnsi="Calibri"/>
      <w:sz w:val="18"/>
    </w:rPr>
  </w:style>
  <w:style w:type="character" w:customStyle="1" w:styleId="PieddepageCar">
    <w:name w:val="Pied de page Car"/>
    <w:basedOn w:val="Policepardfaut"/>
    <w:link w:val="Pieddepage"/>
    <w:uiPriority w:val="99"/>
    <w:rsid w:val="00F8259D"/>
    <w:rPr>
      <w:rFonts w:ascii="Calibri" w:hAnsi="Calibri"/>
      <w:sz w:val="18"/>
    </w:rPr>
  </w:style>
  <w:style w:type="paragraph" w:styleId="Paragraphedeliste">
    <w:name w:val="List Paragraph"/>
    <w:basedOn w:val="Normal"/>
    <w:link w:val="ParagraphedelisteCar"/>
    <w:uiPriority w:val="1"/>
    <w:qFormat/>
    <w:rsid w:val="00207AF2"/>
    <w:p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F0596C"/>
    <w:pPr>
      <w:numPr>
        <w:numId w:val="3"/>
      </w:numPr>
      <w:spacing w:before="36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207AF2"/>
  </w:style>
  <w:style w:type="character" w:customStyle="1" w:styleId="TitrepartieCar">
    <w:name w:val="Titre partie Car"/>
    <w:basedOn w:val="ParagraphedelisteCar"/>
    <w:link w:val="Titrepartie"/>
    <w:rsid w:val="00F0596C"/>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23F03"/>
    <w:pPr>
      <w:spacing w:after="0" w:line="240" w:lineRule="auto"/>
    </w:pPr>
  </w:style>
  <w:style w:type="character" w:customStyle="1" w:styleId="Titre2Car">
    <w:name w:val="Titre 2 Car"/>
    <w:basedOn w:val="Policepardfaut"/>
    <w:link w:val="Titre2"/>
    <w:uiPriority w:val="9"/>
    <w:rsid w:val="00D24BF0"/>
    <w:rPr>
      <w:rFonts w:asciiTheme="majorHAnsi" w:eastAsiaTheme="majorEastAsia" w:hAnsiTheme="majorHAnsi" w:cstheme="majorBidi"/>
      <w:color w:val="2F5496" w:themeColor="accent1" w:themeShade="BF"/>
      <w:sz w:val="26"/>
      <w:szCs w:val="26"/>
    </w:rPr>
  </w:style>
  <w:style w:type="paragraph" w:styleId="Corpsdetexte">
    <w:name w:val="Body Text"/>
    <w:basedOn w:val="Normal"/>
    <w:link w:val="CorpsdetexteCar"/>
    <w:uiPriority w:val="1"/>
    <w:qFormat/>
    <w:rsid w:val="00346472"/>
    <w:pPr>
      <w:widowControl w:val="0"/>
      <w:autoSpaceDE w:val="0"/>
      <w:autoSpaceDN w:val="0"/>
      <w:ind w:left="284" w:right="227"/>
    </w:pPr>
    <w:rPr>
      <w:rFonts w:ascii="Calibri" w:eastAsia="Verdana" w:hAnsi="Calibri" w:cs="Verdana"/>
      <w:szCs w:val="20"/>
    </w:rPr>
  </w:style>
  <w:style w:type="character" w:customStyle="1" w:styleId="CorpsdetexteCar">
    <w:name w:val="Corps de texte Car"/>
    <w:basedOn w:val="Policepardfaut"/>
    <w:link w:val="Corpsdetexte"/>
    <w:uiPriority w:val="1"/>
    <w:rsid w:val="00346472"/>
    <w:rPr>
      <w:rFonts w:ascii="Calibri" w:eastAsia="Verdana" w:hAnsi="Calibri" w:cs="Verdana"/>
      <w:szCs w:val="20"/>
    </w:rPr>
  </w:style>
  <w:style w:type="character" w:customStyle="1" w:styleId="Titre1Car">
    <w:name w:val="Titre 1 Car"/>
    <w:basedOn w:val="Policepardfaut"/>
    <w:link w:val="Titre1"/>
    <w:uiPriority w:val="9"/>
    <w:rsid w:val="006D6768"/>
    <w:rPr>
      <w:rFonts w:ascii="Verdana" w:eastAsia="Verdana" w:hAnsi="Verdana" w:cs="Verdana"/>
      <w:b/>
      <w:bCs/>
      <w:spacing w:val="-1"/>
      <w:w w:val="99"/>
      <w:sz w:val="20"/>
      <w:szCs w:val="20"/>
    </w:rPr>
  </w:style>
  <w:style w:type="character" w:customStyle="1" w:styleId="Titre3Car">
    <w:name w:val="Titre 3 Car"/>
    <w:basedOn w:val="Policepardfaut"/>
    <w:link w:val="Titre3"/>
    <w:uiPriority w:val="9"/>
    <w:rsid w:val="006D6768"/>
    <w:rPr>
      <w:rFonts w:ascii="Calibri" w:eastAsiaTheme="majorEastAsia" w:hAnsi="Calibri" w:cstheme="majorBidi"/>
      <w:szCs w:val="24"/>
    </w:rPr>
  </w:style>
  <w:style w:type="character" w:customStyle="1" w:styleId="Titre4Car">
    <w:name w:val="Titre 4 Car"/>
    <w:basedOn w:val="Policepardfaut"/>
    <w:link w:val="Titre4"/>
    <w:uiPriority w:val="9"/>
    <w:semiHidden/>
    <w:rsid w:val="006D6768"/>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6D6768"/>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6D6768"/>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6D6768"/>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6D676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D6768"/>
    <w:rPr>
      <w:rFonts w:asciiTheme="majorHAnsi" w:eastAsiaTheme="majorEastAsia" w:hAnsiTheme="majorHAnsi" w:cstheme="majorBidi"/>
      <w:i/>
      <w:iCs/>
      <w:color w:val="272727" w:themeColor="text1" w:themeTint="D8"/>
      <w:sz w:val="21"/>
      <w:szCs w:val="21"/>
    </w:rPr>
  </w:style>
  <w:style w:type="paragraph" w:styleId="Titre">
    <w:name w:val="Title"/>
    <w:basedOn w:val="Normal"/>
    <w:link w:val="TitreCar"/>
    <w:uiPriority w:val="10"/>
    <w:qFormat/>
    <w:rsid w:val="00F8259D"/>
    <w:pPr>
      <w:widowControl w:val="0"/>
      <w:autoSpaceDE w:val="0"/>
      <w:autoSpaceDN w:val="0"/>
      <w:spacing w:before="240" w:after="240" w:line="259" w:lineRule="auto"/>
      <w:ind w:left="23"/>
      <w:jc w:val="center"/>
    </w:pPr>
    <w:rPr>
      <w:rFonts w:ascii="Calibri" w:eastAsia="Verdana" w:hAnsi="Calibri" w:cs="Verdana"/>
      <w:b/>
      <w:bCs/>
      <w:sz w:val="28"/>
      <w:szCs w:val="24"/>
    </w:rPr>
  </w:style>
  <w:style w:type="character" w:customStyle="1" w:styleId="TitreCar">
    <w:name w:val="Titre Car"/>
    <w:basedOn w:val="Policepardfaut"/>
    <w:link w:val="Titre"/>
    <w:uiPriority w:val="10"/>
    <w:rsid w:val="00F8259D"/>
    <w:rPr>
      <w:rFonts w:ascii="Calibri" w:eastAsia="Verdana" w:hAnsi="Calibri" w:cs="Verdana"/>
      <w:b/>
      <w:bCs/>
      <w:sz w:val="28"/>
      <w:szCs w:val="24"/>
    </w:rPr>
  </w:style>
  <w:style w:type="character" w:styleId="Appelnotedebasdep">
    <w:name w:val="footnote reference"/>
    <w:basedOn w:val="Policepardfaut"/>
    <w:uiPriority w:val="99"/>
    <w:semiHidden/>
    <w:unhideWhenUsed/>
    <w:rsid w:val="00F8259D"/>
    <w:rPr>
      <w:vertAlign w:val="superscript"/>
    </w:rPr>
  </w:style>
  <w:style w:type="paragraph" w:customStyle="1" w:styleId="COI-Listepoint">
    <w:name w:val="COI - Liste à point"/>
    <w:basedOn w:val="Normal"/>
    <w:qFormat/>
    <w:rsid w:val="00F8259D"/>
    <w:pPr>
      <w:numPr>
        <w:numId w:val="15"/>
      </w:numPr>
      <w:suppressAutoHyphens/>
      <w:ind w:left="851" w:hanging="284"/>
      <w:textAlignment w:val="baseline"/>
    </w:pPr>
    <w:rPr>
      <w:rFonts w:ascii="Calibri" w:eastAsia="Times New Roman" w:hAnsi="Calibri" w:cs="Times New Roman"/>
      <w:iCs/>
      <w:color w:val="00000A"/>
      <w:szCs w:val="20"/>
      <w:lang w:eastAsia="ar-SA"/>
    </w:rPr>
  </w:style>
  <w:style w:type="paragraph" w:customStyle="1" w:styleId="COI-Listechiffre">
    <w:name w:val="COI - Liste à chiffre"/>
    <w:basedOn w:val="Normal"/>
    <w:qFormat/>
    <w:rsid w:val="00F8259D"/>
    <w:pPr>
      <w:numPr>
        <w:numId w:val="16"/>
      </w:numPr>
      <w:tabs>
        <w:tab w:val="clear" w:pos="350"/>
        <w:tab w:val="num" w:pos="0"/>
      </w:tabs>
      <w:suppressAutoHyphens/>
      <w:ind w:left="851" w:hanging="284"/>
      <w:contextualSpacing/>
    </w:pPr>
    <w:rPr>
      <w:rFonts w:ascii="Calibri" w:hAnsi="Calibri" w:cs="Times New Roman"/>
      <w:color w:val="000000"/>
      <w:szCs w:val="24"/>
    </w:rPr>
  </w:style>
  <w:style w:type="character" w:customStyle="1" w:styleId="Bodytext3">
    <w:name w:val="Body text (3)_"/>
    <w:basedOn w:val="Policepardfaut"/>
    <w:link w:val="Bodytext30"/>
    <w:rsid w:val="00F8259D"/>
    <w:rPr>
      <w:rFonts w:ascii="Arial" w:eastAsia="Arial" w:hAnsi="Arial" w:cs="Arial"/>
      <w:b/>
      <w:bCs/>
      <w:shd w:val="clear" w:color="auto" w:fill="FFFFFF"/>
    </w:rPr>
  </w:style>
  <w:style w:type="character" w:customStyle="1" w:styleId="Headerorfooter11ptNotItalic">
    <w:name w:val="Header or footer + 11 pt;Not Italic"/>
    <w:basedOn w:val="Policepardfaut"/>
    <w:rsid w:val="00F8259D"/>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character" w:customStyle="1" w:styleId="Heading1">
    <w:name w:val="Heading #1_"/>
    <w:basedOn w:val="Policepardfaut"/>
    <w:link w:val="Heading10"/>
    <w:rsid w:val="00F8259D"/>
    <w:rPr>
      <w:rFonts w:ascii="Arial" w:eastAsia="Arial" w:hAnsi="Arial" w:cs="Arial"/>
      <w:b/>
      <w:bCs/>
      <w:shd w:val="clear" w:color="auto" w:fill="FFFFFF"/>
    </w:rPr>
  </w:style>
  <w:style w:type="character" w:customStyle="1" w:styleId="Bodytext2Italic">
    <w:name w:val="Body text (2) + Italic"/>
    <w:basedOn w:val="Policepardfaut"/>
    <w:rsid w:val="00F8259D"/>
    <w:rPr>
      <w:rFonts w:ascii="Arial" w:eastAsia="Arial" w:hAnsi="Arial" w:cs="Arial"/>
      <w:i/>
      <w:iCs/>
      <w:color w:val="000000"/>
      <w:spacing w:val="0"/>
      <w:w w:val="100"/>
      <w:position w:val="0"/>
      <w:shd w:val="clear" w:color="auto" w:fill="FFFFFF"/>
      <w:lang w:val="fr-FR" w:eastAsia="fr-FR" w:bidi="fr-FR"/>
    </w:rPr>
  </w:style>
  <w:style w:type="character" w:customStyle="1" w:styleId="Headerorfooter">
    <w:name w:val="Header or footer"/>
    <w:basedOn w:val="Policepardfaut"/>
    <w:rsid w:val="00F8259D"/>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Headerorfooter95ptBold">
    <w:name w:val="Header or footer + 9.5 pt;Bold"/>
    <w:basedOn w:val="Policepardfaut"/>
    <w:rsid w:val="00F8259D"/>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Bodytext2Bold">
    <w:name w:val="Body text (2) + Bold"/>
    <w:basedOn w:val="Policepardfaut"/>
    <w:rsid w:val="00F8259D"/>
    <w:rPr>
      <w:rFonts w:ascii="Arial" w:eastAsia="Arial" w:hAnsi="Arial" w:cs="Arial"/>
      <w:b/>
      <w:bCs/>
      <w:color w:val="000000"/>
      <w:spacing w:val="0"/>
      <w:w w:val="100"/>
      <w:position w:val="0"/>
      <w:shd w:val="clear" w:color="auto" w:fill="FFFFFF"/>
      <w:lang w:val="fr-FR" w:eastAsia="fr-FR" w:bidi="fr-FR"/>
    </w:rPr>
  </w:style>
  <w:style w:type="character" w:customStyle="1" w:styleId="Heading1Exact">
    <w:name w:val="Heading #1 Exact"/>
    <w:basedOn w:val="Policepardfaut"/>
    <w:rsid w:val="00F8259D"/>
    <w:rPr>
      <w:rFonts w:ascii="Arial" w:eastAsia="Arial" w:hAnsi="Arial" w:cs="Arial"/>
      <w:b/>
      <w:bCs/>
      <w:i w:val="0"/>
      <w:iCs w:val="0"/>
      <w:smallCaps w:val="0"/>
      <w:strike w:val="0"/>
      <w:sz w:val="22"/>
      <w:szCs w:val="22"/>
      <w:u w:val="none"/>
    </w:rPr>
  </w:style>
  <w:style w:type="character" w:customStyle="1" w:styleId="Bodytext5Exact">
    <w:name w:val="Body text (5) Exact"/>
    <w:basedOn w:val="Policepardfaut"/>
    <w:link w:val="Bodytext5"/>
    <w:rsid w:val="00F8259D"/>
    <w:rPr>
      <w:rFonts w:ascii="Arial" w:eastAsia="Arial" w:hAnsi="Arial" w:cs="Arial"/>
      <w:sz w:val="20"/>
      <w:szCs w:val="20"/>
      <w:shd w:val="clear" w:color="auto" w:fill="FFFFFF"/>
    </w:rPr>
  </w:style>
  <w:style w:type="character" w:customStyle="1" w:styleId="Bodytext3Exact">
    <w:name w:val="Body text (3) Exact"/>
    <w:basedOn w:val="Policepardfaut"/>
    <w:rsid w:val="00F8259D"/>
    <w:rPr>
      <w:rFonts w:ascii="Arial" w:eastAsia="Arial" w:hAnsi="Arial" w:cs="Arial"/>
      <w:b/>
      <w:bCs/>
      <w:i w:val="0"/>
      <w:iCs w:val="0"/>
      <w:smallCaps w:val="0"/>
      <w:strike w:val="0"/>
      <w:sz w:val="22"/>
      <w:szCs w:val="22"/>
      <w:u w:val="none"/>
    </w:rPr>
  </w:style>
  <w:style w:type="character" w:customStyle="1" w:styleId="Bodytext511ptBoldExact">
    <w:name w:val="Body text (5) + 11 pt;Bold Exact"/>
    <w:basedOn w:val="Bodytext5Exact"/>
    <w:rsid w:val="00F8259D"/>
    <w:rPr>
      <w:rFonts w:ascii="Arial" w:eastAsia="Arial" w:hAnsi="Arial" w:cs="Arial"/>
      <w:b/>
      <w:bCs/>
      <w:color w:val="000000"/>
      <w:spacing w:val="0"/>
      <w:w w:val="100"/>
      <w:position w:val="0"/>
      <w:sz w:val="22"/>
      <w:szCs w:val="22"/>
      <w:shd w:val="clear" w:color="auto" w:fill="FFFFFF"/>
      <w:lang w:val="fr-FR" w:eastAsia="fr-FR" w:bidi="fr-FR"/>
    </w:rPr>
  </w:style>
  <w:style w:type="paragraph" w:customStyle="1" w:styleId="Bodytext30">
    <w:name w:val="Body text (3)"/>
    <w:basedOn w:val="Normal"/>
    <w:link w:val="Bodytext3"/>
    <w:rsid w:val="00F8259D"/>
    <w:pPr>
      <w:widowControl w:val="0"/>
      <w:shd w:val="clear" w:color="auto" w:fill="FFFFFF"/>
      <w:spacing w:before="0" w:after="480" w:line="379" w:lineRule="exact"/>
    </w:pPr>
    <w:rPr>
      <w:rFonts w:ascii="Arial" w:eastAsia="Arial" w:hAnsi="Arial" w:cs="Arial"/>
      <w:b/>
      <w:bCs/>
    </w:rPr>
  </w:style>
  <w:style w:type="paragraph" w:customStyle="1" w:styleId="Heading10">
    <w:name w:val="Heading #1"/>
    <w:basedOn w:val="Normal"/>
    <w:link w:val="Heading1"/>
    <w:rsid w:val="00F8259D"/>
    <w:pPr>
      <w:widowControl w:val="0"/>
      <w:shd w:val="clear" w:color="auto" w:fill="FFFFFF"/>
      <w:spacing w:before="480" w:after="180" w:line="0" w:lineRule="atLeast"/>
      <w:outlineLvl w:val="0"/>
    </w:pPr>
    <w:rPr>
      <w:rFonts w:ascii="Arial" w:eastAsia="Arial" w:hAnsi="Arial" w:cs="Arial"/>
      <w:b/>
      <w:bCs/>
    </w:rPr>
  </w:style>
  <w:style w:type="paragraph" w:customStyle="1" w:styleId="Bodytext5">
    <w:name w:val="Body text (5)"/>
    <w:basedOn w:val="Normal"/>
    <w:link w:val="Bodytext5Exact"/>
    <w:rsid w:val="00F8259D"/>
    <w:pPr>
      <w:widowControl w:val="0"/>
      <w:shd w:val="clear" w:color="auto" w:fill="FFFFFF"/>
      <w:spacing w:before="60" w:after="60" w:line="0" w:lineRule="atLeast"/>
      <w:jc w:val="left"/>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6629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1858</Words>
  <Characters>10219</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Shirley LAW</cp:lastModifiedBy>
  <cp:revision>2</cp:revision>
  <cp:lastPrinted>2023-05-09T06:56:00Z</cp:lastPrinted>
  <dcterms:created xsi:type="dcterms:W3CDTF">2023-05-09T06:57:00Z</dcterms:created>
  <dcterms:modified xsi:type="dcterms:W3CDTF">2023-05-09T06:57:00Z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926958849ec6115dc290db7447c05a0204fb17179f2aaf5baea12b8818f28837</vt:lpwstr>
  </property>
</Properties>
</file>