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FFB7240" w:rsidR="00EC22CC" w:rsidRDefault="000640D6" w:rsidP="00854EEA">
            <w:pPr>
              <w:jc w:val="center"/>
              <w:rPr>
                <w:rFonts w:ascii="Verdana" w:hAnsi="Verdana"/>
                <w:b/>
                <w:bCs/>
                <w:sz w:val="20"/>
                <w:szCs w:val="20"/>
              </w:rPr>
            </w:pPr>
            <w:r>
              <w:rPr>
                <w:rFonts w:ascii="Verdana" w:hAnsi="Verdana"/>
                <w:b/>
                <w:bCs/>
              </w:rPr>
              <w:t>Audit interne</w:t>
            </w:r>
          </w:p>
        </w:tc>
      </w:tr>
      <w:tr w:rsidR="00EC22CC" w14:paraId="7F1B63D2" w14:textId="77777777" w:rsidTr="002A0933">
        <w:tc>
          <w:tcPr>
            <w:tcW w:w="7225" w:type="dxa"/>
          </w:tcPr>
          <w:p w14:paraId="056D9B10" w14:textId="247368CB" w:rsidR="00EC22CC" w:rsidRPr="002A096E" w:rsidRDefault="00AD393D" w:rsidP="002A096E">
            <w:pPr>
              <w:rPr>
                <w:rFonts w:ascii="Verdana" w:hAnsi="Verdana"/>
                <w:sz w:val="20"/>
                <w:szCs w:val="20"/>
              </w:rPr>
            </w:pPr>
            <w:r>
              <w:rPr>
                <w:rFonts w:ascii="Verdana" w:hAnsi="Verdana"/>
                <w:sz w:val="20"/>
                <w:szCs w:val="20"/>
              </w:rPr>
              <w:t>COPL 01/2023 des 26-27 avril 2023</w:t>
            </w:r>
          </w:p>
        </w:tc>
        <w:tc>
          <w:tcPr>
            <w:tcW w:w="1837" w:type="dxa"/>
          </w:tcPr>
          <w:p w14:paraId="58E25D1F" w14:textId="33997501"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AD393D">
              <w:rPr>
                <w:rFonts w:ascii="Verdana" w:hAnsi="Verdana"/>
                <w:sz w:val="20"/>
                <w:szCs w:val="20"/>
              </w:rPr>
              <w:t>3.4.</w:t>
            </w:r>
          </w:p>
        </w:tc>
      </w:tr>
      <w:tr w:rsidR="00EC22CC" w14:paraId="537D1DE5" w14:textId="77777777" w:rsidTr="002A0933">
        <w:tc>
          <w:tcPr>
            <w:tcW w:w="7225" w:type="dxa"/>
          </w:tcPr>
          <w:p w14:paraId="43DEF09E" w14:textId="0C66FEB8"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0640D6">
              <w:rPr>
                <w:rFonts w:ascii="Verdana" w:hAnsi="Verdana"/>
                <w:sz w:val="20"/>
                <w:szCs w:val="20"/>
              </w:rPr>
              <w:t>Nirina, Razafintsalama, Auditeur interne</w:t>
            </w:r>
          </w:p>
        </w:tc>
        <w:tc>
          <w:tcPr>
            <w:tcW w:w="1837" w:type="dxa"/>
          </w:tcPr>
          <w:p w14:paraId="5AC1AFAB" w14:textId="7757F1CD" w:rsidR="00EC22CC" w:rsidRPr="000640D6" w:rsidRDefault="00AD393D" w:rsidP="00854EEA">
            <w:pPr>
              <w:jc w:val="center"/>
              <w:rPr>
                <w:rFonts w:ascii="Verdana" w:hAnsi="Verdana"/>
                <w:sz w:val="20"/>
                <w:szCs w:val="20"/>
              </w:rPr>
            </w:pPr>
            <w:r w:rsidRPr="000640D6">
              <w:rPr>
                <w:rFonts w:ascii="Verdana" w:hAnsi="Verdana"/>
                <w:sz w:val="20"/>
                <w:szCs w:val="20"/>
              </w:rPr>
              <w:t>Information</w:t>
            </w:r>
          </w:p>
        </w:tc>
      </w:tr>
      <w:tr w:rsidR="00A90305" w14:paraId="6896DB30" w14:textId="77777777" w:rsidTr="009F5233">
        <w:tc>
          <w:tcPr>
            <w:tcW w:w="9062" w:type="dxa"/>
            <w:gridSpan w:val="2"/>
          </w:tcPr>
          <w:p w14:paraId="0495241B" w14:textId="6B095C3D" w:rsidR="00A90305" w:rsidRDefault="00A90305" w:rsidP="00A90305">
            <w:pPr>
              <w:rPr>
                <w:rFonts w:ascii="Verdana" w:hAnsi="Verdana"/>
                <w:sz w:val="20"/>
                <w:szCs w:val="20"/>
              </w:rPr>
            </w:pPr>
            <w:r>
              <w:rPr>
                <w:rFonts w:ascii="Verdana" w:hAnsi="Verdana"/>
                <w:i/>
                <w:iCs/>
                <w:sz w:val="20"/>
                <w:szCs w:val="20"/>
              </w:rPr>
              <w:t xml:space="preserve">Version du </w:t>
            </w:r>
            <w:r w:rsidR="000640D6">
              <w:rPr>
                <w:rFonts w:ascii="Verdana" w:hAnsi="Verdana"/>
                <w:i/>
                <w:iCs/>
                <w:sz w:val="20"/>
                <w:szCs w:val="20"/>
              </w:rPr>
              <w:t>24 mars 2023</w:t>
            </w:r>
          </w:p>
        </w:tc>
      </w:tr>
    </w:tbl>
    <w:p w14:paraId="53FF8FA4" w14:textId="77777777" w:rsidR="0002502D" w:rsidRDefault="0002502D"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29AD1400" w14:textId="71EBFB7C" w:rsidR="0041278C" w:rsidRDefault="00E10926" w:rsidP="00CE2386">
      <w:pPr>
        <w:pStyle w:val="Paragraphe"/>
      </w:pPr>
      <w:r>
        <w:t>Cette fiche</w:t>
      </w:r>
      <w:r w:rsidRPr="00E10926">
        <w:t xml:space="preserve"> présente le rapport élaboré par le Comité d’audit </w:t>
      </w:r>
      <w:r>
        <w:t xml:space="preserve">et des risques (CAR) </w:t>
      </w:r>
      <w:r w:rsidRPr="00E10926">
        <w:t xml:space="preserve">de la COI à l’intention du comité des Officiers permanents de liaison. </w:t>
      </w:r>
      <w:r w:rsidR="006F34A3">
        <w:t>Le CAR s’est ré</w:t>
      </w:r>
      <w:r w:rsidRPr="00E10926">
        <w:t>uni en marge de la préparation du 3</w:t>
      </w:r>
      <w:r>
        <w:t>7</w:t>
      </w:r>
      <w:r w:rsidRPr="006F34A3">
        <w:rPr>
          <w:vertAlign w:val="superscript"/>
        </w:rPr>
        <w:t>ème</w:t>
      </w:r>
      <w:r w:rsidRPr="00E10926">
        <w:t xml:space="preserve"> </w:t>
      </w:r>
      <w:r w:rsidR="006F34A3">
        <w:t>C</w:t>
      </w:r>
      <w:r w:rsidRPr="00E10926">
        <w:t xml:space="preserve">onseil des ministres </w:t>
      </w:r>
      <w:r w:rsidR="000D68BC">
        <w:t>pour</w:t>
      </w:r>
      <w:r w:rsidRPr="00E10926">
        <w:t xml:space="preserve"> rendre compte de </w:t>
      </w:r>
      <w:r w:rsidR="000D68BC">
        <w:t xml:space="preserve">son </w:t>
      </w:r>
      <w:r w:rsidRPr="00E10926">
        <w:t xml:space="preserve">action au cours </w:t>
      </w:r>
      <w:r>
        <w:t>de l’année 2022.</w:t>
      </w:r>
    </w:p>
    <w:p w14:paraId="5B1E18AA" w14:textId="77777777" w:rsidR="0002502D" w:rsidRPr="0041278C" w:rsidRDefault="0002502D" w:rsidP="00CE2386">
      <w:pPr>
        <w:pStyle w:val="Paragraphe"/>
      </w:pPr>
    </w:p>
    <w:p w14:paraId="68009DDB" w14:textId="06AAE9C2" w:rsidR="0008468B" w:rsidRPr="0008468B" w:rsidRDefault="00955BB3" w:rsidP="00A70123">
      <w:pPr>
        <w:pStyle w:val="Titrepartie"/>
      </w:pPr>
      <w:r w:rsidRPr="0008468B">
        <w:t>Etat d’avancement</w:t>
      </w:r>
    </w:p>
    <w:p w14:paraId="48AB0783" w14:textId="53002072" w:rsidR="00426673" w:rsidRPr="00426673" w:rsidRDefault="00E10926" w:rsidP="002C56ED">
      <w:pPr>
        <w:pStyle w:val="Sous-partie2"/>
      </w:pPr>
      <w:r>
        <w:t>Information financière</w:t>
      </w:r>
    </w:p>
    <w:p w14:paraId="21566964" w14:textId="6BE1A652" w:rsidR="00E10926" w:rsidRPr="00E10926" w:rsidRDefault="00E10926" w:rsidP="000D68BC">
      <w:pPr>
        <w:pStyle w:val="Sous-partie2"/>
        <w:numPr>
          <w:ilvl w:val="0"/>
          <w:numId w:val="0"/>
        </w:numPr>
        <w:rPr>
          <w:color w:val="auto"/>
        </w:rPr>
      </w:pPr>
      <w:r w:rsidRPr="00E10926">
        <w:rPr>
          <w:color w:val="auto"/>
        </w:rPr>
        <w:t xml:space="preserve">Les recommandations formulées à la suite de l'audit </w:t>
      </w:r>
      <w:r>
        <w:rPr>
          <w:color w:val="auto"/>
        </w:rPr>
        <w:t>réalisé</w:t>
      </w:r>
      <w:r w:rsidRPr="00E10926">
        <w:rPr>
          <w:color w:val="auto"/>
        </w:rPr>
        <w:t xml:space="preserve"> les années précédentes ont été largement mises en œuvre. Grant Thornton a constaté une amélioration depuis 2018 notamment dans le fait qu’il n’y a plus de </w:t>
      </w:r>
      <w:r w:rsidR="007C431A">
        <w:rPr>
          <w:color w:val="auto"/>
        </w:rPr>
        <w:t>nouvelles dépenses inéligibles</w:t>
      </w:r>
      <w:r w:rsidRPr="00E10926">
        <w:rPr>
          <w:color w:val="auto"/>
        </w:rPr>
        <w:t xml:space="preserve"> depuis cette date.</w:t>
      </w:r>
    </w:p>
    <w:p w14:paraId="0B15DDCC" w14:textId="4AB68842" w:rsidR="00E10926" w:rsidRPr="00E10926" w:rsidRDefault="00E10926" w:rsidP="000D68BC">
      <w:pPr>
        <w:pStyle w:val="Sous-partie2"/>
        <w:numPr>
          <w:ilvl w:val="0"/>
          <w:numId w:val="0"/>
        </w:numPr>
        <w:rPr>
          <w:color w:val="auto"/>
        </w:rPr>
      </w:pPr>
      <w:r w:rsidRPr="00E10926">
        <w:rPr>
          <w:color w:val="auto"/>
        </w:rPr>
        <w:t xml:space="preserve">L’appui de l’Union européenne et de l’AFD </w:t>
      </w:r>
      <w:r>
        <w:rPr>
          <w:color w:val="auto"/>
        </w:rPr>
        <w:t>se poursuit</w:t>
      </w:r>
      <w:r w:rsidRPr="00E10926">
        <w:rPr>
          <w:color w:val="auto"/>
        </w:rPr>
        <w:t xml:space="preserve"> à travers le projet INCA2 pour renforcer le système de contrôle interne et de la gestion financière de la COI. Ce</w:t>
      </w:r>
      <w:r>
        <w:rPr>
          <w:color w:val="auto"/>
        </w:rPr>
        <w:t xml:space="preserve">la </w:t>
      </w:r>
      <w:r w:rsidRPr="00E10926">
        <w:rPr>
          <w:color w:val="auto"/>
        </w:rPr>
        <w:t>permettra à la COI d’être accrédité</w:t>
      </w:r>
      <w:r w:rsidR="007C431A">
        <w:rPr>
          <w:color w:val="auto"/>
        </w:rPr>
        <w:t>e</w:t>
      </w:r>
      <w:r w:rsidRPr="00E10926">
        <w:rPr>
          <w:color w:val="auto"/>
        </w:rPr>
        <w:t xml:space="preserve"> aux 9 piliers de l’UE et également au Fond</w:t>
      </w:r>
      <w:r>
        <w:rPr>
          <w:color w:val="auto"/>
        </w:rPr>
        <w:t>s</w:t>
      </w:r>
      <w:r w:rsidRPr="00E10926">
        <w:rPr>
          <w:color w:val="auto"/>
        </w:rPr>
        <w:t xml:space="preserve"> vert pour le climat.</w:t>
      </w:r>
    </w:p>
    <w:p w14:paraId="6E391D45" w14:textId="0021C88F" w:rsidR="00E10926" w:rsidRPr="00E10926" w:rsidRDefault="00E10926" w:rsidP="000D68BC">
      <w:pPr>
        <w:pStyle w:val="Sous-partie2"/>
        <w:numPr>
          <w:ilvl w:val="0"/>
          <w:numId w:val="0"/>
        </w:numPr>
        <w:spacing w:after="120"/>
        <w:contextualSpacing w:val="0"/>
      </w:pPr>
      <w:r w:rsidRPr="00E10926">
        <w:rPr>
          <w:color w:val="auto"/>
        </w:rPr>
        <w:t xml:space="preserve">Le comité d'audit a approuvé à l'unanimité les états financiers 2020 et 2021 durant sa réunion tenue en octobre 2022. </w:t>
      </w:r>
      <w:r w:rsidR="007F64D1">
        <w:rPr>
          <w:color w:val="auto"/>
        </w:rPr>
        <w:t>Il souligne néanmoins</w:t>
      </w:r>
      <w:r>
        <w:rPr>
          <w:color w:val="auto"/>
        </w:rPr>
        <w:t xml:space="preserve"> l’évidence de la fragilité financière de la COI, les capitaux propres étant négatifs</w:t>
      </w:r>
      <w:r w:rsidR="007F64D1">
        <w:rPr>
          <w:color w:val="auto"/>
        </w:rPr>
        <w:t xml:space="preserve">. </w:t>
      </w:r>
      <w:r w:rsidRPr="00E10926">
        <w:rPr>
          <w:color w:val="auto"/>
        </w:rPr>
        <w:t xml:space="preserve">Comme à l'accoutumée, le Secrétariat général de la COI présentera au </w:t>
      </w:r>
      <w:r w:rsidR="007F64D1">
        <w:rPr>
          <w:color w:val="auto"/>
        </w:rPr>
        <w:t>C</w:t>
      </w:r>
      <w:r w:rsidRPr="00E10926">
        <w:rPr>
          <w:color w:val="auto"/>
        </w:rPr>
        <w:t>onseil un point de situation détaillé.</w:t>
      </w:r>
    </w:p>
    <w:p w14:paraId="54854EB5" w14:textId="2595F424" w:rsidR="002C56ED" w:rsidRPr="00A76B07" w:rsidRDefault="00E10926" w:rsidP="00E10926">
      <w:pPr>
        <w:pStyle w:val="Sous-partie2"/>
      </w:pPr>
      <w:r>
        <w:t>Structure de l’administration de la COI</w:t>
      </w:r>
    </w:p>
    <w:p w14:paraId="004F8498" w14:textId="5D1E62C4" w:rsidR="00955BB3" w:rsidRDefault="00E10926" w:rsidP="007F64D1">
      <w:pPr>
        <w:pStyle w:val="Sous-partie2"/>
        <w:numPr>
          <w:ilvl w:val="0"/>
          <w:numId w:val="0"/>
        </w:numPr>
        <w:spacing w:after="120"/>
        <w:contextualSpacing w:val="0"/>
        <w:rPr>
          <w:color w:val="000000" w:themeColor="text1"/>
        </w:rPr>
      </w:pPr>
      <w:r w:rsidRPr="00E10926">
        <w:rPr>
          <w:color w:val="000000" w:themeColor="text1"/>
        </w:rPr>
        <w:t>Pour renforcer son modèle de gouvernance et l'indépendance de la deuxième ligne de défense en matière de contrôle interne, la fonction de gestion des risques et de conformité sera créée et placée sous l'autorité de la direction. Le recrutement du responsable de ce poste s</w:t>
      </w:r>
      <w:r w:rsidR="0021158A">
        <w:rPr>
          <w:color w:val="000000" w:themeColor="text1"/>
        </w:rPr>
        <w:t>era effectué courant</w:t>
      </w:r>
      <w:r w:rsidRPr="00E10926">
        <w:rPr>
          <w:color w:val="000000" w:themeColor="text1"/>
        </w:rPr>
        <w:t xml:space="preserve"> 2023</w:t>
      </w:r>
      <w:r w:rsidR="0021158A">
        <w:rPr>
          <w:color w:val="000000" w:themeColor="text1"/>
        </w:rPr>
        <w:t xml:space="preserve"> dans le cadre du renforcement en personnel</w:t>
      </w:r>
      <w:r w:rsidRPr="00E10926">
        <w:rPr>
          <w:color w:val="000000" w:themeColor="text1"/>
        </w:rPr>
        <w:t>.</w:t>
      </w:r>
    </w:p>
    <w:p w14:paraId="5EC5F219" w14:textId="0016405C" w:rsidR="00E10926" w:rsidRPr="00A76B07" w:rsidRDefault="00E10926" w:rsidP="00E10926">
      <w:pPr>
        <w:pStyle w:val="Sous-partie2"/>
      </w:pPr>
      <w:r>
        <w:t>Mise en œuvre des contrôles internes</w:t>
      </w:r>
    </w:p>
    <w:p w14:paraId="49E7DAE9" w14:textId="1ABC0479" w:rsidR="00E10926" w:rsidRDefault="00E10926" w:rsidP="0021158A">
      <w:pPr>
        <w:pStyle w:val="Sous-partie2"/>
        <w:numPr>
          <w:ilvl w:val="0"/>
          <w:numId w:val="0"/>
        </w:numPr>
        <w:ind w:hanging="11"/>
        <w:rPr>
          <w:color w:val="000000" w:themeColor="text1"/>
        </w:rPr>
      </w:pPr>
      <w:r>
        <w:rPr>
          <w:color w:val="000000" w:themeColor="text1"/>
        </w:rPr>
        <w:t>Des améliorations ont été apportées au système de contrôle interne de la COI.</w:t>
      </w:r>
    </w:p>
    <w:p w14:paraId="3A046455" w14:textId="30E776AF" w:rsidR="00E10926" w:rsidRDefault="00E10926" w:rsidP="0021158A">
      <w:pPr>
        <w:pStyle w:val="Sous-partie2"/>
        <w:numPr>
          <w:ilvl w:val="0"/>
          <w:numId w:val="0"/>
        </w:numPr>
        <w:ind w:hanging="11"/>
        <w:rPr>
          <w:color w:val="000000" w:themeColor="text1"/>
        </w:rPr>
      </w:pPr>
      <w:r w:rsidRPr="00E10926">
        <w:rPr>
          <w:color w:val="000000" w:themeColor="text1"/>
        </w:rPr>
        <w:t>Les activités de contrôle interne sont régulièrement testées, les résultats sont communiqués à la direction et documentés dans un nouveau</w:t>
      </w:r>
      <w:r>
        <w:rPr>
          <w:color w:val="000000" w:themeColor="text1"/>
        </w:rPr>
        <w:t xml:space="preserve"> projet de</w:t>
      </w:r>
      <w:r w:rsidRPr="00E10926">
        <w:rPr>
          <w:color w:val="000000" w:themeColor="text1"/>
        </w:rPr>
        <w:t xml:space="preserve"> manuel administratif et financier.</w:t>
      </w:r>
    </w:p>
    <w:p w14:paraId="3AC0D265" w14:textId="2CEBDA93" w:rsidR="00E10926" w:rsidRDefault="00E10926" w:rsidP="0021158A">
      <w:pPr>
        <w:pStyle w:val="Sous-partie2"/>
        <w:numPr>
          <w:ilvl w:val="0"/>
          <w:numId w:val="0"/>
        </w:numPr>
        <w:ind w:hanging="11"/>
        <w:rPr>
          <w:color w:val="000000" w:themeColor="text1"/>
        </w:rPr>
      </w:pPr>
      <w:r w:rsidRPr="00E10926">
        <w:rPr>
          <w:color w:val="000000" w:themeColor="text1"/>
        </w:rPr>
        <w:t>Des recommandations ont été émises pour améliorer le système de contrôle interne, notamment en définissant précisément les responsabilités de chacun et en mettant en place un système de partage et de communication des information</w:t>
      </w:r>
      <w:r>
        <w:rPr>
          <w:color w:val="000000" w:themeColor="text1"/>
        </w:rPr>
        <w:t>s.</w:t>
      </w:r>
    </w:p>
    <w:p w14:paraId="6F2CF63E" w14:textId="4EB08E62" w:rsidR="00E10926" w:rsidRDefault="00E10926" w:rsidP="0021158A">
      <w:pPr>
        <w:pStyle w:val="Sous-partie2"/>
        <w:numPr>
          <w:ilvl w:val="0"/>
          <w:numId w:val="0"/>
        </w:numPr>
        <w:ind w:hanging="11"/>
        <w:rPr>
          <w:color w:val="000000" w:themeColor="text1"/>
        </w:rPr>
      </w:pPr>
      <w:r>
        <w:rPr>
          <w:color w:val="000000" w:themeColor="text1"/>
        </w:rPr>
        <w:t xml:space="preserve">Le code d’éthique et la procédure </w:t>
      </w:r>
      <w:r w:rsidR="009C5471">
        <w:rPr>
          <w:color w:val="000000" w:themeColor="text1"/>
        </w:rPr>
        <w:t xml:space="preserve">de </w:t>
      </w:r>
      <w:r>
        <w:rPr>
          <w:color w:val="000000" w:themeColor="text1"/>
        </w:rPr>
        <w:t>lanceur d’alerte ont été appliqués pour renforcer l’intégrité de l’organisation.</w:t>
      </w:r>
    </w:p>
    <w:p w14:paraId="7E59D284" w14:textId="498A9F15" w:rsidR="00E10926" w:rsidRDefault="00E10926" w:rsidP="0021158A">
      <w:pPr>
        <w:pStyle w:val="Sous-partie2"/>
        <w:numPr>
          <w:ilvl w:val="0"/>
          <w:numId w:val="0"/>
        </w:numPr>
        <w:spacing w:after="120"/>
        <w:ind w:hanging="11"/>
        <w:contextualSpacing w:val="0"/>
        <w:rPr>
          <w:color w:val="000000" w:themeColor="text1"/>
        </w:rPr>
      </w:pPr>
      <w:r>
        <w:rPr>
          <w:color w:val="000000" w:themeColor="text1"/>
        </w:rPr>
        <w:t>L’équipe d’audit interne a été accompagnée par des assistants techniques et a réalisé plusieurs audits de processus et de vérification des dépenses.</w:t>
      </w:r>
    </w:p>
    <w:p w14:paraId="752806A6" w14:textId="2E621628" w:rsidR="00E10926" w:rsidRPr="00A76B07" w:rsidRDefault="00E10926" w:rsidP="00E10926">
      <w:pPr>
        <w:pStyle w:val="Sous-partie2"/>
      </w:pPr>
      <w:r>
        <w:t>Conformité et gestion des risques de fraude</w:t>
      </w:r>
    </w:p>
    <w:p w14:paraId="6605B8A7" w14:textId="284BBD44" w:rsidR="00E10926" w:rsidRDefault="00E10926" w:rsidP="00BA1D33">
      <w:pPr>
        <w:pStyle w:val="Sous-partie2"/>
        <w:numPr>
          <w:ilvl w:val="0"/>
          <w:numId w:val="0"/>
        </w:numPr>
        <w:rPr>
          <w:color w:val="000000" w:themeColor="text1"/>
        </w:rPr>
      </w:pPr>
      <w:r w:rsidRPr="00E10926">
        <w:rPr>
          <w:color w:val="000000" w:themeColor="text1"/>
        </w:rPr>
        <w:t>L’univers des risques est resté stable depuis le rapport 2021 et reste similaire à celui 2020</w:t>
      </w:r>
      <w:r>
        <w:rPr>
          <w:color w:val="000000" w:themeColor="text1"/>
        </w:rPr>
        <w:t>.</w:t>
      </w:r>
    </w:p>
    <w:p w14:paraId="7CA8AE72" w14:textId="6CD4A908" w:rsidR="00E10926" w:rsidRDefault="00E10926" w:rsidP="00BA1D33">
      <w:pPr>
        <w:pStyle w:val="Sous-partie2"/>
        <w:numPr>
          <w:ilvl w:val="0"/>
          <w:numId w:val="0"/>
        </w:numPr>
        <w:spacing w:after="120"/>
        <w:contextualSpacing w:val="0"/>
        <w:rPr>
          <w:color w:val="000000" w:themeColor="text1"/>
        </w:rPr>
      </w:pPr>
      <w:r w:rsidRPr="00E10926">
        <w:rPr>
          <w:color w:val="000000" w:themeColor="text1"/>
        </w:rPr>
        <w:t>Aucun signalement n'a été enregistré en 2022 et l’application de la procédure lanceur d’alerte devrait être effective à partir de cette année 2023.</w:t>
      </w:r>
    </w:p>
    <w:p w14:paraId="3CA4B184" w14:textId="77777777" w:rsidR="00E1544F" w:rsidRDefault="00E1544F" w:rsidP="00BA1D33">
      <w:pPr>
        <w:pStyle w:val="Sous-partie2"/>
        <w:numPr>
          <w:ilvl w:val="0"/>
          <w:numId w:val="0"/>
        </w:numPr>
        <w:spacing w:after="120"/>
        <w:contextualSpacing w:val="0"/>
        <w:rPr>
          <w:color w:val="000000" w:themeColor="text1"/>
        </w:rPr>
      </w:pPr>
    </w:p>
    <w:p w14:paraId="107A7856" w14:textId="77777777" w:rsidR="00E1544F" w:rsidRDefault="00E1544F" w:rsidP="00BA1D33">
      <w:pPr>
        <w:pStyle w:val="Sous-partie2"/>
        <w:numPr>
          <w:ilvl w:val="0"/>
          <w:numId w:val="0"/>
        </w:numPr>
        <w:spacing w:after="120"/>
        <w:contextualSpacing w:val="0"/>
        <w:rPr>
          <w:color w:val="000000" w:themeColor="text1"/>
        </w:rPr>
      </w:pPr>
    </w:p>
    <w:p w14:paraId="1618F575" w14:textId="447A2F34" w:rsidR="00E10926" w:rsidRPr="00A76B07" w:rsidRDefault="00E10926" w:rsidP="00E10926">
      <w:pPr>
        <w:pStyle w:val="Sous-partie2"/>
      </w:pPr>
      <w:r>
        <w:lastRenderedPageBreak/>
        <w:t>Audit interne</w:t>
      </w:r>
    </w:p>
    <w:p w14:paraId="19139912" w14:textId="77777777" w:rsidR="00E10926" w:rsidRPr="00E10926" w:rsidRDefault="00E10926" w:rsidP="00DD030A">
      <w:pPr>
        <w:pStyle w:val="Sous-partie2"/>
        <w:numPr>
          <w:ilvl w:val="0"/>
          <w:numId w:val="0"/>
        </w:numPr>
        <w:rPr>
          <w:color w:val="000000" w:themeColor="text1"/>
        </w:rPr>
      </w:pPr>
      <w:r w:rsidRPr="00E10926">
        <w:rPr>
          <w:color w:val="000000" w:themeColor="text1"/>
        </w:rPr>
        <w:t>Le responsable de l'audit interne a présenté des rapports trimestriels portant sur les points suivants : (i) mise en œuvre des recommandations d’audit pour se conformer aux normes internationales de l'Institut des auditeurs internes (IIA), (ii) missions d’assurance, (iii) missions de conseil et (iv) contrôles de conformité.</w:t>
      </w:r>
    </w:p>
    <w:p w14:paraId="1FE3F9D1" w14:textId="77777777" w:rsidR="00E10926" w:rsidRPr="00E10926" w:rsidRDefault="00E10926" w:rsidP="00DD030A">
      <w:pPr>
        <w:pStyle w:val="Sous-partie2"/>
        <w:numPr>
          <w:ilvl w:val="0"/>
          <w:numId w:val="0"/>
        </w:numPr>
        <w:rPr>
          <w:color w:val="000000" w:themeColor="text1"/>
        </w:rPr>
      </w:pPr>
      <w:r w:rsidRPr="00E10926">
        <w:rPr>
          <w:color w:val="000000" w:themeColor="text1"/>
        </w:rPr>
        <w:t>Sur les 19 missions prévues pour 2021-2022, 14 ont été réalisées dont 9 terminées, 5 en cours et 5 n’ont pas pu démarrer.</w:t>
      </w:r>
    </w:p>
    <w:p w14:paraId="34880D28" w14:textId="07F39C33" w:rsidR="00E10926" w:rsidRPr="00E10926" w:rsidRDefault="00E10926" w:rsidP="00DD030A">
      <w:pPr>
        <w:pStyle w:val="Sous-partie2"/>
        <w:numPr>
          <w:ilvl w:val="0"/>
          <w:numId w:val="0"/>
        </w:numPr>
        <w:rPr>
          <w:color w:val="000000" w:themeColor="text1"/>
        </w:rPr>
      </w:pPr>
      <w:r w:rsidRPr="00E10926">
        <w:rPr>
          <w:color w:val="000000" w:themeColor="text1"/>
        </w:rPr>
        <w:t>Les missions d’audit des processus et de vérification des dépenses ont été réalisées selon les processus décrits dans le manuel d’audit interne et les normes internationales pour la pratique professionnelle de l’audit interne.</w:t>
      </w:r>
    </w:p>
    <w:p w14:paraId="2F7F5914" w14:textId="608AD6BB" w:rsidR="00955BB3" w:rsidRPr="0008468B" w:rsidRDefault="00955BB3" w:rsidP="00A70123">
      <w:pPr>
        <w:pStyle w:val="Titrepartie"/>
      </w:pPr>
      <w:r w:rsidRPr="0008468B">
        <w:t>Proposition de décision</w:t>
      </w:r>
    </w:p>
    <w:p w14:paraId="495CA3D7" w14:textId="3E884E96" w:rsidR="0008468B" w:rsidRPr="00E10926" w:rsidRDefault="0008468B" w:rsidP="00213681">
      <w:pPr>
        <w:pStyle w:val="Paragraphe"/>
      </w:pPr>
      <w:r w:rsidRPr="004F5C4B">
        <w:t xml:space="preserve">Le Comité des </w:t>
      </w:r>
      <w:r w:rsidR="00E10926" w:rsidRPr="004F5C4B">
        <w:t>OPL</w:t>
      </w:r>
      <w:r w:rsidR="00E10926">
        <w:t xml:space="preserve"> </w:t>
      </w:r>
      <w:r w:rsidR="00213681">
        <w:t>p</w:t>
      </w:r>
      <w:r w:rsidR="00E10926" w:rsidRPr="00E10926">
        <w:t>rend note du rapport d</w:t>
      </w:r>
      <w:r w:rsidR="00E10926">
        <w:t>u président du Comité d’audit et des risques</w:t>
      </w:r>
      <w:r w:rsidR="00213681">
        <w:t>.</w:t>
      </w:r>
    </w:p>
    <w:bookmarkEnd w:id="0"/>
    <w:p w14:paraId="1D6F1669" w14:textId="72833CAD" w:rsidR="00417683" w:rsidRPr="0008468B" w:rsidRDefault="00417683" w:rsidP="00060CA0">
      <w:pPr>
        <w:pStyle w:val="Titrepartie"/>
      </w:pPr>
      <w:r w:rsidRPr="0008468B">
        <w:t>Annexe</w:t>
      </w:r>
      <w:r w:rsidR="008F173C" w:rsidRPr="0008468B">
        <w:t>s</w:t>
      </w:r>
      <w:r w:rsidRPr="0008468B">
        <w:t> :</w:t>
      </w:r>
    </w:p>
    <w:p w14:paraId="4648F921" w14:textId="77E53089" w:rsidR="008F173C" w:rsidRPr="00620B90" w:rsidRDefault="00620B90" w:rsidP="00E10926">
      <w:pPr>
        <w:pStyle w:val="Paragraphe"/>
        <w:numPr>
          <w:ilvl w:val="0"/>
          <w:numId w:val="9"/>
        </w:numPr>
      </w:pPr>
      <w:r>
        <w:t xml:space="preserve">Annexe 1 : </w:t>
      </w:r>
      <w:r w:rsidR="000640D6">
        <w:t>Rapport</w:t>
      </w:r>
      <w:r w:rsidR="00E10926">
        <w:t xml:space="preserve"> 2022</w:t>
      </w:r>
      <w:r w:rsidR="000640D6">
        <w:t xml:space="preserve"> </w:t>
      </w:r>
      <w:r w:rsidR="00E10926">
        <w:t>d</w:t>
      </w:r>
      <w:r w:rsidR="000640D6">
        <w:t>u Comité d’Audit et des risques</w:t>
      </w:r>
    </w:p>
    <w:sectPr w:rsidR="008F173C" w:rsidRPr="00620B90" w:rsidSect="00063A26">
      <w:headerReference w:type="default" r:id="rId10"/>
      <w:footerReference w:type="default" r:id="rId11"/>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6905" w14:textId="77777777" w:rsidR="0094187E" w:rsidRDefault="0094187E">
      <w:pPr>
        <w:spacing w:after="0" w:line="240" w:lineRule="auto"/>
      </w:pPr>
      <w:r>
        <w:separator/>
      </w:r>
    </w:p>
  </w:endnote>
  <w:endnote w:type="continuationSeparator" w:id="0">
    <w:p w14:paraId="2D37F435" w14:textId="77777777" w:rsidR="0094187E" w:rsidRDefault="0094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49C7F" w14:textId="77777777" w:rsidR="0094187E" w:rsidRDefault="0094187E">
      <w:pPr>
        <w:spacing w:after="0" w:line="240" w:lineRule="auto"/>
      </w:pPr>
      <w:r>
        <w:separator/>
      </w:r>
    </w:p>
  </w:footnote>
  <w:footnote w:type="continuationSeparator" w:id="0">
    <w:p w14:paraId="5A880846" w14:textId="77777777" w:rsidR="0094187E" w:rsidRDefault="00941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62A9DAF0"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AD393D">
      <w:rPr>
        <w:rFonts w:ascii="Verdana" w:hAnsi="Verdana"/>
        <w:b/>
        <w:bCs/>
        <w:sz w:val="20"/>
        <w:szCs w:val="20"/>
      </w:rPr>
      <w:t>3.4.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2369890">
    <w:abstractNumId w:val="4"/>
  </w:num>
  <w:num w:numId="2" w16cid:durableId="1027832364">
    <w:abstractNumId w:val="7"/>
  </w:num>
  <w:num w:numId="3" w16cid:durableId="2106461979">
    <w:abstractNumId w:val="2"/>
  </w:num>
  <w:num w:numId="4" w16cid:durableId="28452919">
    <w:abstractNumId w:val="0"/>
  </w:num>
  <w:num w:numId="5" w16cid:durableId="1883011291">
    <w:abstractNumId w:val="6"/>
  </w:num>
  <w:num w:numId="6" w16cid:durableId="1050494179">
    <w:abstractNumId w:val="3"/>
  </w:num>
  <w:num w:numId="7" w16cid:durableId="60491406">
    <w:abstractNumId w:val="5"/>
  </w:num>
  <w:num w:numId="8" w16cid:durableId="562452438">
    <w:abstractNumId w:val="2"/>
    <w:lvlOverride w:ilvl="0">
      <w:startOverride w:val="1"/>
    </w:lvlOverride>
  </w:num>
  <w:num w:numId="9" w16cid:durableId="228881019">
    <w:abstractNumId w:val="1"/>
  </w:num>
  <w:num w:numId="10" w16cid:durableId="896090031">
    <w:abstractNumId w:val="2"/>
  </w:num>
  <w:num w:numId="11" w16cid:durableId="2142259899">
    <w:abstractNumId w:val="2"/>
  </w:num>
  <w:num w:numId="12" w16cid:durableId="1126311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2502D"/>
    <w:rsid w:val="000373B2"/>
    <w:rsid w:val="00042CF5"/>
    <w:rsid w:val="00060CA0"/>
    <w:rsid w:val="00063A26"/>
    <w:rsid w:val="000640D6"/>
    <w:rsid w:val="0008468B"/>
    <w:rsid w:val="000A468A"/>
    <w:rsid w:val="000B0FBD"/>
    <w:rsid w:val="000D68BC"/>
    <w:rsid w:val="000F4728"/>
    <w:rsid w:val="00107D9D"/>
    <w:rsid w:val="0018252D"/>
    <w:rsid w:val="001A56F1"/>
    <w:rsid w:val="001B4738"/>
    <w:rsid w:val="0021158A"/>
    <w:rsid w:val="00213681"/>
    <w:rsid w:val="002A0933"/>
    <w:rsid w:val="002A096E"/>
    <w:rsid w:val="002C56ED"/>
    <w:rsid w:val="003604B9"/>
    <w:rsid w:val="003772FB"/>
    <w:rsid w:val="00391152"/>
    <w:rsid w:val="003C2538"/>
    <w:rsid w:val="003D485F"/>
    <w:rsid w:val="003D5328"/>
    <w:rsid w:val="0041278C"/>
    <w:rsid w:val="00417683"/>
    <w:rsid w:val="00426673"/>
    <w:rsid w:val="004607F7"/>
    <w:rsid w:val="004F5C4B"/>
    <w:rsid w:val="0053773D"/>
    <w:rsid w:val="00620B90"/>
    <w:rsid w:val="006356AF"/>
    <w:rsid w:val="006548BF"/>
    <w:rsid w:val="00660504"/>
    <w:rsid w:val="006E2D9E"/>
    <w:rsid w:val="006F34A3"/>
    <w:rsid w:val="007B245C"/>
    <w:rsid w:val="007C431A"/>
    <w:rsid w:val="007C78FC"/>
    <w:rsid w:val="007F64D1"/>
    <w:rsid w:val="00816DAC"/>
    <w:rsid w:val="0083290E"/>
    <w:rsid w:val="00843FF2"/>
    <w:rsid w:val="008453AB"/>
    <w:rsid w:val="00854EEA"/>
    <w:rsid w:val="008551DA"/>
    <w:rsid w:val="008D193F"/>
    <w:rsid w:val="008F173C"/>
    <w:rsid w:val="0094187E"/>
    <w:rsid w:val="00955BB3"/>
    <w:rsid w:val="009A38AD"/>
    <w:rsid w:val="009C5471"/>
    <w:rsid w:val="00A148A1"/>
    <w:rsid w:val="00A36C09"/>
    <w:rsid w:val="00A37C9F"/>
    <w:rsid w:val="00A70123"/>
    <w:rsid w:val="00A76B07"/>
    <w:rsid w:val="00A81B98"/>
    <w:rsid w:val="00A90305"/>
    <w:rsid w:val="00AA63A3"/>
    <w:rsid w:val="00AB5EB7"/>
    <w:rsid w:val="00AD393D"/>
    <w:rsid w:val="00AD4D97"/>
    <w:rsid w:val="00AE2453"/>
    <w:rsid w:val="00B05DFC"/>
    <w:rsid w:val="00B36EEA"/>
    <w:rsid w:val="00BA1D33"/>
    <w:rsid w:val="00BA4B55"/>
    <w:rsid w:val="00C12C93"/>
    <w:rsid w:val="00C325F5"/>
    <w:rsid w:val="00C457E8"/>
    <w:rsid w:val="00C609B9"/>
    <w:rsid w:val="00CE2386"/>
    <w:rsid w:val="00DD030A"/>
    <w:rsid w:val="00E10926"/>
    <w:rsid w:val="00E1544F"/>
    <w:rsid w:val="00E32408"/>
    <w:rsid w:val="00E845D4"/>
    <w:rsid w:val="00EC22CC"/>
    <w:rsid w:val="00ED6B69"/>
    <w:rsid w:val="00EE34F4"/>
    <w:rsid w:val="00EF22A4"/>
    <w:rsid w:val="00F54EA0"/>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Textedebulles">
    <w:name w:val="Balloon Text"/>
    <w:basedOn w:val="Normal"/>
    <w:link w:val="TextedebullesCar"/>
    <w:uiPriority w:val="99"/>
    <w:semiHidden/>
    <w:unhideWhenUsed/>
    <w:rsid w:val="00E109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0926"/>
    <w:rPr>
      <w:rFonts w:ascii="Segoe UI" w:hAnsi="Segoe UI" w:cs="Segoe UI"/>
      <w:sz w:val="18"/>
      <w:szCs w:val="18"/>
    </w:rPr>
  </w:style>
  <w:style w:type="paragraph" w:styleId="Rvision">
    <w:name w:val="Revision"/>
    <w:hidden/>
    <w:uiPriority w:val="99"/>
    <w:semiHidden/>
    <w:rsid w:val="00BA1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fe991f8-b07a-4dd6-8f74-db5b04dbb4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1D0ACC03A2204DA93FC95928D21410" ma:contentTypeVersion="15" ma:contentTypeDescription="Create a new document." ma:contentTypeScope="" ma:versionID="c07ff0bbf2c19fd77c1eab29d8542ce5">
  <xsd:schema xmlns:xsd="http://www.w3.org/2001/XMLSchema" xmlns:xs="http://www.w3.org/2001/XMLSchema" xmlns:p="http://schemas.microsoft.com/office/2006/metadata/properties" xmlns:ns3="3fe991f8-b07a-4dd6-8f74-db5b04dbb4c4" xmlns:ns4="0c045350-dabd-4908-a093-8119ef75a40f" targetNamespace="http://schemas.microsoft.com/office/2006/metadata/properties" ma:root="true" ma:fieldsID="0423d9d98485b80970b837cf928188fe" ns3:_="" ns4:_="">
    <xsd:import namespace="3fe991f8-b07a-4dd6-8f74-db5b04dbb4c4"/>
    <xsd:import namespace="0c045350-dabd-4908-a093-8119ef75a4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991f8-b07a-4dd6-8f74-db5b04dbb4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45350-dabd-4908-a093-8119ef75a4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19750-C21F-4388-A690-C5E5A21DC8D5}">
  <ds:schemaRefs>
    <ds:schemaRef ds:uri="http://schemas.microsoft.com/office/2006/metadata/properties"/>
    <ds:schemaRef ds:uri="http://schemas.microsoft.com/office/infopath/2007/PartnerControls"/>
    <ds:schemaRef ds:uri="3fe991f8-b07a-4dd6-8f74-db5b04dbb4c4"/>
  </ds:schemaRefs>
</ds:datastoreItem>
</file>

<file path=customXml/itemProps2.xml><?xml version="1.0" encoding="utf-8"?>
<ds:datastoreItem xmlns:ds="http://schemas.openxmlformats.org/officeDocument/2006/customXml" ds:itemID="{058BFE7F-E874-4FA7-BE0D-C05659DE49CE}">
  <ds:schemaRefs>
    <ds:schemaRef ds:uri="http://schemas.microsoft.com/sharepoint/v3/contenttype/forms"/>
  </ds:schemaRefs>
</ds:datastoreItem>
</file>

<file path=customXml/itemProps3.xml><?xml version="1.0" encoding="utf-8"?>
<ds:datastoreItem xmlns:ds="http://schemas.openxmlformats.org/officeDocument/2006/customXml" ds:itemID="{0A5DEDA2-5EBC-429F-81DE-B3E0E833B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991f8-b07a-4dd6-8f74-db5b04dbb4c4"/>
    <ds:schemaRef ds:uri="0c045350-dabd-4908-a093-8119ef75a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570</Words>
  <Characters>3138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15</cp:revision>
  <dcterms:created xsi:type="dcterms:W3CDTF">2023-03-24T05:40:00Z</dcterms:created>
  <dcterms:modified xsi:type="dcterms:W3CDTF">2023-04-04T06:13:00Z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0x010100D01D0ACC03A2204DA93FC95928D21410</vt:lpwstr>
  </property>
</Properties>
</file>