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279" w:type="dxa"/>
        <w:tblLook w:val="04A0" w:firstRow="1" w:lastRow="0" w:firstColumn="1" w:lastColumn="0" w:noHBand="0" w:noVBand="1"/>
      </w:tblPr>
      <w:tblGrid>
        <w:gridCol w:w="7096"/>
        <w:gridCol w:w="1830"/>
      </w:tblGrid>
      <w:tr w:rsidR="00D30A0A" w:rsidRPr="00F50BE7" w14:paraId="35AFF1D4" w14:textId="77777777" w:rsidTr="00D30A0A">
        <w:tc>
          <w:tcPr>
            <w:tcW w:w="8926" w:type="dxa"/>
            <w:gridSpan w:val="2"/>
            <w:vAlign w:val="center"/>
          </w:tcPr>
          <w:p w14:paraId="5C4DF4A9" w14:textId="77777777" w:rsidR="00D30A0A" w:rsidRPr="00F50BE7" w:rsidRDefault="00D30A0A" w:rsidP="00CA7F8B">
            <w:pPr>
              <w:pStyle w:val="Titre"/>
              <w:ind w:left="0"/>
              <w:rPr>
                <w:rFonts w:ascii="Verdana" w:hAnsi="Verdana"/>
                <w:sz w:val="20"/>
                <w:szCs w:val="20"/>
              </w:rPr>
            </w:pPr>
            <w:bookmarkStart w:id="0" w:name="_Hlk24535240"/>
            <w:r w:rsidRPr="00F50BE7">
              <w:rPr>
                <w:rFonts w:ascii="Verdana" w:hAnsi="Verdana"/>
                <w:sz w:val="20"/>
                <w:szCs w:val="20"/>
              </w:rPr>
              <w:t xml:space="preserve">Résilience climatique </w:t>
            </w:r>
          </w:p>
        </w:tc>
      </w:tr>
      <w:tr w:rsidR="00D30A0A" w:rsidRPr="00C349CB" w14:paraId="1D3379FA" w14:textId="77777777" w:rsidTr="00D30A0A">
        <w:tc>
          <w:tcPr>
            <w:tcW w:w="7096" w:type="dxa"/>
            <w:vAlign w:val="center"/>
          </w:tcPr>
          <w:p w14:paraId="39DD2436" w14:textId="05CF8154" w:rsidR="00D30A0A" w:rsidRPr="00F50BE7" w:rsidRDefault="00D30A0A" w:rsidP="00CA7F8B">
            <w:pPr>
              <w:pStyle w:val="Corpsdetexte"/>
              <w:rPr>
                <w:rFonts w:ascii="Verdana" w:hAnsi="Verdana"/>
              </w:rPr>
            </w:pPr>
            <w:r w:rsidRPr="00F50BE7">
              <w:rPr>
                <w:rFonts w:ascii="Verdana" w:hAnsi="Verdana"/>
              </w:rPr>
              <w:t xml:space="preserve">Comité des OPL </w:t>
            </w:r>
            <w:r w:rsidR="00B06C35">
              <w:rPr>
                <w:rFonts w:ascii="Verdana" w:hAnsi="Verdana"/>
              </w:rPr>
              <w:t>01/2023</w:t>
            </w:r>
            <w:r w:rsidRPr="00F50BE7">
              <w:rPr>
                <w:rFonts w:ascii="Verdana" w:hAnsi="Verdana"/>
              </w:rPr>
              <w:t xml:space="preserve"> | 26</w:t>
            </w:r>
            <w:r w:rsidR="00B06C35">
              <w:rPr>
                <w:rFonts w:ascii="Verdana" w:hAnsi="Verdana"/>
              </w:rPr>
              <w:t>-27 avril 2023</w:t>
            </w:r>
          </w:p>
        </w:tc>
        <w:tc>
          <w:tcPr>
            <w:tcW w:w="1830" w:type="dxa"/>
            <w:vAlign w:val="center"/>
          </w:tcPr>
          <w:p w14:paraId="73C30F6B" w14:textId="436A58B8" w:rsidR="00D30A0A" w:rsidRPr="00F50BE7" w:rsidRDefault="00D30A0A" w:rsidP="00CA7F8B">
            <w:pPr>
              <w:pStyle w:val="Corpsdetexte"/>
              <w:rPr>
                <w:rFonts w:ascii="Verdana" w:hAnsi="Verdana"/>
              </w:rPr>
            </w:pPr>
            <w:r w:rsidRPr="00F50BE7">
              <w:rPr>
                <w:rFonts w:ascii="Verdana" w:hAnsi="Verdana"/>
              </w:rPr>
              <w:t xml:space="preserve">Point </w:t>
            </w:r>
            <w:r>
              <w:rPr>
                <w:rFonts w:ascii="Verdana" w:hAnsi="Verdana"/>
              </w:rPr>
              <w:t>2.5.</w:t>
            </w:r>
          </w:p>
        </w:tc>
      </w:tr>
      <w:tr w:rsidR="00D30A0A" w:rsidRPr="00C349CB" w14:paraId="5AB4242F" w14:textId="77777777" w:rsidTr="00D30A0A">
        <w:tc>
          <w:tcPr>
            <w:tcW w:w="7096" w:type="dxa"/>
            <w:vAlign w:val="center"/>
          </w:tcPr>
          <w:p w14:paraId="5ADB3A45" w14:textId="77777777" w:rsidR="00D30A0A" w:rsidRPr="00F50BE7" w:rsidRDefault="00D30A0A" w:rsidP="00CA7F8B">
            <w:pPr>
              <w:pStyle w:val="Corpsdetexte"/>
              <w:rPr>
                <w:rFonts w:ascii="Verdana" w:hAnsi="Verdana"/>
              </w:rPr>
            </w:pPr>
            <w:r w:rsidRPr="00F50BE7">
              <w:rPr>
                <w:rFonts w:ascii="Verdana" w:hAnsi="Verdana"/>
                <w:i/>
                <w:iCs/>
              </w:rPr>
              <w:t>Dossier suivi par :</w:t>
            </w:r>
            <w:r w:rsidRPr="00F50BE7">
              <w:rPr>
                <w:rFonts w:ascii="Verdana" w:hAnsi="Verdana"/>
              </w:rPr>
              <w:t xml:space="preserve"> Gina Bonne, Chargée de mission Di4</w:t>
            </w:r>
          </w:p>
        </w:tc>
        <w:tc>
          <w:tcPr>
            <w:tcW w:w="1830" w:type="dxa"/>
            <w:vAlign w:val="center"/>
          </w:tcPr>
          <w:p w14:paraId="275749BA" w14:textId="75AEB508" w:rsidR="00D30A0A" w:rsidRPr="00F50BE7" w:rsidRDefault="00D30A0A" w:rsidP="00CA7F8B">
            <w:pPr>
              <w:pStyle w:val="Corpsdetexte"/>
              <w:rPr>
                <w:rFonts w:ascii="Verdana" w:hAnsi="Verdana"/>
              </w:rPr>
            </w:pPr>
            <w:r w:rsidRPr="00F50BE7">
              <w:rPr>
                <w:rFonts w:ascii="Verdana" w:hAnsi="Verdana"/>
              </w:rPr>
              <w:t>Décision</w:t>
            </w:r>
            <w:r>
              <w:rPr>
                <w:rFonts w:ascii="Verdana" w:hAnsi="Verdana"/>
              </w:rPr>
              <w:t xml:space="preserve"> </w:t>
            </w:r>
          </w:p>
        </w:tc>
      </w:tr>
      <w:tr w:rsidR="00D30A0A" w:rsidRPr="00C349CB" w14:paraId="787F4C94" w14:textId="77777777" w:rsidTr="00D30A0A">
        <w:tc>
          <w:tcPr>
            <w:tcW w:w="8926" w:type="dxa"/>
            <w:gridSpan w:val="2"/>
            <w:vAlign w:val="center"/>
          </w:tcPr>
          <w:p w14:paraId="4BDD0114" w14:textId="77777777" w:rsidR="00D30A0A" w:rsidRPr="00F50BE7" w:rsidRDefault="00D30A0A" w:rsidP="00CA7F8B">
            <w:pPr>
              <w:pStyle w:val="Corpsdetexte"/>
              <w:rPr>
                <w:rFonts w:ascii="Verdana" w:hAnsi="Verdana"/>
              </w:rPr>
            </w:pPr>
            <w:r w:rsidRPr="00F50BE7">
              <w:rPr>
                <w:rFonts w:ascii="Verdana" w:hAnsi="Verdana"/>
                <w:i/>
                <w:iCs/>
              </w:rPr>
              <w:t>Version du 13 /04/ 2023</w:t>
            </w:r>
            <w:r>
              <w:rPr>
                <w:rFonts w:ascii="Verdana" w:hAnsi="Verdana"/>
                <w:i/>
                <w:iCs/>
              </w:rPr>
              <w:t xml:space="preserve"> </w:t>
            </w:r>
          </w:p>
        </w:tc>
      </w:tr>
    </w:tbl>
    <w:p w14:paraId="46A9D4AF" w14:textId="77777777" w:rsidR="00D30A0A" w:rsidRPr="00C349CB" w:rsidRDefault="00D30A0A" w:rsidP="00D30A0A">
      <w:pPr>
        <w:pStyle w:val="Paragraphe"/>
      </w:pPr>
    </w:p>
    <w:p w14:paraId="7C510E6B" w14:textId="77777777" w:rsidR="00D30A0A" w:rsidRPr="00C349CB" w:rsidRDefault="00D30A0A" w:rsidP="00B06C35">
      <w:pPr>
        <w:pStyle w:val="Titrepartie"/>
      </w:pPr>
      <w:r w:rsidRPr="00C349CB">
        <w:t>Résumé</w:t>
      </w:r>
    </w:p>
    <w:p w14:paraId="4CA31EB3" w14:textId="016D3664" w:rsidR="00D30A0A" w:rsidRPr="00B06C35" w:rsidRDefault="005E33EB" w:rsidP="00B06C35">
      <w:pPr>
        <w:spacing w:before="120" w:after="120" w:line="250" w:lineRule="auto"/>
        <w:rPr>
          <w:szCs w:val="20"/>
        </w:rPr>
      </w:pPr>
      <w:r>
        <w:rPr>
          <w:szCs w:val="20"/>
        </w:rPr>
        <w:t>Dans le cadre de son action pour la résilience climatique, la COI veille</w:t>
      </w:r>
      <w:r w:rsidR="00D30A0A" w:rsidRPr="00B06C35">
        <w:rPr>
          <w:szCs w:val="20"/>
        </w:rPr>
        <w:t xml:space="preserve"> à la meilleure participation possible des institutions nationales dans la réalisation et le suivi des activités, notamment au regard des enjeux de réduction et de gestion des risques de catastrophes, de renforcement des capacités techniques de prévisions météorologiques et de développement de services climatiques, de mise en place de systèmes d’alertes précoces, de prévention ou encore de sensibilisation des populations aux risques climatiques.</w:t>
      </w:r>
    </w:p>
    <w:p w14:paraId="28DD8E5F" w14:textId="75E53B50" w:rsidR="00D30A0A" w:rsidRPr="00F50BE7" w:rsidRDefault="00D30A0A" w:rsidP="00D30A0A">
      <w:pPr>
        <w:rPr>
          <w:szCs w:val="20"/>
        </w:rPr>
      </w:pPr>
      <w:r w:rsidRPr="00F50BE7">
        <w:rPr>
          <w:szCs w:val="20"/>
        </w:rPr>
        <w:t>Cette fiche présente l’ensemble des activités de la COI</w:t>
      </w:r>
      <w:r>
        <w:rPr>
          <w:szCs w:val="20"/>
        </w:rPr>
        <w:t xml:space="preserve"> </w:t>
      </w:r>
      <w:r w:rsidRPr="00F50BE7">
        <w:rPr>
          <w:szCs w:val="20"/>
        </w:rPr>
        <w:t>portant sur la résilience climatique</w:t>
      </w:r>
      <w:r>
        <w:rPr>
          <w:szCs w:val="20"/>
        </w:rPr>
        <w:t xml:space="preserve"> et l</w:t>
      </w:r>
      <w:r w:rsidRPr="00F50BE7">
        <w:rPr>
          <w:szCs w:val="20"/>
        </w:rPr>
        <w:t xml:space="preserve">’avancement des </w:t>
      </w:r>
      <w:r>
        <w:rPr>
          <w:szCs w:val="20"/>
        </w:rPr>
        <w:t>projets</w:t>
      </w:r>
      <w:r w:rsidRPr="00F50BE7">
        <w:rPr>
          <w:szCs w:val="20"/>
        </w:rPr>
        <w:t xml:space="preserve"> menés par le</w:t>
      </w:r>
      <w:r>
        <w:rPr>
          <w:szCs w:val="20"/>
        </w:rPr>
        <w:t xml:space="preserve"> </w:t>
      </w:r>
      <w:r w:rsidRPr="00F50BE7">
        <w:rPr>
          <w:szCs w:val="20"/>
        </w:rPr>
        <w:t>Secrétariat</w:t>
      </w:r>
      <w:r w:rsidR="00AB03FC">
        <w:rPr>
          <w:szCs w:val="20"/>
        </w:rPr>
        <w:t>,</w:t>
      </w:r>
      <w:r w:rsidRPr="00F50BE7">
        <w:rPr>
          <w:szCs w:val="20"/>
        </w:rPr>
        <w:t xml:space="preserve"> d’une part</w:t>
      </w:r>
      <w:r w:rsidR="00AB03FC">
        <w:rPr>
          <w:szCs w:val="20"/>
        </w:rPr>
        <w:t>,</w:t>
      </w:r>
      <w:r w:rsidRPr="00F50BE7">
        <w:rPr>
          <w:szCs w:val="20"/>
        </w:rPr>
        <w:t xml:space="preserve"> en accompagnement de la Stratégie régionale d’adaptation au changement climatique des pays membres de la Commission de l’océan Indien 2012 – 2020</w:t>
      </w:r>
      <w:r w:rsidR="00795B6B">
        <w:rPr>
          <w:szCs w:val="20"/>
        </w:rPr>
        <w:t xml:space="preserve"> et du </w:t>
      </w:r>
      <w:r w:rsidRPr="00F50BE7">
        <w:rPr>
          <w:szCs w:val="20"/>
        </w:rPr>
        <w:t xml:space="preserve">Plan d’action intégré de Changement climatique et </w:t>
      </w:r>
      <w:r w:rsidR="00795B6B">
        <w:rPr>
          <w:szCs w:val="20"/>
        </w:rPr>
        <w:t xml:space="preserve">de </w:t>
      </w:r>
      <w:r w:rsidRPr="00F50BE7">
        <w:rPr>
          <w:szCs w:val="20"/>
        </w:rPr>
        <w:t>réduction des risques de catastrophe</w:t>
      </w:r>
      <w:r w:rsidR="00795B6B">
        <w:rPr>
          <w:szCs w:val="20"/>
        </w:rPr>
        <w:t>s</w:t>
      </w:r>
      <w:r>
        <w:rPr>
          <w:szCs w:val="20"/>
        </w:rPr>
        <w:t>,</w:t>
      </w:r>
      <w:r w:rsidRPr="00F50BE7">
        <w:rPr>
          <w:szCs w:val="20"/>
        </w:rPr>
        <w:t xml:space="preserve"> </w:t>
      </w:r>
      <w:r w:rsidR="00795B6B">
        <w:rPr>
          <w:szCs w:val="20"/>
        </w:rPr>
        <w:t xml:space="preserve">et, d’autre part, </w:t>
      </w:r>
      <w:r w:rsidR="00506FF2">
        <w:rPr>
          <w:szCs w:val="20"/>
        </w:rPr>
        <w:t xml:space="preserve">dans la perspective </w:t>
      </w:r>
      <w:r w:rsidRPr="00F50BE7">
        <w:rPr>
          <w:szCs w:val="20"/>
        </w:rPr>
        <w:t xml:space="preserve">des activités conduites </w:t>
      </w:r>
      <w:r w:rsidR="00506FF2">
        <w:rPr>
          <w:szCs w:val="20"/>
        </w:rPr>
        <w:t>dans le cadre de la mise en œuvre des PDS 2018-2022 et 2023+</w:t>
      </w:r>
      <w:r w:rsidRPr="00F50BE7">
        <w:rPr>
          <w:szCs w:val="20"/>
        </w:rPr>
        <w:t xml:space="preserve">. </w:t>
      </w:r>
    </w:p>
    <w:p w14:paraId="56ABA814" w14:textId="2DE33B82" w:rsidR="00D30A0A" w:rsidRDefault="00D30A0A" w:rsidP="00D30A0A">
      <w:r>
        <w:t xml:space="preserve">Les projets conduits par le secrétariat général dans ce champ d’action permettent </w:t>
      </w:r>
      <w:r w:rsidRPr="0063735F">
        <w:t xml:space="preserve">de </w:t>
      </w:r>
      <w:r>
        <w:t xml:space="preserve">répondre aux besoins urgents, de structurer dans le long terme des réponses collectives adaptées aux spécificités de chacun des Etats membres, </w:t>
      </w:r>
      <w:r w:rsidRPr="0063735F">
        <w:t>d’accompagner une dynamique de re-régionalisation</w:t>
      </w:r>
      <w:r>
        <w:t xml:space="preserve">. Ainsi, le portefeuille d’action et de projets </w:t>
      </w:r>
      <w:r w:rsidR="007E4FFC">
        <w:t>mis en œuvre ont pour</w:t>
      </w:r>
      <w:r w:rsidRPr="0063735F">
        <w:t xml:space="preserve"> but d’apporter plus d’efficacité</w:t>
      </w:r>
      <w:r>
        <w:t xml:space="preserve"> et de contribuer à </w:t>
      </w:r>
      <w:r w:rsidRPr="0063735F">
        <w:t>une meilleure articulation entre les programmes nationaux et régionaux</w:t>
      </w:r>
      <w:r>
        <w:t xml:space="preserve">. </w:t>
      </w:r>
    </w:p>
    <w:p w14:paraId="6C55BDC5" w14:textId="7BD26B1A" w:rsidR="00D30A0A" w:rsidRDefault="00D30A0A" w:rsidP="00FA4C10">
      <w:r>
        <w:t>En outre, il convient de souligner l’attention portée de manière transversale aux</w:t>
      </w:r>
      <w:r w:rsidRPr="0063735F">
        <w:t xml:space="preserve"> aspects structurants du développement de long terme</w:t>
      </w:r>
      <w:r w:rsidR="00226170">
        <w:t> </w:t>
      </w:r>
      <w:r w:rsidR="00BA2649">
        <w:t>en adoptant une approche holistique qui lie climat,</w:t>
      </w:r>
      <w:r w:rsidR="00226170">
        <w:t xml:space="preserve"> </w:t>
      </w:r>
      <w:r w:rsidRPr="0063735F">
        <w:t>environnement</w:t>
      </w:r>
      <w:r>
        <w:t>, biodiversité,</w:t>
      </w:r>
      <w:r w:rsidRPr="0063735F">
        <w:t xml:space="preserve"> santé, </w:t>
      </w:r>
      <w:r>
        <w:t xml:space="preserve">océan et </w:t>
      </w:r>
      <w:r w:rsidRPr="0063735F">
        <w:t>formation</w:t>
      </w:r>
      <w:r>
        <w:t xml:space="preserve">. </w:t>
      </w:r>
      <w:r w:rsidR="00FA4C10">
        <w:t xml:space="preserve">En effet, le défi climatique est intégré dans plusieurs projets de la COI, à l’image du </w:t>
      </w:r>
      <w:r>
        <w:t xml:space="preserve">programme Santé (projet </w:t>
      </w:r>
      <w:r w:rsidR="00680E2D">
        <w:t>RSIE)</w:t>
      </w:r>
      <w:r>
        <w:t xml:space="preserve"> </w:t>
      </w:r>
      <w:r w:rsidR="00FA4C10">
        <w:t>avec des activités sur les</w:t>
      </w:r>
      <w:r>
        <w:t xml:space="preserve"> maladies climato-sensible</w:t>
      </w:r>
      <w:r w:rsidR="00FA4C10">
        <w:t>s</w:t>
      </w:r>
      <w:r>
        <w:t xml:space="preserve"> ; </w:t>
      </w:r>
      <w:r w:rsidR="00FA4C10">
        <w:t>les projets ECOFISH et SWIOFISH</w:t>
      </w:r>
      <w:r w:rsidR="006803AA">
        <w:t xml:space="preserve"> qui incluent </w:t>
      </w:r>
      <w:r>
        <w:t xml:space="preserve">l’impact du changement climatique sur la pêche et écosystème </w:t>
      </w:r>
      <w:proofErr w:type="gramStart"/>
      <w:r>
        <w:t>associes;</w:t>
      </w:r>
      <w:proofErr w:type="gramEnd"/>
      <w:r>
        <w:t xml:space="preserve"> l</w:t>
      </w:r>
      <w:r w:rsidR="006803AA">
        <w:t>es actions de sécurité alimentaires</w:t>
      </w:r>
      <w:r w:rsidR="00FD070C">
        <w:t xml:space="preserve"> ou encore le projet RECOS de résilience côtière. </w:t>
      </w:r>
    </w:p>
    <w:p w14:paraId="305E0DCD" w14:textId="77777777" w:rsidR="00D30A0A" w:rsidRDefault="00D30A0A" w:rsidP="00680E2D">
      <w:pPr>
        <w:pStyle w:val="Titrepartie"/>
      </w:pPr>
      <w:bookmarkStart w:id="1" w:name="_Hlk130281225"/>
      <w:r w:rsidRPr="0008468B">
        <w:t xml:space="preserve">Etat </w:t>
      </w:r>
      <w:r w:rsidRPr="00532ED4">
        <w:t>d’avancement</w:t>
      </w:r>
      <w:r>
        <w:t xml:space="preserve"> des actions de la COI dans ce domaine</w:t>
      </w:r>
    </w:p>
    <w:bookmarkEnd w:id="1"/>
    <w:p w14:paraId="49BC588E" w14:textId="77777777" w:rsidR="00D30A0A" w:rsidRPr="00516753" w:rsidRDefault="00D30A0A" w:rsidP="00680E2D">
      <w:pPr>
        <w:pStyle w:val="Sous-partie2"/>
      </w:pPr>
      <w:r w:rsidRPr="00516753">
        <w:t>BRIO</w:t>
      </w:r>
      <w:bookmarkStart w:id="2" w:name="_Hlk130281254"/>
    </w:p>
    <w:bookmarkEnd w:id="2"/>
    <w:p w14:paraId="599E1C45" w14:textId="2F7B777D" w:rsidR="00D30A0A" w:rsidRDefault="00D30A0A" w:rsidP="00D30A0A">
      <w:r w:rsidRPr="006F418C">
        <w:rPr>
          <w:rFonts w:cs="Times New Roman"/>
          <w:noProof/>
          <w:szCs w:val="20"/>
        </w:rPr>
        <w:t xml:space="preserve">Le projet intitulé </w:t>
      </w:r>
      <w:r>
        <w:rPr>
          <w:rFonts w:cs="Times New Roman"/>
          <w:noProof/>
          <w:szCs w:val="20"/>
        </w:rPr>
        <w:t>« </w:t>
      </w:r>
      <w:r w:rsidRPr="00A50C6D">
        <w:t xml:space="preserve">Building Résilience </w:t>
      </w:r>
      <w:r w:rsidRPr="00400CCD">
        <w:t xml:space="preserve">in </w:t>
      </w:r>
      <w:proofErr w:type="spellStart"/>
      <w:r w:rsidRPr="00400CCD">
        <w:t>Indian</w:t>
      </w:r>
      <w:proofErr w:type="spellEnd"/>
      <w:r w:rsidRPr="00400CCD">
        <w:t xml:space="preserve"> </w:t>
      </w:r>
      <w:proofErr w:type="spellStart"/>
      <w:r w:rsidRPr="00400CCD">
        <w:t>Ocean</w:t>
      </w:r>
      <w:proofErr w:type="spellEnd"/>
      <w:r>
        <w:t xml:space="preserve"> » visant la r</w:t>
      </w:r>
      <w:r w:rsidRPr="006F418C">
        <w:rPr>
          <w:rFonts w:cs="Times New Roman"/>
          <w:noProof/>
          <w:szCs w:val="20"/>
        </w:rPr>
        <w:t>égionalisation de</w:t>
      </w:r>
      <w:r>
        <w:rPr>
          <w:rFonts w:cs="Times New Roman"/>
          <w:noProof/>
          <w:szCs w:val="20"/>
        </w:rPr>
        <w:t xml:space="preserve"> </w:t>
      </w:r>
      <w:r w:rsidRPr="006F418C">
        <w:rPr>
          <w:rFonts w:cs="Times New Roman"/>
          <w:noProof/>
          <w:szCs w:val="20"/>
        </w:rPr>
        <w:t>simulations climatiques haute</w:t>
      </w:r>
      <w:r>
        <w:rPr>
          <w:rFonts w:cs="Times New Roman"/>
          <w:noProof/>
          <w:szCs w:val="20"/>
        </w:rPr>
        <w:t xml:space="preserve"> </w:t>
      </w:r>
      <w:r w:rsidRPr="006F418C">
        <w:rPr>
          <w:rFonts w:cs="Times New Roman"/>
          <w:noProof/>
          <w:szCs w:val="20"/>
        </w:rPr>
        <w:t>résolution</w:t>
      </w:r>
      <w:r>
        <w:rPr>
          <w:rFonts w:cs="Times New Roman"/>
          <w:noProof/>
          <w:szCs w:val="20"/>
        </w:rPr>
        <w:t xml:space="preserve"> </w:t>
      </w:r>
      <w:r w:rsidRPr="006F418C">
        <w:rPr>
          <w:rFonts w:cs="Times New Roman"/>
          <w:noProof/>
          <w:szCs w:val="20"/>
        </w:rPr>
        <w:t>et</w:t>
      </w:r>
      <w:r>
        <w:rPr>
          <w:rFonts w:cs="Times New Roman"/>
          <w:noProof/>
          <w:szCs w:val="20"/>
        </w:rPr>
        <w:t xml:space="preserve"> </w:t>
      </w:r>
      <w:r w:rsidRPr="006F418C">
        <w:rPr>
          <w:rFonts w:cs="Times New Roman"/>
          <w:noProof/>
          <w:szCs w:val="20"/>
        </w:rPr>
        <w:t>de renforcement des capacités des services météorologiques » des pays de l'océan Indien est financé sur</w:t>
      </w:r>
      <w:r>
        <w:rPr>
          <w:rFonts w:cs="Times New Roman"/>
          <w:noProof/>
          <w:szCs w:val="20"/>
        </w:rPr>
        <w:t xml:space="preserve"> </w:t>
      </w:r>
      <w:r w:rsidRPr="006F418C">
        <w:rPr>
          <w:rFonts w:cs="Times New Roman"/>
          <w:noProof/>
          <w:szCs w:val="20"/>
        </w:rPr>
        <w:t xml:space="preserve">la Facilité Adapt'Action de </w:t>
      </w:r>
      <w:r w:rsidR="00D35677">
        <w:rPr>
          <w:rFonts w:cs="Times New Roman"/>
          <w:noProof/>
          <w:szCs w:val="20"/>
        </w:rPr>
        <w:t>l’</w:t>
      </w:r>
      <w:r w:rsidRPr="006F418C">
        <w:rPr>
          <w:rFonts w:cs="Times New Roman"/>
          <w:noProof/>
          <w:szCs w:val="20"/>
        </w:rPr>
        <w:t>AFD.</w:t>
      </w:r>
      <w:r>
        <w:rPr>
          <w:rFonts w:cs="Times New Roman"/>
          <w:noProof/>
          <w:szCs w:val="20"/>
        </w:rPr>
        <w:t xml:space="preserve"> </w:t>
      </w:r>
      <w:r w:rsidRPr="006F418C">
        <w:rPr>
          <w:szCs w:val="20"/>
        </w:rPr>
        <w:t>La</w:t>
      </w:r>
      <w:r>
        <w:t xml:space="preserve"> phase opérationnelle du</w:t>
      </w:r>
      <w:r w:rsidRPr="00A50C6D">
        <w:t xml:space="preserve"> projet BRIO est </w:t>
      </w:r>
      <w:r>
        <w:t xml:space="preserve">achevée en décembre 2022 </w:t>
      </w:r>
      <w:r w:rsidRPr="00A50C6D">
        <w:t>et le rapport d’activité e</w:t>
      </w:r>
      <w:r>
        <w:t xml:space="preserve">st en cours de validation. Ce projet a été mise en œuvre avec l’appui technique de Météo France Réunion. L’audit final et la clôture du projet sont prévus d’ici septembre 2023. </w:t>
      </w:r>
    </w:p>
    <w:p w14:paraId="21AF775B" w14:textId="5263BE47" w:rsidR="00D30A0A" w:rsidRDefault="00D30A0A" w:rsidP="00D30A0A">
      <w:r>
        <w:t>Au cours de l’année 2022, l’ensemble des activités prévues ont été réalisées, avec notamment le 11</w:t>
      </w:r>
      <w:r w:rsidRPr="00B11364">
        <w:rPr>
          <w:vertAlign w:val="superscript"/>
        </w:rPr>
        <w:t>ème</w:t>
      </w:r>
      <w:r>
        <w:t xml:space="preserve"> SWIOCOF, la réunion de restitution des résultats et un important travail de synthèse et de communication (Annexe 1)</w:t>
      </w:r>
      <w:r w:rsidR="00D02F8E">
        <w:t>.</w:t>
      </w:r>
      <w:r>
        <w:t xml:space="preserve"> Une réunion de restitution de ce projet </w:t>
      </w:r>
      <w:r w:rsidR="00D02F8E">
        <w:t xml:space="preserve">a été </w:t>
      </w:r>
      <w:r w:rsidR="00D02F8E">
        <w:lastRenderedPageBreak/>
        <w:t>organisée aux</w:t>
      </w:r>
      <w:r>
        <w:t xml:space="preserve"> Seychelles avec le soutien de l’autorité de la Météorologie de</w:t>
      </w:r>
      <w:r w:rsidR="00D02F8E">
        <w:t>s</w:t>
      </w:r>
      <w:r>
        <w:t xml:space="preserve"> Seychelles et de Météo France en septembre 2022 en marge </w:t>
      </w:r>
      <w:r w:rsidR="00D02F8E">
        <w:t>du</w:t>
      </w:r>
      <w:r>
        <w:t xml:space="preserve"> SWIOCOF. Un bilan de ce projet et l’analyse des passerelles et articulations avec le projet Hydromet de la COI et CREWS de l’OMM ont structuré ces échanges. </w:t>
      </w:r>
    </w:p>
    <w:p w14:paraId="6382B44D" w14:textId="3105CED9" w:rsidR="00D30A0A" w:rsidRDefault="00D30A0A" w:rsidP="00D30A0A">
      <w:r>
        <w:t>Les points forts du projet BRIO sont : la formation de 4 agents des services de la météorologie de nos Etats membres ; l’organisation de 4 sessions de prévision</w:t>
      </w:r>
      <w:r w:rsidR="002169DA">
        <w:t>s</w:t>
      </w:r>
      <w:r>
        <w:t xml:space="preserve"> saisonnière</w:t>
      </w:r>
      <w:r w:rsidR="002169DA">
        <w:t>s</w:t>
      </w:r>
      <w:r>
        <w:t xml:space="preserve"> (SWIOCOF) ; la déclination des modèles climatiques dédié</w:t>
      </w:r>
      <w:r w:rsidR="002169DA">
        <w:t>s</w:t>
      </w:r>
      <w:r>
        <w:t xml:space="preserve"> à la région et le développement d’un </w:t>
      </w:r>
      <w:r w:rsidRPr="00913061">
        <w:rPr>
          <w:i/>
          <w:iCs/>
        </w:rPr>
        <w:t>Géo Portail Climat</w:t>
      </w:r>
      <w:r>
        <w:t xml:space="preserve"> héberg</w:t>
      </w:r>
      <w:r w:rsidR="002169DA">
        <w:t>é</w:t>
      </w:r>
      <w:r>
        <w:t xml:space="preserve"> par la COI. Les retombées de ce projet seront capitalisées durant la mise en œuvre du projet Hydromet. Malgré la bonne réalisation de ce projet un point d’attention est maintenu pour que l’accès aux données issus des modèles climatiques mis en place au travers du projet BRIO soient rendus disponibles sur le site du Géoportail. </w:t>
      </w:r>
    </w:p>
    <w:p w14:paraId="284BCA70" w14:textId="77777777" w:rsidR="00D30A0A" w:rsidRPr="00516753" w:rsidRDefault="00D30A0A" w:rsidP="00913061">
      <w:pPr>
        <w:pStyle w:val="Sous-partie2"/>
      </w:pPr>
      <w:r w:rsidRPr="00516753">
        <w:t>Alliance mondiale pour le changement climatique (AMCC +)</w:t>
      </w:r>
    </w:p>
    <w:p w14:paraId="746797A2" w14:textId="02A8158C" w:rsidR="00EB0CF1" w:rsidRDefault="00D30A0A" w:rsidP="00D30A0A">
      <w:r>
        <w:t xml:space="preserve">Ce projet est une subvention obtenue à travers le programme de l’Alliance </w:t>
      </w:r>
      <w:r w:rsidR="00C22FAA">
        <w:t>m</w:t>
      </w:r>
      <w:r>
        <w:t>ondiale pour le climat port</w:t>
      </w:r>
      <w:r w:rsidR="00C22FAA">
        <w:t>é</w:t>
      </w:r>
      <w:r>
        <w:t xml:space="preserve"> par </w:t>
      </w:r>
      <w:r w:rsidR="00C22FAA">
        <w:t>l’OEACP sur financement de</w:t>
      </w:r>
      <w:r>
        <w:t xml:space="preserve"> l’Union </w:t>
      </w:r>
      <w:r w:rsidR="00C22FAA">
        <w:t>e</w:t>
      </w:r>
      <w:r>
        <w:t>uropéenne. C</w:t>
      </w:r>
      <w:r w:rsidR="00C22FAA">
        <w:t xml:space="preserve">e </w:t>
      </w:r>
      <w:r>
        <w:t xml:space="preserve">projet </w:t>
      </w:r>
      <w:r w:rsidR="00C22FAA">
        <w:t>vise</w:t>
      </w:r>
      <w:r>
        <w:t xml:space="preserve"> le </w:t>
      </w:r>
      <w:r w:rsidR="00C22FAA">
        <w:t xml:space="preserve">renforcement </w:t>
      </w:r>
      <w:r>
        <w:t>de</w:t>
      </w:r>
      <w:r w:rsidR="00C22FAA">
        <w:t>s</w:t>
      </w:r>
      <w:r>
        <w:t xml:space="preserve"> capacités</w:t>
      </w:r>
      <w:r w:rsidR="00C67656">
        <w:t xml:space="preserve"> pour les négociations climatiques et le suivi de la mise en œuvre des engagements, dont les contributions nationales déterminées, à travers des</w:t>
      </w:r>
      <w:r>
        <w:t xml:space="preserve"> formations et des ateliers nationaux et régionaux et</w:t>
      </w:r>
      <w:r w:rsidR="00C67656">
        <w:t xml:space="preserve"> un</w:t>
      </w:r>
      <w:r>
        <w:t xml:space="preserve"> appui à la participation des pays à la COP sur le climat. Le démarrage du projet a été retardé en raison de la pandémie en 2020 et 2021, de sorte qu'il n'a pas été possible de réaliser les activités initialement prévu</w:t>
      </w:r>
      <w:r w:rsidR="00FA0A28">
        <w:t>e</w:t>
      </w:r>
      <w:r>
        <w:t xml:space="preserve">s. Toutefois, le Secrétariat a entamé des échanges avec les pays, a organisé les comités de pilotage permettant </w:t>
      </w:r>
      <w:r w:rsidR="00FA0A28">
        <w:t>de soutenir</w:t>
      </w:r>
      <w:r>
        <w:t xml:space="preserve"> la participation des pays </w:t>
      </w:r>
      <w:r w:rsidR="00EB0CF1">
        <w:t>aux</w:t>
      </w:r>
      <w:r>
        <w:t xml:space="preserve"> COP 26 et 27 </w:t>
      </w:r>
      <w:r w:rsidR="00EB0CF1">
        <w:t xml:space="preserve">sur </w:t>
      </w:r>
      <w:r>
        <w:t xml:space="preserve">le climat. </w:t>
      </w:r>
    </w:p>
    <w:p w14:paraId="55C801BD" w14:textId="5EDA275A" w:rsidR="00CF5FD5" w:rsidRDefault="00EB0CF1" w:rsidP="00D30A0A">
      <w:r>
        <w:t>Un concours régional de photographies</w:t>
      </w:r>
      <w:r w:rsidR="00CF5FD5">
        <w:t xml:space="preserve"> sensibilisant sur les effets du changement climatique a également été organisé et un livre rassemblant les photos retenues par un jury indépendant a été produit et valorisé. </w:t>
      </w:r>
    </w:p>
    <w:p w14:paraId="23C8E3C1" w14:textId="77777777" w:rsidR="00775F87" w:rsidRDefault="00D30A0A" w:rsidP="00D30A0A">
      <w:r>
        <w:t xml:space="preserve">En décembre 2022, l’Union européenne a effectué un exercice de suivi (ROM - </w:t>
      </w:r>
      <w:proofErr w:type="spellStart"/>
      <w:r>
        <w:t>Results</w:t>
      </w:r>
      <w:proofErr w:type="spellEnd"/>
      <w:r>
        <w:t xml:space="preserve"> </w:t>
      </w:r>
      <w:proofErr w:type="spellStart"/>
      <w:r>
        <w:t>Oriented</w:t>
      </w:r>
      <w:proofErr w:type="spellEnd"/>
      <w:r>
        <w:t xml:space="preserve"> Monitoring). Les conclusions de cet exercice ont confirmé les recommandations du Comité de Pilotage qui a permis au Secrétariat de réorienter certaines activités et d’initier la démarche pour une demande de prolongation de la durée de la subvention. La demande d’avenant et de réallocation des fonds est en cours de préparation et sera soumise à l'UE.</w:t>
      </w:r>
    </w:p>
    <w:p w14:paraId="7EA1E3B4" w14:textId="06D71840" w:rsidR="00D30A0A" w:rsidRDefault="00D30A0A" w:rsidP="00D30A0A">
      <w:r>
        <w:t>Entretemps avec le soutien du projet et le Commonwealth, Maurice organise des formations sur la négociation pour des groupes cible</w:t>
      </w:r>
      <w:r w:rsidR="00775F87">
        <w:t>s</w:t>
      </w:r>
      <w:r w:rsidR="007F56FA">
        <w:t xml:space="preserve">, dont la </w:t>
      </w:r>
      <w:r>
        <w:t>COI</w:t>
      </w:r>
      <w:r w:rsidR="007F56FA">
        <w:t xml:space="preserve">. </w:t>
      </w:r>
      <w:r w:rsidR="006E669E">
        <w:t xml:space="preserve">Le projet apportera également son soutien à la </w:t>
      </w:r>
      <w:proofErr w:type="spellStart"/>
      <w:r>
        <w:t>co-organise</w:t>
      </w:r>
      <w:proofErr w:type="spellEnd"/>
      <w:r>
        <w:t xml:space="preserve"> avec les Seychelles </w:t>
      </w:r>
      <w:r w:rsidR="006E669E">
        <w:t xml:space="preserve">de </w:t>
      </w:r>
      <w:r>
        <w:t xml:space="preserve">la réunion technique de la Commission climat des états insulaire de l’Afrique du 10 au 12 mai. Il est à rappeler que ce projet a mis en place une facilité pour accompagner les pays à organiser les ateliers nationaux ou pour accompagner un processus national portant sur le climat. </w:t>
      </w:r>
      <w:r w:rsidRPr="00AC5C21">
        <w:t>Ces actions devraient contribuer à une participation active des Etats membres de la COI à la COP 28 sur le climat en décembre 2023.</w:t>
      </w:r>
      <w:r>
        <w:t xml:space="preserve"> </w:t>
      </w:r>
    </w:p>
    <w:p w14:paraId="23A9795D" w14:textId="77777777" w:rsidR="00D30A0A" w:rsidRPr="0082050D" w:rsidRDefault="00D30A0A" w:rsidP="00913061">
      <w:pPr>
        <w:pStyle w:val="Sous-partie2"/>
      </w:pPr>
      <w:r>
        <w:t>HYDROMET</w:t>
      </w:r>
    </w:p>
    <w:p w14:paraId="37A199C3" w14:textId="18217F2E" w:rsidR="00D30A0A" w:rsidRPr="0082050D" w:rsidRDefault="00D30A0A" w:rsidP="00D30A0A">
      <w:pPr>
        <w:rPr>
          <w:szCs w:val="20"/>
        </w:rPr>
      </w:pPr>
      <w:r w:rsidRPr="0082050D">
        <w:rPr>
          <w:szCs w:val="20"/>
        </w:rPr>
        <w:t>Le</w:t>
      </w:r>
      <w:r>
        <w:rPr>
          <w:szCs w:val="20"/>
        </w:rPr>
        <w:t>s Conventions de financement entre la COI et l</w:t>
      </w:r>
      <w:r w:rsidR="00AE253F">
        <w:rPr>
          <w:szCs w:val="20"/>
        </w:rPr>
        <w:t>’</w:t>
      </w:r>
      <w:r>
        <w:rPr>
          <w:szCs w:val="20"/>
        </w:rPr>
        <w:t>AFD ont été signé</w:t>
      </w:r>
      <w:r w:rsidR="00AE253F">
        <w:rPr>
          <w:szCs w:val="20"/>
        </w:rPr>
        <w:t>es</w:t>
      </w:r>
      <w:r>
        <w:rPr>
          <w:szCs w:val="20"/>
        </w:rPr>
        <w:t xml:space="preserve"> en 2021. Ce projet multi</w:t>
      </w:r>
      <w:r w:rsidR="00AE253F">
        <w:rPr>
          <w:szCs w:val="20"/>
        </w:rPr>
        <w:t>-</w:t>
      </w:r>
      <w:r>
        <w:rPr>
          <w:szCs w:val="20"/>
        </w:rPr>
        <w:t>bailleurs avec les contributions des Etats membre</w:t>
      </w:r>
      <w:r w:rsidR="00AE253F">
        <w:rPr>
          <w:szCs w:val="20"/>
        </w:rPr>
        <w:t>s</w:t>
      </w:r>
      <w:r>
        <w:rPr>
          <w:szCs w:val="20"/>
        </w:rPr>
        <w:t xml:space="preserve"> bénéficiaire</w:t>
      </w:r>
      <w:r w:rsidR="00AE253F">
        <w:rPr>
          <w:szCs w:val="20"/>
        </w:rPr>
        <w:t>s</w:t>
      </w:r>
      <w:r>
        <w:rPr>
          <w:szCs w:val="20"/>
        </w:rPr>
        <w:t xml:space="preserve"> </w:t>
      </w:r>
      <w:r w:rsidRPr="0082050D">
        <w:rPr>
          <w:szCs w:val="20"/>
        </w:rPr>
        <w:t>(financements GCF, AFD, EU)</w:t>
      </w:r>
      <w:r>
        <w:rPr>
          <w:szCs w:val="20"/>
        </w:rPr>
        <w:t xml:space="preserve"> a démarré en octobre 2022 après avoir réuni toutes les conditions demandées par le Fond</w:t>
      </w:r>
      <w:r w:rsidR="00AE253F">
        <w:rPr>
          <w:szCs w:val="20"/>
        </w:rPr>
        <w:t>s</w:t>
      </w:r>
      <w:r>
        <w:rPr>
          <w:szCs w:val="20"/>
        </w:rPr>
        <w:t xml:space="preserve"> Vert pour le </w:t>
      </w:r>
      <w:r w:rsidR="00680E2D">
        <w:rPr>
          <w:szCs w:val="20"/>
        </w:rPr>
        <w:t>Climat.</w:t>
      </w:r>
    </w:p>
    <w:p w14:paraId="4D94916D" w14:textId="2DD580FC" w:rsidR="00D30A0A" w:rsidRPr="0082050D" w:rsidRDefault="00D30A0A" w:rsidP="00D30A0A">
      <w:pPr>
        <w:rPr>
          <w:b/>
          <w:bCs/>
          <w:szCs w:val="20"/>
        </w:rPr>
      </w:pPr>
      <w:r w:rsidRPr="0082050D">
        <w:rPr>
          <w:szCs w:val="20"/>
        </w:rPr>
        <w:t xml:space="preserve">Les objectifs du projet </w:t>
      </w:r>
      <w:r w:rsidR="00AE253F">
        <w:rPr>
          <w:szCs w:val="20"/>
        </w:rPr>
        <w:t>pour</w:t>
      </w:r>
      <w:r w:rsidR="00AE253F" w:rsidRPr="0082050D">
        <w:rPr>
          <w:szCs w:val="20"/>
        </w:rPr>
        <w:t xml:space="preserve"> une durée de 5 ans </w:t>
      </w:r>
      <w:r w:rsidRPr="0082050D">
        <w:rPr>
          <w:szCs w:val="20"/>
        </w:rPr>
        <w:t>sont :</w:t>
      </w:r>
      <w:r>
        <w:rPr>
          <w:szCs w:val="20"/>
        </w:rPr>
        <w:t xml:space="preserve"> </w:t>
      </w:r>
    </w:p>
    <w:p w14:paraId="579BD64B" w14:textId="77777777" w:rsidR="00D30A0A" w:rsidRPr="0082050D" w:rsidRDefault="00D30A0A" w:rsidP="00D30A0A">
      <w:pPr>
        <w:pStyle w:val="Paragraphedeliste"/>
        <w:numPr>
          <w:ilvl w:val="0"/>
          <w:numId w:val="28"/>
        </w:numPr>
        <w:spacing w:before="120" w:after="120" w:line="250" w:lineRule="auto"/>
        <w:ind w:left="851" w:hanging="284"/>
        <w:rPr>
          <w:szCs w:val="20"/>
        </w:rPr>
      </w:pPr>
      <w:r w:rsidRPr="0082050D">
        <w:rPr>
          <w:szCs w:val="20"/>
        </w:rPr>
        <w:t>Le renforcement institutionnel, les réformes et le développement des capacités aux niveaux régional et national, et l'engagement public-privé (y compris le RCC).</w:t>
      </w:r>
    </w:p>
    <w:p w14:paraId="1078D0F8" w14:textId="77777777" w:rsidR="00D30A0A" w:rsidRPr="0082050D" w:rsidRDefault="00D30A0A" w:rsidP="00D30A0A">
      <w:pPr>
        <w:pStyle w:val="Paragraphedeliste"/>
        <w:numPr>
          <w:ilvl w:val="0"/>
          <w:numId w:val="28"/>
        </w:numPr>
        <w:spacing w:before="120" w:after="120" w:line="250" w:lineRule="auto"/>
        <w:ind w:left="851" w:hanging="284"/>
        <w:rPr>
          <w:szCs w:val="20"/>
        </w:rPr>
      </w:pPr>
      <w:r w:rsidRPr="0082050D">
        <w:rPr>
          <w:szCs w:val="20"/>
        </w:rPr>
        <w:t xml:space="preserve">Améliorer et moderniser les systèmes et services hydrométéorologiques qui fourniront aux utilisateurs des informations opportunes, fiables et précises pour </w:t>
      </w:r>
      <w:r w:rsidRPr="0082050D">
        <w:rPr>
          <w:szCs w:val="20"/>
        </w:rPr>
        <w:lastRenderedPageBreak/>
        <w:t>prévenir, atténuer et s'adapter aux risques liés au climat et au changement climatique,</w:t>
      </w:r>
    </w:p>
    <w:p w14:paraId="05F565C8" w14:textId="77777777" w:rsidR="00D30A0A" w:rsidRPr="0082050D" w:rsidRDefault="00D30A0A" w:rsidP="00D30A0A">
      <w:pPr>
        <w:pStyle w:val="Paragraphedeliste"/>
        <w:numPr>
          <w:ilvl w:val="0"/>
          <w:numId w:val="28"/>
        </w:numPr>
        <w:spacing w:before="120" w:after="120" w:line="250" w:lineRule="auto"/>
        <w:ind w:left="851" w:hanging="284"/>
        <w:rPr>
          <w:szCs w:val="20"/>
        </w:rPr>
      </w:pPr>
      <w:r w:rsidRPr="0082050D">
        <w:rPr>
          <w:szCs w:val="20"/>
        </w:rPr>
        <w:t xml:space="preserve">Renforcer l'utilisation des services climatiques, établir une prévision multirisque basée sur l'impact et un système d'alerte précoce (MH-IBF-EWA) soutenu par un système d'aide à la connaissance et à la décision, et améliorer la capacité à mettre en œuvre une prévision multirisque basée sur l'impact et des services d'alerte précoce (MH-IBF-EWS) centrés sur les personnes. </w:t>
      </w:r>
    </w:p>
    <w:p w14:paraId="324E5929" w14:textId="77777777" w:rsidR="00D30A0A" w:rsidRPr="00AC5C21" w:rsidRDefault="00D30A0A" w:rsidP="00D30A0A">
      <w:pPr>
        <w:rPr>
          <w:szCs w:val="20"/>
        </w:rPr>
      </w:pPr>
      <w:r w:rsidRPr="0082050D">
        <w:rPr>
          <w:szCs w:val="20"/>
        </w:rPr>
        <w:t xml:space="preserve">L’ensemble des parties prenantes du projet a été réuni le 25 janvier 2023 pour </w:t>
      </w:r>
      <w:r w:rsidRPr="00AC5C21">
        <w:rPr>
          <w:szCs w:val="20"/>
        </w:rPr>
        <w:t xml:space="preserve">partager un point d’avancement, s’accorder sur les étapes à suivre au premier semestre 2023. Ainsi, le premier semestre 2023 est consacré : </w:t>
      </w:r>
    </w:p>
    <w:p w14:paraId="02BF59E2" w14:textId="1C3FBD82" w:rsidR="00D30A0A" w:rsidRPr="00AC5C21" w:rsidRDefault="00C45BB6" w:rsidP="00D30A0A">
      <w:pPr>
        <w:pStyle w:val="Paragraphedeliste"/>
        <w:numPr>
          <w:ilvl w:val="0"/>
          <w:numId w:val="28"/>
        </w:numPr>
        <w:spacing w:before="120" w:after="120" w:line="250" w:lineRule="auto"/>
        <w:ind w:left="851" w:hanging="284"/>
        <w:rPr>
          <w:szCs w:val="20"/>
        </w:rPr>
      </w:pPr>
      <w:r w:rsidRPr="00AC5C21">
        <w:rPr>
          <w:szCs w:val="20"/>
        </w:rPr>
        <w:t>À</w:t>
      </w:r>
      <w:r w:rsidR="00D30A0A" w:rsidRPr="00AC5C21">
        <w:rPr>
          <w:szCs w:val="20"/>
        </w:rPr>
        <w:t xml:space="preserve"> la mise en place de l’unité de gestion. Cela comprend le recrutement et à la mise en place de l’équipe d’assistance technique internationale, le recrutement des coordinateurs nationaux du projet et le recrutement des personnels en appui au projet. </w:t>
      </w:r>
    </w:p>
    <w:p w14:paraId="01E7DA5E" w14:textId="77777777" w:rsidR="00D30A0A" w:rsidRPr="00AC5C21" w:rsidRDefault="00D30A0A" w:rsidP="00D30A0A">
      <w:pPr>
        <w:pStyle w:val="Paragraphedeliste"/>
        <w:numPr>
          <w:ilvl w:val="0"/>
          <w:numId w:val="28"/>
        </w:numPr>
        <w:spacing w:before="120" w:after="120" w:line="250" w:lineRule="auto"/>
        <w:ind w:left="851" w:hanging="284"/>
        <w:rPr>
          <w:szCs w:val="20"/>
        </w:rPr>
      </w:pPr>
      <w:r w:rsidRPr="00AC5C21">
        <w:rPr>
          <w:szCs w:val="20"/>
        </w:rPr>
        <w:t xml:space="preserve">Les deux premiers rapports de mise en œuvre du projet </w:t>
      </w:r>
      <w:r w:rsidRPr="00AC5C21">
        <w:t xml:space="preserve">(FP 161 </w:t>
      </w:r>
      <w:proofErr w:type="spellStart"/>
      <w:r w:rsidRPr="00AC5C21">
        <w:t>Annual</w:t>
      </w:r>
      <w:proofErr w:type="spellEnd"/>
      <w:r w:rsidRPr="00AC5C21">
        <w:t xml:space="preserve"> Performance Report CY2022 et Inception report 2022) ont été transmis aux instances de suivi de projet du GCF. Pour rappel l’AFD est l’interlocuteur direct de GCF et l’UE sur ce projet et a une responsabilité contractuelle à déposer les rapports au GCF. </w:t>
      </w:r>
    </w:p>
    <w:p w14:paraId="36B10285" w14:textId="66C8B38C" w:rsidR="00D30A0A" w:rsidRDefault="002B7B26" w:rsidP="00D30A0A">
      <w:pPr>
        <w:pStyle w:val="Paragraphedeliste"/>
        <w:numPr>
          <w:ilvl w:val="0"/>
          <w:numId w:val="28"/>
        </w:numPr>
        <w:spacing w:before="120" w:after="120" w:line="250" w:lineRule="auto"/>
        <w:ind w:left="851" w:hanging="284"/>
        <w:rPr>
          <w:szCs w:val="20"/>
        </w:rPr>
      </w:pPr>
      <w:r w:rsidRPr="00154074">
        <w:t>À</w:t>
      </w:r>
      <w:r w:rsidR="00D30A0A" w:rsidRPr="00154074">
        <w:t xml:space="preserve"> la poursuite du travail étroit de coordination </w:t>
      </w:r>
      <w:r w:rsidR="00D30A0A" w:rsidRPr="00154074">
        <w:rPr>
          <w:szCs w:val="20"/>
        </w:rPr>
        <w:t>avec les autres Organisation</w:t>
      </w:r>
      <w:r>
        <w:rPr>
          <w:szCs w:val="20"/>
        </w:rPr>
        <w:t>s</w:t>
      </w:r>
      <w:r w:rsidR="00D30A0A" w:rsidRPr="00154074">
        <w:rPr>
          <w:szCs w:val="20"/>
        </w:rPr>
        <w:t xml:space="preserve"> régionales, Etats bénéficiaires et partenaires des autres projets « climat, hydrologie, risque</w:t>
      </w:r>
      <w:r>
        <w:rPr>
          <w:szCs w:val="20"/>
        </w:rPr>
        <w:t>s</w:t>
      </w:r>
      <w:r w:rsidR="00D30A0A" w:rsidRPr="00154074">
        <w:rPr>
          <w:szCs w:val="20"/>
        </w:rPr>
        <w:t xml:space="preserve"> climatiques et météo » </w:t>
      </w:r>
      <w:r w:rsidR="00222997" w:rsidRPr="00154074">
        <w:rPr>
          <w:szCs w:val="20"/>
        </w:rPr>
        <w:t>en cours</w:t>
      </w:r>
      <w:r w:rsidR="00D30A0A" w:rsidRPr="00154074">
        <w:rPr>
          <w:szCs w:val="20"/>
        </w:rPr>
        <w:t xml:space="preserve"> dans la région</w:t>
      </w:r>
      <w:r w:rsidR="00DE3E2C">
        <w:rPr>
          <w:szCs w:val="20"/>
        </w:rPr>
        <w:t xml:space="preserve"> </w:t>
      </w:r>
      <w:r w:rsidR="00D30A0A" w:rsidRPr="00154074">
        <w:rPr>
          <w:szCs w:val="20"/>
        </w:rPr>
        <w:t xml:space="preserve">(notamment CREWS, </w:t>
      </w:r>
      <w:proofErr w:type="spellStart"/>
      <w:r w:rsidR="00D30A0A" w:rsidRPr="00154074">
        <w:rPr>
          <w:szCs w:val="20"/>
        </w:rPr>
        <w:t>CLimSa</w:t>
      </w:r>
      <w:proofErr w:type="spellEnd"/>
      <w:r w:rsidR="00D30A0A" w:rsidRPr="00154074">
        <w:rPr>
          <w:szCs w:val="20"/>
        </w:rPr>
        <w:t>, SOFF, JICA etc..).</w:t>
      </w:r>
    </w:p>
    <w:p w14:paraId="3FBA85E6" w14:textId="77777777" w:rsidR="00D30A0A" w:rsidRPr="003D4608" w:rsidRDefault="00D30A0A" w:rsidP="00D30A0A">
      <w:pPr>
        <w:pStyle w:val="Paragraphedeliste"/>
        <w:numPr>
          <w:ilvl w:val="0"/>
          <w:numId w:val="28"/>
        </w:numPr>
        <w:spacing w:before="120" w:after="120" w:line="250" w:lineRule="auto"/>
        <w:ind w:left="851" w:hanging="284"/>
        <w:rPr>
          <w:szCs w:val="20"/>
        </w:rPr>
      </w:pPr>
      <w:r w:rsidRPr="003D4608">
        <w:rPr>
          <w:szCs w:val="20"/>
        </w:rPr>
        <w:t xml:space="preserve">A la préparation d’un évènement de communication pour le lancement officiel du projet HYDROMET. Cet évènement pourra se tenir en marge d’une réunion politique de la COI </w:t>
      </w:r>
      <w:r w:rsidRPr="003D4608">
        <w:t xml:space="preserve">soulignant ainsi l’engagement de l’ensemble des parties prenantes dans le domaine d’intervention </w:t>
      </w:r>
      <w:r w:rsidRPr="003D4608">
        <w:rPr>
          <w:szCs w:val="20"/>
        </w:rPr>
        <w:t>visant à contribuer à la résilience et l’amélioration climatique et environnementale.</w:t>
      </w:r>
    </w:p>
    <w:p w14:paraId="71AF95BA" w14:textId="6375A67C" w:rsidR="00D30A0A" w:rsidRPr="00154074" w:rsidRDefault="00D30A0A" w:rsidP="00D30A0A">
      <w:pPr>
        <w:pStyle w:val="Paragraphedeliste"/>
        <w:numPr>
          <w:ilvl w:val="0"/>
          <w:numId w:val="28"/>
        </w:numPr>
        <w:spacing w:before="120" w:after="120" w:line="250" w:lineRule="auto"/>
        <w:ind w:left="851" w:hanging="284"/>
        <w:rPr>
          <w:szCs w:val="20"/>
        </w:rPr>
      </w:pPr>
      <w:r w:rsidRPr="00154074">
        <w:rPr>
          <w:szCs w:val="20"/>
        </w:rPr>
        <w:t>A la préparation du premier comité de Pilotage régional ainsi que la mise en place des Comité</w:t>
      </w:r>
      <w:r w:rsidR="00DE3E2C">
        <w:rPr>
          <w:szCs w:val="20"/>
        </w:rPr>
        <w:t>s</w:t>
      </w:r>
      <w:r w:rsidRPr="00154074">
        <w:rPr>
          <w:szCs w:val="20"/>
        </w:rPr>
        <w:t xml:space="preserve"> de pilotage nationaux sous la présidence du Point focal national.</w:t>
      </w:r>
    </w:p>
    <w:p w14:paraId="78100437" w14:textId="1F87284A" w:rsidR="00D30A0A" w:rsidRPr="00154074" w:rsidRDefault="00D30A0A" w:rsidP="00D30A0A">
      <w:pPr>
        <w:rPr>
          <w:szCs w:val="20"/>
        </w:rPr>
      </w:pPr>
      <w:r w:rsidRPr="00154074">
        <w:rPr>
          <w:szCs w:val="20"/>
        </w:rPr>
        <w:t>A noter enfin la reprise de l’animation du</w:t>
      </w:r>
      <w:r w:rsidR="00B61E4F">
        <w:rPr>
          <w:szCs w:val="20"/>
        </w:rPr>
        <w:t xml:space="preserve"> Forum de prévisions saisonnières du Sud-Ouest de l’océan Indien (</w:t>
      </w:r>
      <w:r w:rsidRPr="00154074">
        <w:rPr>
          <w:szCs w:val="20"/>
        </w:rPr>
        <w:t>SWIOCOF</w:t>
      </w:r>
      <w:r w:rsidR="00B61E4F">
        <w:rPr>
          <w:szCs w:val="20"/>
        </w:rPr>
        <w:t>)</w:t>
      </w:r>
      <w:r w:rsidRPr="00154074">
        <w:rPr>
          <w:szCs w:val="20"/>
        </w:rPr>
        <w:t xml:space="preserve"> par le projet </w:t>
      </w:r>
      <w:r>
        <w:rPr>
          <w:szCs w:val="20"/>
        </w:rPr>
        <w:t>HYDROMET</w:t>
      </w:r>
      <w:r w:rsidRPr="00154074">
        <w:rPr>
          <w:szCs w:val="20"/>
        </w:rPr>
        <w:t xml:space="preserve">. </w:t>
      </w:r>
    </w:p>
    <w:p w14:paraId="197EB7BB" w14:textId="77777777" w:rsidR="00D30A0A" w:rsidRPr="00421563" w:rsidRDefault="00D30A0A" w:rsidP="00913061">
      <w:pPr>
        <w:pStyle w:val="Sous-partie2"/>
      </w:pPr>
      <w:r w:rsidRPr="00421563">
        <w:t>Projet RDRM</w:t>
      </w:r>
      <w:r>
        <w:t xml:space="preserve"> - IO</w:t>
      </w:r>
    </w:p>
    <w:p w14:paraId="2D5B3D41" w14:textId="20B26918" w:rsidR="00D30A0A" w:rsidRDefault="00D30A0A" w:rsidP="00D30A0A">
      <w:r w:rsidRPr="00532ED4">
        <w:t xml:space="preserve">Le projet </w:t>
      </w:r>
      <w:r w:rsidR="00B61E4F">
        <w:t xml:space="preserve">de </w:t>
      </w:r>
      <w:r w:rsidR="00AE0A87">
        <w:t xml:space="preserve">renforcement de la résilience et de la réponse aux risques de </w:t>
      </w:r>
      <w:r w:rsidRPr="00532ED4">
        <w:t xml:space="preserve">catastrophes </w:t>
      </w:r>
      <w:r w:rsidR="00AE0A87">
        <w:t xml:space="preserve">(RDRM-IO) </w:t>
      </w:r>
      <w:r w:rsidRPr="00532ED4">
        <w:t>dont la Convention de financement a été signée entre la COI et l’Union européenne en décembre 2020</w:t>
      </w:r>
      <w:r>
        <w:t xml:space="preserve"> est en cours</w:t>
      </w:r>
      <w:r w:rsidRPr="00532ED4">
        <w:t xml:space="preserve">. Ce projet vise le renforcement des capacités des instituions des Etats membres de la COI en matière de la réduction, gestion et réponses aux catastrophes. Pour sa mise en œuvre, le Secrétariat travaille en </w:t>
      </w:r>
      <w:r>
        <w:t xml:space="preserve">étroite </w:t>
      </w:r>
      <w:r w:rsidRPr="00532ED4">
        <w:t xml:space="preserve">collaboration avec </w:t>
      </w:r>
      <w:r>
        <w:t xml:space="preserve">le bureau des </w:t>
      </w:r>
      <w:r w:rsidR="00934D01">
        <w:t>N</w:t>
      </w:r>
      <w:r>
        <w:t>ations Unie pour la réduction des risques de catastrophe</w:t>
      </w:r>
      <w:r w:rsidR="00934D01">
        <w:t>s</w:t>
      </w:r>
      <w:r>
        <w:t xml:space="preserve"> (</w:t>
      </w:r>
      <w:r w:rsidRPr="00532ED4">
        <w:t>UNDRR</w:t>
      </w:r>
      <w:r>
        <w:t>)</w:t>
      </w:r>
      <w:r w:rsidRPr="00532ED4">
        <w:t xml:space="preserve">, la </w:t>
      </w:r>
      <w:r>
        <w:t>Plateforme d’intervention régional</w:t>
      </w:r>
      <w:r w:rsidR="00934D01">
        <w:t>e</w:t>
      </w:r>
      <w:r>
        <w:t xml:space="preserve"> de l’océan Indien (</w:t>
      </w:r>
      <w:r w:rsidRPr="00532ED4">
        <w:t>PIROI</w:t>
      </w:r>
      <w:r>
        <w:t>)</w:t>
      </w:r>
      <w:r w:rsidRPr="00532ED4">
        <w:t xml:space="preserve"> et la délégation de l’Union européenne à Maurice. Deux contrats de subvention directe ont été signé</w:t>
      </w:r>
      <w:r w:rsidR="00934D01">
        <w:t>s</w:t>
      </w:r>
      <w:r w:rsidRPr="00532ED4">
        <w:t xml:space="preserve"> entre (i) la PIROI et la délégation de l’UE en mai 2021, et (ii) UNDRR</w:t>
      </w:r>
      <w:r w:rsidRPr="00532ED4">
        <w:rPr>
          <w:rStyle w:val="Appelnotedebasdep"/>
        </w:rPr>
        <w:footnoteReference w:id="1"/>
      </w:r>
      <w:r w:rsidRPr="00532ED4">
        <w:t xml:space="preserve"> et l’UE.</w:t>
      </w:r>
      <w:r>
        <w:t xml:space="preserve"> Pour rappel, le Secr</w:t>
      </w:r>
      <w:r w:rsidR="00934D01">
        <w:t>é</w:t>
      </w:r>
      <w:r>
        <w:t>tariat général de la COI assure la coordination globale de ce projet. Pour assurer cette coordination, le Secr</w:t>
      </w:r>
      <w:r w:rsidR="002D04AB">
        <w:t>é</w:t>
      </w:r>
      <w:r>
        <w:t xml:space="preserve">tariat a recruté un agent qui est en poste depuis mi-décembre 2022. </w:t>
      </w:r>
    </w:p>
    <w:p w14:paraId="2049A28F" w14:textId="23B163C5" w:rsidR="00D30A0A" w:rsidRDefault="00D30A0A" w:rsidP="00D30A0A">
      <w:r w:rsidRPr="00154074">
        <w:t xml:space="preserve">Un exercice de suivi </w:t>
      </w:r>
      <w:r w:rsidR="002D04AB">
        <w:t>axé sur les</w:t>
      </w:r>
      <w:r w:rsidRPr="00154074">
        <w:t xml:space="preserve"> résultats (ROM- </w:t>
      </w:r>
      <w:proofErr w:type="spellStart"/>
      <w:r w:rsidRPr="00154074">
        <w:t>Result</w:t>
      </w:r>
      <w:proofErr w:type="spellEnd"/>
      <w:r w:rsidRPr="00154074">
        <w:t xml:space="preserve"> </w:t>
      </w:r>
      <w:proofErr w:type="spellStart"/>
      <w:r w:rsidRPr="00154074">
        <w:t>Oriented</w:t>
      </w:r>
      <w:proofErr w:type="spellEnd"/>
      <w:r w:rsidRPr="00154074">
        <w:t xml:space="preserve"> Monitoring) commandité par l’UE a révélé certaines lacunes au niveau de la coordination et la communication de ce projet. Pour remédier, le Secretariat général a mis en place des mécanismes pour améliorer la coordination entre les entités de mise en œuvre (PIROI, UNDRR, COI). Des réunions mensuelles sont organisées avec la PIROI et UNDRR. Ces réunions permettent également </w:t>
      </w:r>
      <w:r w:rsidRPr="00154074">
        <w:lastRenderedPageBreak/>
        <w:t>de faire un suivi sur les activités mise en œuvre par chaque partenaire. Parallèlement, un consultant en temps partiel en communication est en cours de recrutement pour améliorer la communication et visibilité de ce projet.</w:t>
      </w:r>
      <w:r>
        <w:t xml:space="preserve"> Dans le même temps le Secrétariat prévoit de mettre en ligne des bulletins d’information combiné à destination des </w:t>
      </w:r>
      <w:proofErr w:type="spellStart"/>
      <w:r>
        <w:t>PFNs</w:t>
      </w:r>
      <w:proofErr w:type="spellEnd"/>
      <w:r>
        <w:t xml:space="preserve">. </w:t>
      </w:r>
    </w:p>
    <w:p w14:paraId="43EE076A" w14:textId="4F62286E" w:rsidR="00D30A0A" w:rsidRDefault="00D30A0A" w:rsidP="00D30A0A">
      <w:r>
        <w:t xml:space="preserve">En perspective la tenue du 2eme comité de Pilotage, des ateliers d’échanges </w:t>
      </w:r>
      <w:r w:rsidR="00D554F6">
        <w:t xml:space="preserve">entre les pairs </w:t>
      </w:r>
      <w:r>
        <w:t xml:space="preserve">en collaboration avec UNDRR </w:t>
      </w:r>
      <w:r w:rsidR="001C7BD1">
        <w:t>seront organisés avec des</w:t>
      </w:r>
      <w:r>
        <w:t xml:space="preserve"> session</w:t>
      </w:r>
      <w:r w:rsidR="001C7BD1">
        <w:t>s</w:t>
      </w:r>
      <w:r>
        <w:t xml:space="preserve"> dédi</w:t>
      </w:r>
      <w:r w:rsidR="001C7BD1">
        <w:t>é</w:t>
      </w:r>
      <w:r>
        <w:t>e</w:t>
      </w:r>
      <w:r w:rsidR="001C7BD1">
        <w:t>s</w:t>
      </w:r>
      <w:r>
        <w:t xml:space="preserve"> aux retours d’expériences sur la période cyclonique (annexe 3).</w:t>
      </w:r>
    </w:p>
    <w:p w14:paraId="01A39CF7" w14:textId="77777777" w:rsidR="00D30A0A" w:rsidRPr="00B55953" w:rsidRDefault="00D30A0A" w:rsidP="00913061">
      <w:pPr>
        <w:pStyle w:val="Sous-partie2"/>
      </w:pPr>
      <w:r w:rsidRPr="00B55953">
        <w:t xml:space="preserve">Programme CLIMSA </w:t>
      </w:r>
    </w:p>
    <w:p w14:paraId="7CC96D2B" w14:textId="2793AF6F" w:rsidR="00D30A0A" w:rsidRDefault="00D30A0A" w:rsidP="00D30A0A">
      <w:pPr>
        <w:rPr>
          <w:color w:val="4472C4" w:themeColor="accent1"/>
        </w:rPr>
      </w:pPr>
      <w:r>
        <w:t xml:space="preserve">Le programme CLIMSA est un programme de partenariat entre </w:t>
      </w:r>
      <w:r w:rsidRPr="00B55953">
        <w:t>l'Union européenne (UE)</w:t>
      </w:r>
      <w:r>
        <w:t xml:space="preserve"> et </w:t>
      </w:r>
      <w:r w:rsidRPr="00B55953">
        <w:t xml:space="preserve">l’Organisation des États d'Afrique, des Caraïbes et du Pacifique (OACPS) </w:t>
      </w:r>
      <w:r>
        <w:t xml:space="preserve">sur les </w:t>
      </w:r>
      <w:r w:rsidRPr="00B55953">
        <w:t>services climatiques et d'applications connexes (</w:t>
      </w:r>
      <w:proofErr w:type="spellStart"/>
      <w:r w:rsidRPr="00B55953">
        <w:t>ClimSA</w:t>
      </w:r>
      <w:proofErr w:type="spellEnd"/>
      <w:r w:rsidRPr="00B55953">
        <w:t>), dans le cadre du 11e Fonds européen de développement (FED).</w:t>
      </w:r>
      <w:r>
        <w:t xml:space="preserve"> Ce programme a comme </w:t>
      </w:r>
      <w:r w:rsidRPr="00B55953">
        <w:t xml:space="preserve">objectifs de fournir aux membres </w:t>
      </w:r>
      <w:r>
        <w:t>des O</w:t>
      </w:r>
      <w:r w:rsidR="00447D92">
        <w:t>E</w:t>
      </w:r>
      <w:r>
        <w:t xml:space="preserve">ACP </w:t>
      </w:r>
      <w:r w:rsidRPr="00B55953">
        <w:t>et aux régions de l'O</w:t>
      </w:r>
      <w:r w:rsidR="00447D92">
        <w:t>E</w:t>
      </w:r>
      <w:r w:rsidRPr="00B55953">
        <w:t>ACP des solutions innovantes et collaboratives pour gérer les considérations de risques liés au climat dans leurs décisions politiques, de planification et de pratique en matière de développement durable, en (i) contribuant à renforcer la production, la disponibilité, la livraison et l'application d'informations scientifiques ; et (ii) en renforçant les capacités des décideurs à tous les niveaux</w:t>
      </w:r>
      <w:r w:rsidRPr="00B55953">
        <w:rPr>
          <w:color w:val="4472C4" w:themeColor="accent1"/>
        </w:rPr>
        <w:t>.</w:t>
      </w:r>
    </w:p>
    <w:p w14:paraId="566E08BA" w14:textId="393B5877" w:rsidR="00D30A0A" w:rsidRDefault="00D30A0A" w:rsidP="00D30A0A">
      <w:pPr>
        <w:rPr>
          <w:b/>
          <w:bCs/>
        </w:rPr>
      </w:pPr>
      <w:r>
        <w:t xml:space="preserve">Ce projet </w:t>
      </w:r>
      <w:r w:rsidR="00447D92">
        <w:t>coordonné par l’</w:t>
      </w:r>
      <w:r>
        <w:t>O</w:t>
      </w:r>
      <w:r w:rsidR="00447D92">
        <w:t>E</w:t>
      </w:r>
      <w:r>
        <w:t>ACP est mis en œuvre par des Organisations régiona</w:t>
      </w:r>
      <w:r w:rsidR="00447D92">
        <w:t>les</w:t>
      </w:r>
      <w:r>
        <w:t xml:space="preserve"> en Afrique, Caraïbe et Pacifique ainsi que l</w:t>
      </w:r>
      <w:r w:rsidR="00447D92">
        <w:t>’</w:t>
      </w:r>
      <w:r>
        <w:t xml:space="preserve">OMM. Couvrant la région de l’océan Indien, trois organisations régionales sont impliquées dans la mise en œuvre, l’UA, </w:t>
      </w:r>
      <w:r w:rsidR="00447D92">
        <w:t>l</w:t>
      </w:r>
      <w:r>
        <w:t>a SADC et la COI à travers le projet HYDROMET. L’OMM apporte également un soutien a tou</w:t>
      </w:r>
      <w:r w:rsidR="005031A9">
        <w:t>te</w:t>
      </w:r>
      <w:r>
        <w:t xml:space="preserve">s </w:t>
      </w:r>
      <w:r w:rsidR="005031A9">
        <w:t>c</w:t>
      </w:r>
      <w:r>
        <w:t>es organisations. La COI participe à ce projet dans le cadre du projet HYDROMET et les Etats membre de la COI bénéficie</w:t>
      </w:r>
      <w:r w:rsidR="005031A9">
        <w:t>nt</w:t>
      </w:r>
      <w:r>
        <w:t xml:space="preserve"> également </w:t>
      </w:r>
      <w:r w:rsidR="005031A9">
        <w:t xml:space="preserve">du programme CLIMSA </w:t>
      </w:r>
      <w:r>
        <w:t>à travers les activités mené</w:t>
      </w:r>
      <w:r w:rsidR="005031A9">
        <w:t>es</w:t>
      </w:r>
      <w:r>
        <w:t xml:space="preserve"> par l’OMM, la SADC, et l’UA. Les services météorologies de</w:t>
      </w:r>
      <w:r w:rsidR="005031A9">
        <w:t>s</w:t>
      </w:r>
      <w:r>
        <w:t xml:space="preserve"> Comores, Madagascar, Maurice et Seychelles bénéficieront des matériels informatiques et logiciels dédié</w:t>
      </w:r>
      <w:r w:rsidR="005031A9">
        <w:t>s (</w:t>
      </w:r>
      <w:r w:rsidRPr="00651150">
        <w:t>PUMA Stations</w:t>
      </w:r>
      <w:r w:rsidR="005031A9">
        <w:t>)</w:t>
      </w:r>
      <w:r w:rsidRPr="00651150">
        <w:t xml:space="preserve"> et </w:t>
      </w:r>
      <w:r w:rsidR="005031A9">
        <w:t xml:space="preserve">de </w:t>
      </w:r>
      <w:r w:rsidRPr="00651150">
        <w:t>formation</w:t>
      </w:r>
      <w:r w:rsidR="005031A9">
        <w:t xml:space="preserve">s, </w:t>
      </w:r>
      <w:r>
        <w:t>entre autres</w:t>
      </w:r>
      <w:r w:rsidRPr="00BA6488">
        <w:t xml:space="preserve">. </w:t>
      </w:r>
      <w:r>
        <w:t xml:space="preserve">Il est à rappeler qu’une facilitation des Etats pour lever les frais liés aux impôts et la sortie des douanes de </w:t>
      </w:r>
      <w:r w:rsidR="00D23E70">
        <w:t>c</w:t>
      </w:r>
      <w:r>
        <w:t xml:space="preserve">es matériels sera nécessaire. </w:t>
      </w:r>
    </w:p>
    <w:p w14:paraId="5651A18F" w14:textId="6638B122" w:rsidR="00D30A0A" w:rsidRPr="00B55953" w:rsidRDefault="00D30A0A" w:rsidP="00D30A0A">
      <w:r>
        <w:t>Chaque année, durant la période de mise en œuvre, un forum qui réuni</w:t>
      </w:r>
      <w:r w:rsidR="00D23E70">
        <w:t>t</w:t>
      </w:r>
      <w:r>
        <w:t xml:space="preserve"> l’ensemble des acteurs impliqués dans la mise en œuvre est organisé dans une des régions pour échanger sur les service</w:t>
      </w:r>
      <w:r w:rsidR="00D23E70">
        <w:t>s</w:t>
      </w:r>
      <w:r>
        <w:t xml:space="preserve"> et produit</w:t>
      </w:r>
      <w:r w:rsidR="00D23E70">
        <w:t>s</w:t>
      </w:r>
      <w:r>
        <w:t xml:space="preserve"> développ</w:t>
      </w:r>
      <w:r w:rsidR="00D23E70">
        <w:t>és</w:t>
      </w:r>
      <w:r>
        <w:t xml:space="preserve"> dans le cadre de ce projet. </w:t>
      </w:r>
    </w:p>
    <w:p w14:paraId="14AFCA90" w14:textId="77777777" w:rsidR="00D30A0A" w:rsidRPr="0082050D" w:rsidRDefault="00D30A0A" w:rsidP="00913061">
      <w:pPr>
        <w:pStyle w:val="Sous-partie2"/>
      </w:pPr>
      <w:r w:rsidRPr="0082050D">
        <w:t xml:space="preserve">Partenariats : </w:t>
      </w:r>
    </w:p>
    <w:p w14:paraId="36FAA119" w14:textId="4D21B733" w:rsidR="00D30A0A" w:rsidRDefault="00D30A0A" w:rsidP="00D30A0A">
      <w:r w:rsidRPr="009A6CF6">
        <w:t>Pour répondre aux attentes des Etats membres dans ce domaine d’intervention, le Secrétariat général entretient un dialogue étroit avec les organisations régionales et panafricain</w:t>
      </w:r>
      <w:r w:rsidR="00311A6C">
        <w:t>e</w:t>
      </w:r>
      <w:r w:rsidRPr="009A6CF6">
        <w:t>s ainsi que les institutions nationales pour assurer une cohérence dans les actions, des synergies, des complémentarités et éviter les duplications.</w:t>
      </w:r>
      <w:r w:rsidRPr="00532ED4">
        <w:t xml:space="preserve"> </w:t>
      </w:r>
    </w:p>
    <w:p w14:paraId="48030B0E" w14:textId="310084E1" w:rsidR="00D30A0A" w:rsidRDefault="00311A6C" w:rsidP="00D30A0A">
      <w:r>
        <w:t>Ainsi, l</w:t>
      </w:r>
      <w:r w:rsidR="00D30A0A">
        <w:t>’accord des instances de la COI est recherché pour établir les accords avec les Organisations suivant</w:t>
      </w:r>
      <w:r>
        <w:t>e</w:t>
      </w:r>
      <w:r w:rsidR="00D30A0A">
        <w:t xml:space="preserve">s : </w:t>
      </w:r>
    </w:p>
    <w:p w14:paraId="37CC0329" w14:textId="498489E5" w:rsidR="00D30A0A" w:rsidRDefault="00311A6C" w:rsidP="00D30A0A">
      <w:pPr>
        <w:pStyle w:val="Paragraphedeliste"/>
        <w:numPr>
          <w:ilvl w:val="1"/>
          <w:numId w:val="27"/>
        </w:numPr>
        <w:spacing w:before="120" w:after="120" w:line="250" w:lineRule="auto"/>
      </w:pPr>
      <w:r>
        <w:t>O</w:t>
      </w:r>
      <w:r w:rsidR="00D30A0A">
        <w:t xml:space="preserve">rganisation mondiale de la météorologie (OMM). </w:t>
      </w:r>
    </w:p>
    <w:p w14:paraId="28A20507" w14:textId="5F753E86" w:rsidR="00D30A0A" w:rsidRDefault="003C184F" w:rsidP="00D30A0A">
      <w:pPr>
        <w:pStyle w:val="Paragraphedeliste"/>
        <w:numPr>
          <w:ilvl w:val="0"/>
          <w:numId w:val="0"/>
        </w:numPr>
        <w:ind w:left="785"/>
      </w:pPr>
      <w:r>
        <w:t>L</w:t>
      </w:r>
      <w:r w:rsidR="00D30A0A">
        <w:t>a COI</w:t>
      </w:r>
      <w:r>
        <w:t xml:space="preserve"> et l’OMM disposent </w:t>
      </w:r>
      <w:r w:rsidR="00D30A0A">
        <w:t xml:space="preserve">déjà </w:t>
      </w:r>
      <w:r>
        <w:t>d’</w:t>
      </w:r>
      <w:r w:rsidR="00D30A0A">
        <w:t>un Accord</w:t>
      </w:r>
      <w:r>
        <w:t>-</w:t>
      </w:r>
      <w:r w:rsidR="00D30A0A">
        <w:t xml:space="preserve">Cadre de Partenariat depuis 2014. Capitalisant sur cet accord, </w:t>
      </w:r>
      <w:r w:rsidR="00FB5770">
        <w:t xml:space="preserve">il est proposé une </w:t>
      </w:r>
      <w:r w:rsidR="00D30A0A">
        <w:t>convention spécifique dans le cadre du projet CREWS porté par l’OMM sur les alertes précoces</w:t>
      </w:r>
      <w:r w:rsidR="00FB5770">
        <w:t xml:space="preserve"> afin d’</w:t>
      </w:r>
      <w:r w:rsidR="00D30A0A">
        <w:t>assurer la coordination avec le projet Hydromet. La COI pourra bénéficier des expertises et des résultats des études entreprises par le projet CREWS pour appuyer la mise en œuvre du projet Hydromet et pour éviter les doublons sur les activités.</w:t>
      </w:r>
    </w:p>
    <w:p w14:paraId="6AA79BCE" w14:textId="0ECCADDB" w:rsidR="00D30A0A" w:rsidRDefault="00D30A0A" w:rsidP="00D30A0A">
      <w:pPr>
        <w:pStyle w:val="Paragraphedeliste"/>
        <w:numPr>
          <w:ilvl w:val="1"/>
          <w:numId w:val="27"/>
        </w:numPr>
        <w:spacing w:before="120" w:after="120" w:line="250" w:lineRule="auto"/>
        <w:ind w:left="783"/>
        <w:rPr>
          <w:lang w:val="en-US"/>
        </w:rPr>
      </w:pPr>
      <w:r w:rsidRPr="002C1BB6">
        <w:rPr>
          <w:lang w:val="en-US"/>
        </w:rPr>
        <w:t xml:space="preserve">Commonwealth </w:t>
      </w:r>
    </w:p>
    <w:p w14:paraId="3B112BDE" w14:textId="70B90ABB" w:rsidR="00D30A0A" w:rsidRDefault="00D30A0A" w:rsidP="00D30A0A">
      <w:pPr>
        <w:pStyle w:val="Paragraphedeliste"/>
        <w:numPr>
          <w:ilvl w:val="0"/>
          <w:numId w:val="0"/>
        </w:numPr>
        <w:ind w:left="785"/>
      </w:pPr>
      <w:r w:rsidRPr="00DC1089">
        <w:t xml:space="preserve">La COI a </w:t>
      </w:r>
      <w:r w:rsidRPr="002C1BB6">
        <w:t>bénéficié</w:t>
      </w:r>
      <w:r w:rsidRPr="00DC1089">
        <w:t xml:space="preserve"> de l’appui du </w:t>
      </w:r>
      <w:r w:rsidRPr="002C1BB6">
        <w:t>Secr</w:t>
      </w:r>
      <w:r w:rsidR="00341AA6">
        <w:t>é</w:t>
      </w:r>
      <w:r>
        <w:t>tariat du Commonwealth depuis 2005 sur la question de</w:t>
      </w:r>
      <w:r w:rsidR="00341AA6">
        <w:t>s</w:t>
      </w:r>
      <w:r>
        <w:t xml:space="preserve"> Petit</w:t>
      </w:r>
      <w:r w:rsidR="00341AA6">
        <w:t>s</w:t>
      </w:r>
      <w:r>
        <w:t xml:space="preserve"> </w:t>
      </w:r>
      <w:r w:rsidR="00341AA6">
        <w:t>E</w:t>
      </w:r>
      <w:r>
        <w:t>tats insulaires en développement dans le cadre de la Conf</w:t>
      </w:r>
      <w:r w:rsidR="00341AA6">
        <w:t>é</w:t>
      </w:r>
      <w:r>
        <w:t xml:space="preserve">rence des </w:t>
      </w:r>
      <w:r w:rsidR="00341AA6">
        <w:t>N</w:t>
      </w:r>
      <w:r>
        <w:t xml:space="preserve">ations </w:t>
      </w:r>
      <w:r w:rsidR="00341AA6">
        <w:t>u</w:t>
      </w:r>
      <w:r>
        <w:t xml:space="preserve">nies pour les PEID. Un expert a été déployé à la COI pour appuyer le </w:t>
      </w:r>
      <w:r>
        <w:lastRenderedPageBreak/>
        <w:t>Secr</w:t>
      </w:r>
      <w:r w:rsidR="00341AA6">
        <w:t>é</w:t>
      </w:r>
      <w:r>
        <w:t>tariat sur cette question. En 2012, le Secr</w:t>
      </w:r>
      <w:r w:rsidR="00341AA6">
        <w:t>é</w:t>
      </w:r>
      <w:r>
        <w:t xml:space="preserve">tariat du Commonwealth, à appuyer la COI dans le cadre du projet ISLANDS pour la mise en place </w:t>
      </w:r>
      <w:r w:rsidR="00C66E46">
        <w:t>d’</w:t>
      </w:r>
      <w:r>
        <w:t xml:space="preserve">un cadre de partenariat </w:t>
      </w:r>
      <w:r w:rsidR="00C66E46">
        <w:t>avec le</w:t>
      </w:r>
      <w:r>
        <w:t>s organisations régiona</w:t>
      </w:r>
      <w:r w:rsidR="00C66E46">
        <w:t xml:space="preserve">les des </w:t>
      </w:r>
      <w:r>
        <w:t xml:space="preserve">Caraïbes et </w:t>
      </w:r>
      <w:r w:rsidR="00C66E46">
        <w:t xml:space="preserve">du </w:t>
      </w:r>
      <w:r>
        <w:t xml:space="preserve">Pacifique sur la résilience climatique. La COI siège sur le comité de Coordination/pilotage du </w:t>
      </w:r>
      <w:r w:rsidRPr="009A6CF6">
        <w:t xml:space="preserve">Commonwealth </w:t>
      </w:r>
      <w:proofErr w:type="spellStart"/>
      <w:r w:rsidRPr="009A6CF6">
        <w:t>Climate</w:t>
      </w:r>
      <w:proofErr w:type="spellEnd"/>
      <w:r w:rsidRPr="009A6CF6">
        <w:t xml:space="preserve"> Finance Access Hub depuis son installation à Maurice. Vu le réseau d’expertise </w:t>
      </w:r>
      <w:r w:rsidR="00825FED">
        <w:t>dont</w:t>
      </w:r>
      <w:r w:rsidR="00825FED" w:rsidRPr="009A6CF6">
        <w:t xml:space="preserve"> </w:t>
      </w:r>
      <w:r w:rsidRPr="009A6CF6">
        <w:t>dispose le Commonwealth sur la question de changement climatique, un dialogue s’est établi en marge de la COP 27 sur le climat entre les Secrétaires généraux de</w:t>
      </w:r>
      <w:r w:rsidR="00825FED">
        <w:t>s</w:t>
      </w:r>
      <w:r w:rsidRPr="009A6CF6">
        <w:t xml:space="preserve"> deux organisations en vue de renouvel</w:t>
      </w:r>
      <w:r w:rsidR="00825FED">
        <w:t>er</w:t>
      </w:r>
      <w:r w:rsidRPr="009A6CF6">
        <w:t xml:space="preserve"> la collaboration et de formaliser la relation</w:t>
      </w:r>
      <w:r>
        <w:t xml:space="preserve"> de travail. Il est proposé dans un premier temps de mettre en place un accord spécifique portant sur l’accès au finance climat pour les </w:t>
      </w:r>
      <w:r w:rsidR="00825FED">
        <w:t>E</w:t>
      </w:r>
      <w:r>
        <w:t xml:space="preserve">tats insulaires. </w:t>
      </w:r>
    </w:p>
    <w:p w14:paraId="1CCCAB0F" w14:textId="4AC1A90D" w:rsidR="00D30A0A" w:rsidRDefault="00D30A0A" w:rsidP="00D30A0A">
      <w:r>
        <w:t xml:space="preserve">Entretemps la COI a été sollicitée pour se joindre aux réflexions engagées par la République de Maurice dans le cadre de la « Taskforce on Access to </w:t>
      </w:r>
      <w:proofErr w:type="spellStart"/>
      <w:r>
        <w:t>Climate</w:t>
      </w:r>
      <w:proofErr w:type="spellEnd"/>
      <w:r>
        <w:t xml:space="preserve"> Finance » portée par le « </w:t>
      </w:r>
      <w:proofErr w:type="spellStart"/>
      <w:r>
        <w:t>Foreign</w:t>
      </w:r>
      <w:proofErr w:type="spellEnd"/>
      <w:r>
        <w:t xml:space="preserve">, Commonwealth &amp; </w:t>
      </w:r>
      <w:proofErr w:type="spellStart"/>
      <w:r>
        <w:t>Development</w:t>
      </w:r>
      <w:proofErr w:type="spellEnd"/>
      <w:r>
        <w:t xml:space="preserve"> Office » du gouvernement britannique. Cet appui à la mise en place d’un cadre national de mobilisation des fonds climat dans différentes politiques publiques nationales. La COI, en contribuant aux travaux de cette taskforce ouvre une excellente opportunité de retour d’expérience bénéfique pour tous les pays de la zone.</w:t>
      </w:r>
    </w:p>
    <w:p w14:paraId="349E9779" w14:textId="77777777" w:rsidR="000B3ABF" w:rsidRDefault="000B3ABF" w:rsidP="00D30A0A"/>
    <w:p w14:paraId="72CB15E5" w14:textId="77777777" w:rsidR="00D30A0A" w:rsidRPr="000221F2" w:rsidRDefault="00D30A0A" w:rsidP="00913061">
      <w:pPr>
        <w:pStyle w:val="Titrepartie"/>
      </w:pPr>
      <w:r w:rsidRPr="0008468B">
        <w:t>Proposition de décision</w:t>
      </w:r>
    </w:p>
    <w:p w14:paraId="7413DBEA" w14:textId="77777777" w:rsidR="00D30A0A" w:rsidRPr="00532ED4" w:rsidRDefault="00D30A0A" w:rsidP="00D30A0A">
      <w:r w:rsidRPr="00532ED4">
        <w:t>Le Comité des OPL :</w:t>
      </w:r>
    </w:p>
    <w:p w14:paraId="4B4C37EC" w14:textId="44D75D5B" w:rsidR="00D30A0A" w:rsidRDefault="00D30A0A" w:rsidP="00913061">
      <w:pPr>
        <w:pStyle w:val="Paragraphedeliste"/>
        <w:numPr>
          <w:ilvl w:val="0"/>
          <w:numId w:val="30"/>
        </w:numPr>
        <w:spacing w:before="120" w:after="120" w:line="250" w:lineRule="auto"/>
      </w:pPr>
      <w:r>
        <w:t>Prends note des informations fourn</w:t>
      </w:r>
      <w:r w:rsidR="00F812AF">
        <w:t>ies</w:t>
      </w:r>
      <w:r>
        <w:t xml:space="preserve"> sur l’ensemble des projets</w:t>
      </w:r>
      <w:r w:rsidR="00CF3D3C">
        <w:t xml:space="preserve"> et d</w:t>
      </w:r>
      <w:r>
        <w:t xml:space="preserve">emande au </w:t>
      </w:r>
      <w:r w:rsidR="00CF3D3C">
        <w:t>Secrétariat général</w:t>
      </w:r>
      <w:r>
        <w:t xml:space="preserve"> de veiller à une bonne articulation entre </w:t>
      </w:r>
      <w:r w:rsidR="00CF3D3C">
        <w:t>c</w:t>
      </w:r>
      <w:r>
        <w:t>es divers projets</w:t>
      </w:r>
      <w:r w:rsidR="00CF3D3C">
        <w:t> ;</w:t>
      </w:r>
      <w:r>
        <w:t xml:space="preserve"> </w:t>
      </w:r>
    </w:p>
    <w:p w14:paraId="460A2C81" w14:textId="5AA49E31" w:rsidR="00D30A0A" w:rsidRDefault="00D30A0A" w:rsidP="00913061">
      <w:pPr>
        <w:pStyle w:val="Paragraphedeliste"/>
        <w:numPr>
          <w:ilvl w:val="0"/>
          <w:numId w:val="30"/>
        </w:numPr>
        <w:spacing w:before="120" w:after="120" w:line="250" w:lineRule="auto"/>
      </w:pPr>
      <w:r w:rsidRPr="00532ED4">
        <w:t xml:space="preserve">Donne mandat au Secrétaire général d’entamer les échanges avec </w:t>
      </w:r>
      <w:r>
        <w:t>l’</w:t>
      </w:r>
      <w:r w:rsidR="00CF3D3C">
        <w:t>O</w:t>
      </w:r>
      <w:r>
        <w:t>rganisation mondiale de la météorologie (OMM)</w:t>
      </w:r>
      <w:r w:rsidR="00CF3D3C">
        <w:t xml:space="preserve"> et</w:t>
      </w:r>
      <w:r>
        <w:t xml:space="preserve"> le Commonwealth </w:t>
      </w:r>
      <w:proofErr w:type="spellStart"/>
      <w:r>
        <w:t>Climate</w:t>
      </w:r>
      <w:proofErr w:type="spellEnd"/>
      <w:r>
        <w:t xml:space="preserve"> Finance Access Hub en</w:t>
      </w:r>
      <w:r w:rsidRPr="00532ED4">
        <w:t xml:space="preserve"> vue </w:t>
      </w:r>
      <w:r>
        <w:t xml:space="preserve">d’établir </w:t>
      </w:r>
      <w:r w:rsidRPr="00532ED4">
        <w:t>des protocoles d’entente</w:t>
      </w:r>
      <w:r>
        <w:t>.</w:t>
      </w:r>
      <w:r w:rsidRPr="00532ED4">
        <w:t xml:space="preserve"> </w:t>
      </w:r>
    </w:p>
    <w:p w14:paraId="0F5A2D8E" w14:textId="2F58691B" w:rsidR="00D30A0A" w:rsidRDefault="00D30A0A" w:rsidP="00913061">
      <w:pPr>
        <w:pStyle w:val="Paragraphedeliste"/>
        <w:numPr>
          <w:ilvl w:val="0"/>
          <w:numId w:val="30"/>
        </w:numPr>
        <w:spacing w:before="120" w:after="120" w:line="250" w:lineRule="auto"/>
      </w:pPr>
      <w:r>
        <w:t>Soutien</w:t>
      </w:r>
      <w:r w:rsidR="00CF3D3C">
        <w:t>t</w:t>
      </w:r>
      <w:r>
        <w:t xml:space="preserve"> l’engagement du Secr</w:t>
      </w:r>
      <w:r w:rsidR="00CF3D3C">
        <w:t>é</w:t>
      </w:r>
      <w:r>
        <w:t xml:space="preserve">tariat général de la COI au sein de la </w:t>
      </w:r>
      <w:r w:rsidRPr="00913061">
        <w:rPr>
          <w:i/>
          <w:iCs/>
        </w:rPr>
        <w:t xml:space="preserve">Taskforce on Access to </w:t>
      </w:r>
      <w:proofErr w:type="spellStart"/>
      <w:r w:rsidRPr="00913061">
        <w:rPr>
          <w:i/>
          <w:iCs/>
        </w:rPr>
        <w:t>Climate</w:t>
      </w:r>
      <w:proofErr w:type="spellEnd"/>
      <w:r w:rsidRPr="00913061">
        <w:rPr>
          <w:i/>
          <w:iCs/>
        </w:rPr>
        <w:t xml:space="preserve"> Finance</w:t>
      </w:r>
      <w:r>
        <w:t xml:space="preserve"> et </w:t>
      </w:r>
      <w:r w:rsidRPr="00532ED4">
        <w:t>demande au Secrétariat</w:t>
      </w:r>
      <w:r>
        <w:t xml:space="preserve"> de présenter, </w:t>
      </w:r>
      <w:r w:rsidR="00BD2B60">
        <w:t>en partenariat avec les autorités mauriciennes</w:t>
      </w:r>
      <w:r>
        <w:t>, un retour d’expérience de cette démarche</w:t>
      </w:r>
      <w:r w:rsidR="00BD2B60" w:rsidRPr="00BD2B60">
        <w:t xml:space="preserve"> </w:t>
      </w:r>
      <w:r w:rsidR="00BD2B60">
        <w:t>lors d’une prochaine réunion des OPL</w:t>
      </w:r>
      <w:r w:rsidRPr="00532ED4">
        <w:t>.</w:t>
      </w:r>
    </w:p>
    <w:p w14:paraId="11924827" w14:textId="6C00C01A" w:rsidR="00D30A0A" w:rsidRDefault="00D30A0A" w:rsidP="00913061">
      <w:pPr>
        <w:pStyle w:val="Paragraphedeliste"/>
        <w:numPr>
          <w:ilvl w:val="0"/>
          <w:numId w:val="30"/>
        </w:numPr>
        <w:spacing w:before="120" w:after="120" w:line="250" w:lineRule="auto"/>
      </w:pPr>
      <w:r>
        <w:t>D</w:t>
      </w:r>
      <w:r w:rsidRPr="00532ED4">
        <w:t xml:space="preserve">emande au Secrétariat de </w:t>
      </w:r>
      <w:r>
        <w:t>présenter, lors d’une prochaine réunion des instances, un</w:t>
      </w:r>
      <w:r w:rsidR="00EC4923">
        <w:t>e note de</w:t>
      </w:r>
      <w:r>
        <w:t xml:space="preserve"> suivi – évaluation de la mise en œuvre de ces partenariats.</w:t>
      </w:r>
    </w:p>
    <w:p w14:paraId="33E6B00C" w14:textId="77777777" w:rsidR="00D30A0A" w:rsidRDefault="00D30A0A" w:rsidP="00913061">
      <w:pPr>
        <w:pStyle w:val="Paragraphedeliste"/>
        <w:numPr>
          <w:ilvl w:val="0"/>
          <w:numId w:val="30"/>
        </w:numPr>
        <w:spacing w:before="120" w:after="120" w:line="250" w:lineRule="auto"/>
      </w:pPr>
      <w:r>
        <w:t>Demande au Secrétariat général de veiller à une mise en œuvre efficace du projet HYDROMET et r</w:t>
      </w:r>
      <w:r w:rsidRPr="00532ED4">
        <w:t xml:space="preserve">emercie les parties prenantes du projet HYDROMET pour leur contribution dans </w:t>
      </w:r>
      <w:r>
        <w:t xml:space="preserve">cette phase de </w:t>
      </w:r>
      <w:r w:rsidRPr="00532ED4">
        <w:t xml:space="preserve">démarrage du projet. </w:t>
      </w:r>
    </w:p>
    <w:p w14:paraId="33FC98D2" w14:textId="6188099E" w:rsidR="00D30A0A" w:rsidRPr="00532ED4" w:rsidRDefault="00D30A0A" w:rsidP="00913061">
      <w:pPr>
        <w:pStyle w:val="Paragraphedeliste"/>
        <w:numPr>
          <w:ilvl w:val="0"/>
          <w:numId w:val="30"/>
        </w:numPr>
        <w:spacing w:before="120" w:after="120" w:line="250" w:lineRule="auto"/>
      </w:pPr>
      <w:r>
        <w:t xml:space="preserve">Remercie </w:t>
      </w:r>
      <w:r w:rsidR="003D44B7">
        <w:t xml:space="preserve">les partenaires techniques et financiers pour leurs contributions à l’avancement des projets de résilience climatique de la COI, notamment </w:t>
      </w:r>
      <w:r>
        <w:t>l’AFD</w:t>
      </w:r>
      <w:r w:rsidR="003D44B7">
        <w:t xml:space="preserve">, </w:t>
      </w:r>
      <w:r w:rsidR="000B3ABF">
        <w:t xml:space="preserve">l’UE, le Fonds vert, l’OEACP et Météo France. </w:t>
      </w:r>
    </w:p>
    <w:bookmarkEnd w:id="0"/>
    <w:p w14:paraId="7C7F8FAB" w14:textId="77777777" w:rsidR="00D30A0A" w:rsidRDefault="00D30A0A" w:rsidP="00D30A0A"/>
    <w:p w14:paraId="44B79C17" w14:textId="77777777" w:rsidR="00D30A0A" w:rsidRPr="0008468B" w:rsidRDefault="00D30A0A" w:rsidP="00913061">
      <w:pPr>
        <w:pStyle w:val="Titrepartie"/>
      </w:pPr>
      <w:r w:rsidRPr="00CF5BE1">
        <w:t>Annexes</w:t>
      </w:r>
      <w:r w:rsidRPr="0008468B">
        <w:t> :</w:t>
      </w:r>
    </w:p>
    <w:p w14:paraId="52EBF9B1" w14:textId="77777777" w:rsidR="00D30A0A" w:rsidRDefault="00D30A0A" w:rsidP="00D30A0A">
      <w:pPr>
        <w:pStyle w:val="Paragraphe"/>
        <w:numPr>
          <w:ilvl w:val="0"/>
          <w:numId w:val="9"/>
        </w:numPr>
        <w:spacing w:before="120" w:after="120" w:line="250" w:lineRule="auto"/>
      </w:pPr>
      <w:r>
        <w:t>Annexe 1 – Fiche récapitulative du projet BRIO</w:t>
      </w:r>
    </w:p>
    <w:p w14:paraId="41D6E540" w14:textId="77777777" w:rsidR="00D30A0A" w:rsidRDefault="00D30A0A" w:rsidP="00D30A0A">
      <w:pPr>
        <w:pStyle w:val="Paragraphe"/>
        <w:numPr>
          <w:ilvl w:val="0"/>
          <w:numId w:val="9"/>
        </w:numPr>
        <w:spacing w:before="120" w:after="120" w:line="250" w:lineRule="auto"/>
      </w:pPr>
      <w:r>
        <w:t>Annexe 2 – Liens du projet HYDROMET avec les autres projets en cours à la COI</w:t>
      </w:r>
    </w:p>
    <w:p w14:paraId="6C259BF1" w14:textId="77777777" w:rsidR="00D30A0A" w:rsidRDefault="00D30A0A" w:rsidP="00D30A0A">
      <w:pPr>
        <w:pStyle w:val="Paragraphe"/>
        <w:numPr>
          <w:ilvl w:val="0"/>
          <w:numId w:val="9"/>
        </w:numPr>
        <w:spacing w:before="120" w:after="120" w:line="250" w:lineRule="auto"/>
      </w:pPr>
      <w:r>
        <w:t xml:space="preserve">Annexe 3 - Fiche Retours d’expérience sur la saison cyclonique </w:t>
      </w:r>
    </w:p>
    <w:p w14:paraId="70599F32" w14:textId="79E9607F" w:rsidR="00083C79" w:rsidRPr="00D30A0A" w:rsidRDefault="00083C79" w:rsidP="00D30A0A"/>
    <w:sectPr w:rsidR="00083C79" w:rsidRPr="00D30A0A" w:rsidSect="006E74C4">
      <w:headerReference w:type="default" r:id="rId8"/>
      <w:footerReference w:type="default" r:id="rId9"/>
      <w:pgSz w:w="11906" w:h="16838"/>
      <w:pgMar w:top="1702" w:right="1274" w:bottom="1135" w:left="1417"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368B" w14:textId="77777777" w:rsidR="00807AFB" w:rsidRDefault="00807AFB" w:rsidP="000B7CAF">
      <w:r>
        <w:separator/>
      </w:r>
    </w:p>
  </w:endnote>
  <w:endnote w:type="continuationSeparator" w:id="0">
    <w:p w14:paraId="42A2CA14" w14:textId="77777777" w:rsidR="00807AFB" w:rsidRDefault="00807AFB" w:rsidP="000B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13145"/>
      <w:docPartObj>
        <w:docPartGallery w:val="Page Numbers (Bottom of Page)"/>
        <w:docPartUnique/>
      </w:docPartObj>
    </w:sdtPr>
    <w:sdtEndPr/>
    <w:sdtContent>
      <w:p w14:paraId="78BDDE25" w14:textId="0BB7544E" w:rsidR="00E97FAE" w:rsidRDefault="00E97FAE" w:rsidP="00D25E8E">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0CE1E3FC" w14:textId="77777777" w:rsidR="00E97FAE" w:rsidRDefault="00E97F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732A" w14:textId="77777777" w:rsidR="00807AFB" w:rsidRDefault="00807AFB" w:rsidP="000B7CAF">
      <w:r>
        <w:separator/>
      </w:r>
    </w:p>
  </w:footnote>
  <w:footnote w:type="continuationSeparator" w:id="0">
    <w:p w14:paraId="59863E45" w14:textId="77777777" w:rsidR="00807AFB" w:rsidRDefault="00807AFB" w:rsidP="000B7CAF">
      <w:r>
        <w:continuationSeparator/>
      </w:r>
    </w:p>
  </w:footnote>
  <w:footnote w:id="1">
    <w:p w14:paraId="79DC68A1" w14:textId="77777777" w:rsidR="00D30A0A" w:rsidRDefault="00D30A0A" w:rsidP="00D30A0A">
      <w:pPr>
        <w:pStyle w:val="Notedebasdepage"/>
      </w:pPr>
      <w:r>
        <w:rPr>
          <w:rStyle w:val="Appelnotedebasdep"/>
        </w:rPr>
        <w:footnoteRef/>
      </w:r>
      <w:r>
        <w:t xml:space="preserve"> </w:t>
      </w:r>
      <w:r w:rsidRPr="00202605">
        <w:rPr>
          <w:rStyle w:val="PieddepageCar"/>
        </w:rPr>
        <w:t>Bureau</w:t>
      </w:r>
      <w:r>
        <w:t xml:space="preserve"> de nation Unie pour la réduction des risques de catastrophes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EA32" w14:textId="3F9F5483" w:rsidR="006E74C4" w:rsidRDefault="006E74C4" w:rsidP="000B7CAF">
    <w:pPr>
      <w:tabs>
        <w:tab w:val="right" w:pos="8931"/>
      </w:tabs>
    </w:pPr>
    <w:r>
      <w:rPr>
        <w:i/>
        <w:iCs/>
        <w:noProof/>
      </w:rPr>
      <w:drawing>
        <wp:anchor distT="0" distB="0" distL="114300" distR="114300" simplePos="0" relativeHeight="251658240" behindDoc="1" locked="0" layoutInCell="1" allowOverlap="1" wp14:anchorId="09635A91" wp14:editId="6969A20B">
          <wp:simplePos x="0" y="0"/>
          <wp:positionH relativeFrom="column">
            <wp:posOffset>8800</wp:posOffset>
          </wp:positionH>
          <wp:positionV relativeFrom="paragraph">
            <wp:posOffset>-101419</wp:posOffset>
          </wp:positionV>
          <wp:extent cx="832485" cy="377190"/>
          <wp:effectExtent l="0" t="0" r="5715" b="3810"/>
          <wp:wrapTight wrapText="bothSides">
            <wp:wrapPolygon edited="0">
              <wp:start x="0" y="0"/>
              <wp:lineTo x="0" y="20727"/>
              <wp:lineTo x="21254" y="20727"/>
              <wp:lineTo x="2125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3345" name="Image 37463345"/>
                  <pic:cNvPicPr/>
                </pic:nvPicPr>
                <pic:blipFill>
                  <a:blip r:embed="rId1">
                    <a:extLst>
                      <a:ext uri="{28A0092B-C50C-407E-A947-70E740481C1C}">
                        <a14:useLocalDpi xmlns:a14="http://schemas.microsoft.com/office/drawing/2010/main" val="0"/>
                      </a:ext>
                    </a:extLst>
                  </a:blip>
                  <a:stretch>
                    <a:fillRect/>
                  </a:stretch>
                </pic:blipFill>
                <pic:spPr>
                  <a:xfrm>
                    <a:off x="0" y="0"/>
                    <a:ext cx="832485" cy="377190"/>
                  </a:xfrm>
                  <a:prstGeom prst="rect">
                    <a:avLst/>
                  </a:prstGeom>
                </pic:spPr>
              </pic:pic>
            </a:graphicData>
          </a:graphic>
          <wp14:sizeRelH relativeFrom="margin">
            <wp14:pctWidth>0</wp14:pctWidth>
          </wp14:sizeRelH>
          <wp14:sizeRelV relativeFrom="margin">
            <wp14:pctHeight>0</wp14:pctHeight>
          </wp14:sizeRelV>
        </wp:anchor>
      </w:drawing>
    </w:r>
  </w:p>
  <w:p w14:paraId="7FE17793" w14:textId="6D2201F9" w:rsidR="00AA63A3" w:rsidRDefault="003604B9" w:rsidP="006E74C4">
    <w:pPr>
      <w:pBdr>
        <w:bottom w:val="single" w:sz="4" w:space="1" w:color="0070C0"/>
      </w:pBdr>
      <w:tabs>
        <w:tab w:val="right" w:pos="8931"/>
      </w:tabs>
    </w:pPr>
    <w:r>
      <w:tab/>
    </w:r>
    <w:r w:rsidRPr="0018252D">
      <w:t xml:space="preserve">Point. </w:t>
    </w:r>
    <w:r w:rsidR="00C13472">
      <w:t>2.</w:t>
    </w:r>
    <w:r w:rsidR="00D30A0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A6B"/>
    <w:multiLevelType w:val="hybridMultilevel"/>
    <w:tmpl w:val="71100B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B902F2"/>
    <w:multiLevelType w:val="hybridMultilevel"/>
    <w:tmpl w:val="4B0C9FC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383DE5"/>
    <w:multiLevelType w:val="hybridMultilevel"/>
    <w:tmpl w:val="82FA2D34"/>
    <w:lvl w:ilvl="0" w:tplc="A73077F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8" w15:restartNumberingAfterBreak="0">
    <w:nsid w:val="15BA2E03"/>
    <w:multiLevelType w:val="multilevel"/>
    <w:tmpl w:val="BE7873C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530142"/>
    <w:multiLevelType w:val="hybridMultilevel"/>
    <w:tmpl w:val="B9DCA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FC40F9"/>
    <w:multiLevelType w:val="hybridMultilevel"/>
    <w:tmpl w:val="296A0F5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3A333AA"/>
    <w:multiLevelType w:val="hybridMultilevel"/>
    <w:tmpl w:val="665895B6"/>
    <w:lvl w:ilvl="0" w:tplc="0044704E">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7C781C"/>
    <w:multiLevelType w:val="hybridMultilevel"/>
    <w:tmpl w:val="70C6E4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9C616FB"/>
    <w:multiLevelType w:val="hybridMultilevel"/>
    <w:tmpl w:val="7402D4B6"/>
    <w:lvl w:ilvl="0" w:tplc="040C0017">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3B2C3ADE"/>
    <w:multiLevelType w:val="hybridMultilevel"/>
    <w:tmpl w:val="15EE9A68"/>
    <w:lvl w:ilvl="0" w:tplc="06180272">
      <w:start w:val="1"/>
      <w:numFmt w:val="decimal"/>
      <w:lvlText w:val="%1."/>
      <w:lvlJc w:val="left"/>
      <w:pPr>
        <w:ind w:left="567" w:hanging="567"/>
      </w:pPr>
      <w:rPr>
        <w:rFonts w:ascii="Verdana" w:eastAsia="Verdana" w:hAnsi="Verdana" w:cs="Verdana" w:hint="default"/>
        <w:b/>
        <w:bCs/>
        <w:spacing w:val="-1"/>
        <w:w w:val="99"/>
        <w:sz w:val="20"/>
        <w:szCs w:val="20"/>
        <w:lang w:val="fr-FR" w:eastAsia="en-US" w:bidi="ar-SA"/>
      </w:rPr>
    </w:lvl>
    <w:lvl w:ilvl="1" w:tplc="2AD80144">
      <w:start w:val="1"/>
      <w:numFmt w:val="lowerLetter"/>
      <w:lvlText w:val="%2."/>
      <w:lvlJc w:val="left"/>
      <w:pPr>
        <w:ind w:left="785" w:hanging="284"/>
      </w:pPr>
      <w:rPr>
        <w:rFonts w:ascii="Verdana" w:eastAsia="Verdana" w:hAnsi="Verdana" w:cs="Verdana" w:hint="default"/>
        <w:b/>
        <w:bCs/>
        <w:spacing w:val="-2"/>
        <w:w w:val="99"/>
        <w:sz w:val="20"/>
        <w:szCs w:val="20"/>
        <w:lang w:val="fr-FR" w:eastAsia="en-US" w:bidi="ar-SA"/>
      </w:rPr>
    </w:lvl>
    <w:lvl w:ilvl="2" w:tplc="C8866CF6">
      <w:numFmt w:val="bullet"/>
      <w:lvlText w:val="•"/>
      <w:lvlJc w:val="left"/>
      <w:pPr>
        <w:ind w:left="1922" w:hanging="284"/>
      </w:pPr>
      <w:rPr>
        <w:rFonts w:hint="default"/>
        <w:lang w:val="fr-FR" w:eastAsia="en-US" w:bidi="ar-SA"/>
      </w:rPr>
    </w:lvl>
    <w:lvl w:ilvl="3" w:tplc="7750C0C6">
      <w:numFmt w:val="bullet"/>
      <w:lvlText w:val="•"/>
      <w:lvlJc w:val="left"/>
      <w:pPr>
        <w:ind w:left="2905" w:hanging="284"/>
      </w:pPr>
      <w:rPr>
        <w:rFonts w:hint="default"/>
        <w:lang w:val="fr-FR" w:eastAsia="en-US" w:bidi="ar-SA"/>
      </w:rPr>
    </w:lvl>
    <w:lvl w:ilvl="4" w:tplc="E93EA8EA">
      <w:numFmt w:val="bullet"/>
      <w:lvlText w:val="•"/>
      <w:lvlJc w:val="left"/>
      <w:pPr>
        <w:ind w:left="3888" w:hanging="284"/>
      </w:pPr>
      <w:rPr>
        <w:rFonts w:hint="default"/>
        <w:lang w:val="fr-FR" w:eastAsia="en-US" w:bidi="ar-SA"/>
      </w:rPr>
    </w:lvl>
    <w:lvl w:ilvl="5" w:tplc="85BC0C42">
      <w:numFmt w:val="bullet"/>
      <w:lvlText w:val="•"/>
      <w:lvlJc w:val="left"/>
      <w:pPr>
        <w:ind w:left="4871" w:hanging="284"/>
      </w:pPr>
      <w:rPr>
        <w:rFonts w:hint="default"/>
        <w:lang w:val="fr-FR" w:eastAsia="en-US" w:bidi="ar-SA"/>
      </w:rPr>
    </w:lvl>
    <w:lvl w:ilvl="6" w:tplc="98F44A1E">
      <w:numFmt w:val="bullet"/>
      <w:lvlText w:val="•"/>
      <w:lvlJc w:val="left"/>
      <w:pPr>
        <w:ind w:left="5854" w:hanging="284"/>
      </w:pPr>
      <w:rPr>
        <w:rFonts w:hint="default"/>
        <w:lang w:val="fr-FR" w:eastAsia="en-US" w:bidi="ar-SA"/>
      </w:rPr>
    </w:lvl>
    <w:lvl w:ilvl="7" w:tplc="D638B1A6">
      <w:numFmt w:val="bullet"/>
      <w:lvlText w:val="•"/>
      <w:lvlJc w:val="left"/>
      <w:pPr>
        <w:ind w:left="6837" w:hanging="284"/>
      </w:pPr>
      <w:rPr>
        <w:rFonts w:hint="default"/>
        <w:lang w:val="fr-FR" w:eastAsia="en-US" w:bidi="ar-SA"/>
      </w:rPr>
    </w:lvl>
    <w:lvl w:ilvl="8" w:tplc="CB200CBA">
      <w:numFmt w:val="bullet"/>
      <w:lvlText w:val="•"/>
      <w:lvlJc w:val="left"/>
      <w:pPr>
        <w:ind w:left="7820" w:hanging="284"/>
      </w:pPr>
      <w:rPr>
        <w:rFonts w:hint="default"/>
        <w:lang w:val="fr-FR" w:eastAsia="en-US" w:bidi="ar-SA"/>
      </w:rPr>
    </w:lvl>
  </w:abstractNum>
  <w:abstractNum w:abstractNumId="19"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D82896"/>
    <w:multiLevelType w:val="hybridMultilevel"/>
    <w:tmpl w:val="17D6D786"/>
    <w:lvl w:ilvl="0" w:tplc="9A7C076C">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2" w15:restartNumberingAfterBreak="0">
    <w:nsid w:val="4F0C4842"/>
    <w:multiLevelType w:val="hybridMultilevel"/>
    <w:tmpl w:val="296A0F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DB0D7B"/>
    <w:multiLevelType w:val="hybridMultilevel"/>
    <w:tmpl w:val="B0DECDB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6"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27" w15:restartNumberingAfterBreak="0">
    <w:nsid w:val="7D56297B"/>
    <w:multiLevelType w:val="hybridMultilevel"/>
    <w:tmpl w:val="28989B16"/>
    <w:lvl w:ilvl="0" w:tplc="040C0001">
      <w:start w:val="1"/>
      <w:numFmt w:val="bullet"/>
      <w:lvlText w:val=""/>
      <w:lvlJc w:val="left"/>
      <w:pPr>
        <w:ind w:left="1169" w:hanging="360"/>
      </w:pPr>
      <w:rPr>
        <w:rFonts w:ascii="Symbol" w:hAnsi="Symbol" w:hint="default"/>
      </w:rPr>
    </w:lvl>
    <w:lvl w:ilvl="1" w:tplc="040C0003" w:tentative="1">
      <w:start w:val="1"/>
      <w:numFmt w:val="bullet"/>
      <w:lvlText w:val="o"/>
      <w:lvlJc w:val="left"/>
      <w:pPr>
        <w:ind w:left="1889" w:hanging="360"/>
      </w:pPr>
      <w:rPr>
        <w:rFonts w:ascii="Courier New" w:hAnsi="Courier New" w:cs="Courier New" w:hint="default"/>
      </w:rPr>
    </w:lvl>
    <w:lvl w:ilvl="2" w:tplc="040C0005" w:tentative="1">
      <w:start w:val="1"/>
      <w:numFmt w:val="bullet"/>
      <w:lvlText w:val=""/>
      <w:lvlJc w:val="left"/>
      <w:pPr>
        <w:ind w:left="2609" w:hanging="360"/>
      </w:pPr>
      <w:rPr>
        <w:rFonts w:ascii="Wingdings" w:hAnsi="Wingdings" w:hint="default"/>
      </w:rPr>
    </w:lvl>
    <w:lvl w:ilvl="3" w:tplc="040C0001" w:tentative="1">
      <w:start w:val="1"/>
      <w:numFmt w:val="bullet"/>
      <w:lvlText w:val=""/>
      <w:lvlJc w:val="left"/>
      <w:pPr>
        <w:ind w:left="3329" w:hanging="360"/>
      </w:pPr>
      <w:rPr>
        <w:rFonts w:ascii="Symbol" w:hAnsi="Symbol" w:hint="default"/>
      </w:rPr>
    </w:lvl>
    <w:lvl w:ilvl="4" w:tplc="040C0003" w:tentative="1">
      <w:start w:val="1"/>
      <w:numFmt w:val="bullet"/>
      <w:lvlText w:val="o"/>
      <w:lvlJc w:val="left"/>
      <w:pPr>
        <w:ind w:left="4049" w:hanging="360"/>
      </w:pPr>
      <w:rPr>
        <w:rFonts w:ascii="Courier New" w:hAnsi="Courier New" w:cs="Courier New" w:hint="default"/>
      </w:rPr>
    </w:lvl>
    <w:lvl w:ilvl="5" w:tplc="040C0005" w:tentative="1">
      <w:start w:val="1"/>
      <w:numFmt w:val="bullet"/>
      <w:lvlText w:val=""/>
      <w:lvlJc w:val="left"/>
      <w:pPr>
        <w:ind w:left="4769" w:hanging="360"/>
      </w:pPr>
      <w:rPr>
        <w:rFonts w:ascii="Wingdings" w:hAnsi="Wingdings" w:hint="default"/>
      </w:rPr>
    </w:lvl>
    <w:lvl w:ilvl="6" w:tplc="040C0001" w:tentative="1">
      <w:start w:val="1"/>
      <w:numFmt w:val="bullet"/>
      <w:lvlText w:val=""/>
      <w:lvlJc w:val="left"/>
      <w:pPr>
        <w:ind w:left="5489" w:hanging="360"/>
      </w:pPr>
      <w:rPr>
        <w:rFonts w:ascii="Symbol" w:hAnsi="Symbol" w:hint="default"/>
      </w:rPr>
    </w:lvl>
    <w:lvl w:ilvl="7" w:tplc="040C0003" w:tentative="1">
      <w:start w:val="1"/>
      <w:numFmt w:val="bullet"/>
      <w:lvlText w:val="o"/>
      <w:lvlJc w:val="left"/>
      <w:pPr>
        <w:ind w:left="6209" w:hanging="360"/>
      </w:pPr>
      <w:rPr>
        <w:rFonts w:ascii="Courier New" w:hAnsi="Courier New" w:cs="Courier New" w:hint="default"/>
      </w:rPr>
    </w:lvl>
    <w:lvl w:ilvl="8" w:tplc="040C0005" w:tentative="1">
      <w:start w:val="1"/>
      <w:numFmt w:val="bullet"/>
      <w:lvlText w:val=""/>
      <w:lvlJc w:val="left"/>
      <w:pPr>
        <w:ind w:left="6929" w:hanging="360"/>
      </w:pPr>
      <w:rPr>
        <w:rFonts w:ascii="Wingdings" w:hAnsi="Wingdings" w:hint="default"/>
      </w:rPr>
    </w:lvl>
  </w:abstractNum>
  <w:num w:numId="1" w16cid:durableId="284390991">
    <w:abstractNumId w:val="11"/>
  </w:num>
  <w:num w:numId="2" w16cid:durableId="2001032902">
    <w:abstractNumId w:val="24"/>
  </w:num>
  <w:num w:numId="3" w16cid:durableId="326638622">
    <w:abstractNumId w:val="5"/>
  </w:num>
  <w:num w:numId="4" w16cid:durableId="567427041">
    <w:abstractNumId w:val="2"/>
  </w:num>
  <w:num w:numId="5" w16cid:durableId="1714963816">
    <w:abstractNumId w:val="23"/>
  </w:num>
  <w:num w:numId="6" w16cid:durableId="727612033">
    <w:abstractNumId w:val="10"/>
  </w:num>
  <w:num w:numId="7" w16cid:durableId="1973826214">
    <w:abstractNumId w:val="13"/>
  </w:num>
  <w:num w:numId="8" w16cid:durableId="179857260">
    <w:abstractNumId w:val="5"/>
    <w:lvlOverride w:ilvl="0">
      <w:startOverride w:val="1"/>
    </w:lvlOverride>
  </w:num>
  <w:num w:numId="9" w16cid:durableId="69274050">
    <w:abstractNumId w:val="4"/>
  </w:num>
  <w:num w:numId="10" w16cid:durableId="129834370">
    <w:abstractNumId w:val="6"/>
  </w:num>
  <w:num w:numId="11" w16cid:durableId="832061211">
    <w:abstractNumId w:val="14"/>
  </w:num>
  <w:num w:numId="12" w16cid:durableId="832332497">
    <w:abstractNumId w:val="16"/>
  </w:num>
  <w:num w:numId="13" w16cid:durableId="2045250096">
    <w:abstractNumId w:val="1"/>
  </w:num>
  <w:num w:numId="14" w16cid:durableId="321394586">
    <w:abstractNumId w:val="15"/>
  </w:num>
  <w:num w:numId="15" w16cid:durableId="565454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218895">
    <w:abstractNumId w:val="19"/>
  </w:num>
  <w:num w:numId="17" w16cid:durableId="2042509658">
    <w:abstractNumId w:val="27"/>
  </w:num>
  <w:num w:numId="18" w16cid:durableId="774208931">
    <w:abstractNumId w:val="9"/>
  </w:num>
  <w:num w:numId="19" w16cid:durableId="2012373987">
    <w:abstractNumId w:val="20"/>
  </w:num>
  <w:num w:numId="20" w16cid:durableId="1792046849">
    <w:abstractNumId w:val="7"/>
  </w:num>
  <w:num w:numId="21" w16cid:durableId="1084571665">
    <w:abstractNumId w:val="26"/>
  </w:num>
  <w:num w:numId="22" w16cid:durableId="44525650">
    <w:abstractNumId w:val="12"/>
  </w:num>
  <w:num w:numId="23" w16cid:durableId="1368603528">
    <w:abstractNumId w:val="8"/>
  </w:num>
  <w:num w:numId="24" w16cid:durableId="1585069742">
    <w:abstractNumId w:val="25"/>
  </w:num>
  <w:num w:numId="25" w16cid:durableId="1515847751">
    <w:abstractNumId w:val="22"/>
  </w:num>
  <w:num w:numId="26" w16cid:durableId="2032754613">
    <w:abstractNumId w:val="0"/>
  </w:num>
  <w:num w:numId="27" w16cid:durableId="1847557379">
    <w:abstractNumId w:val="18"/>
  </w:num>
  <w:num w:numId="28" w16cid:durableId="878394565">
    <w:abstractNumId w:val="3"/>
  </w:num>
  <w:num w:numId="29" w16cid:durableId="216086559">
    <w:abstractNumId w:val="21"/>
  </w:num>
  <w:num w:numId="30" w16cid:durableId="15399738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26F95"/>
    <w:rsid w:val="000368E0"/>
    <w:rsid w:val="000373B2"/>
    <w:rsid w:val="00042CF5"/>
    <w:rsid w:val="00051A7F"/>
    <w:rsid w:val="00060CA0"/>
    <w:rsid w:val="00063A26"/>
    <w:rsid w:val="0006443A"/>
    <w:rsid w:val="00083C79"/>
    <w:rsid w:val="0008468B"/>
    <w:rsid w:val="00090AF4"/>
    <w:rsid w:val="000924CA"/>
    <w:rsid w:val="00097FDC"/>
    <w:rsid w:val="000A468A"/>
    <w:rsid w:val="000B0FBD"/>
    <w:rsid w:val="000B3ABF"/>
    <w:rsid w:val="000B7CAF"/>
    <w:rsid w:val="000C0D6D"/>
    <w:rsid w:val="000D1C9F"/>
    <w:rsid w:val="000E5AD3"/>
    <w:rsid w:val="000F4728"/>
    <w:rsid w:val="0010481A"/>
    <w:rsid w:val="00107D9D"/>
    <w:rsid w:val="0011123C"/>
    <w:rsid w:val="00121442"/>
    <w:rsid w:val="00136872"/>
    <w:rsid w:val="00141320"/>
    <w:rsid w:val="0014302F"/>
    <w:rsid w:val="00152C07"/>
    <w:rsid w:val="00160BE3"/>
    <w:rsid w:val="00181CD1"/>
    <w:rsid w:val="0018252D"/>
    <w:rsid w:val="001872FD"/>
    <w:rsid w:val="00196243"/>
    <w:rsid w:val="001A56F1"/>
    <w:rsid w:val="001B4738"/>
    <w:rsid w:val="001C7BD1"/>
    <w:rsid w:val="001E5C74"/>
    <w:rsid w:val="002169DA"/>
    <w:rsid w:val="00222997"/>
    <w:rsid w:val="00226170"/>
    <w:rsid w:val="0024490C"/>
    <w:rsid w:val="00251609"/>
    <w:rsid w:val="00260F48"/>
    <w:rsid w:val="00261D07"/>
    <w:rsid w:val="00271984"/>
    <w:rsid w:val="0027299F"/>
    <w:rsid w:val="002800C4"/>
    <w:rsid w:val="002822F5"/>
    <w:rsid w:val="002A0933"/>
    <w:rsid w:val="002A096E"/>
    <w:rsid w:val="002B3075"/>
    <w:rsid w:val="002B7B26"/>
    <w:rsid w:val="002C56ED"/>
    <w:rsid w:val="002D04AB"/>
    <w:rsid w:val="002E30EF"/>
    <w:rsid w:val="002E44DD"/>
    <w:rsid w:val="002F351F"/>
    <w:rsid w:val="00304799"/>
    <w:rsid w:val="00310FE6"/>
    <w:rsid w:val="00311A6C"/>
    <w:rsid w:val="00315FA3"/>
    <w:rsid w:val="00341AA6"/>
    <w:rsid w:val="003604B9"/>
    <w:rsid w:val="00367ACD"/>
    <w:rsid w:val="003772FB"/>
    <w:rsid w:val="00390FA1"/>
    <w:rsid w:val="00391152"/>
    <w:rsid w:val="003A0ED7"/>
    <w:rsid w:val="003A55C6"/>
    <w:rsid w:val="003A7244"/>
    <w:rsid w:val="003B63B6"/>
    <w:rsid w:val="003C184F"/>
    <w:rsid w:val="003C2538"/>
    <w:rsid w:val="003C6DEA"/>
    <w:rsid w:val="003D44B7"/>
    <w:rsid w:val="003D485F"/>
    <w:rsid w:val="003D5328"/>
    <w:rsid w:val="003E3072"/>
    <w:rsid w:val="003F66F1"/>
    <w:rsid w:val="0041278C"/>
    <w:rsid w:val="00417683"/>
    <w:rsid w:val="00426673"/>
    <w:rsid w:val="00430230"/>
    <w:rsid w:val="00444221"/>
    <w:rsid w:val="00447D92"/>
    <w:rsid w:val="004607F7"/>
    <w:rsid w:val="004863C9"/>
    <w:rsid w:val="0049018E"/>
    <w:rsid w:val="004B059C"/>
    <w:rsid w:val="004B21AA"/>
    <w:rsid w:val="004C09B5"/>
    <w:rsid w:val="004C247F"/>
    <w:rsid w:val="004D3E41"/>
    <w:rsid w:val="004F0128"/>
    <w:rsid w:val="004F5745"/>
    <w:rsid w:val="004F5C4B"/>
    <w:rsid w:val="005031A9"/>
    <w:rsid w:val="00506FF2"/>
    <w:rsid w:val="0053773D"/>
    <w:rsid w:val="00545C20"/>
    <w:rsid w:val="00572483"/>
    <w:rsid w:val="005A2663"/>
    <w:rsid w:val="005D635D"/>
    <w:rsid w:val="005E33EB"/>
    <w:rsid w:val="005F2BF3"/>
    <w:rsid w:val="00620B90"/>
    <w:rsid w:val="006356AF"/>
    <w:rsid w:val="00636184"/>
    <w:rsid w:val="00640C76"/>
    <w:rsid w:val="006548BF"/>
    <w:rsid w:val="00660504"/>
    <w:rsid w:val="00675A9F"/>
    <w:rsid w:val="006803AA"/>
    <w:rsid w:val="00680E2D"/>
    <w:rsid w:val="00690E59"/>
    <w:rsid w:val="006C0EAF"/>
    <w:rsid w:val="006D0EFE"/>
    <w:rsid w:val="006E2D9E"/>
    <w:rsid w:val="006E669E"/>
    <w:rsid w:val="006E74C4"/>
    <w:rsid w:val="0071732C"/>
    <w:rsid w:val="00725934"/>
    <w:rsid w:val="00725CF7"/>
    <w:rsid w:val="00727970"/>
    <w:rsid w:val="007315F5"/>
    <w:rsid w:val="00745ECD"/>
    <w:rsid w:val="00746012"/>
    <w:rsid w:val="00757EA6"/>
    <w:rsid w:val="007600BA"/>
    <w:rsid w:val="00775F87"/>
    <w:rsid w:val="007844FD"/>
    <w:rsid w:val="00795B6B"/>
    <w:rsid w:val="007B245C"/>
    <w:rsid w:val="007B4728"/>
    <w:rsid w:val="007B74A0"/>
    <w:rsid w:val="007C4CDA"/>
    <w:rsid w:val="007C78FC"/>
    <w:rsid w:val="007D4606"/>
    <w:rsid w:val="007E4FFC"/>
    <w:rsid w:val="007F56FA"/>
    <w:rsid w:val="00807AFB"/>
    <w:rsid w:val="008103A6"/>
    <w:rsid w:val="00816DAC"/>
    <w:rsid w:val="00825FED"/>
    <w:rsid w:val="00827F71"/>
    <w:rsid w:val="0083290E"/>
    <w:rsid w:val="00841559"/>
    <w:rsid w:val="00843FF2"/>
    <w:rsid w:val="008453AB"/>
    <w:rsid w:val="008478BC"/>
    <w:rsid w:val="00851C16"/>
    <w:rsid w:val="00854EEA"/>
    <w:rsid w:val="008551DA"/>
    <w:rsid w:val="0086509D"/>
    <w:rsid w:val="008669F3"/>
    <w:rsid w:val="00884F73"/>
    <w:rsid w:val="008B2354"/>
    <w:rsid w:val="008D193F"/>
    <w:rsid w:val="008F173C"/>
    <w:rsid w:val="00913061"/>
    <w:rsid w:val="0091393E"/>
    <w:rsid w:val="00913D09"/>
    <w:rsid w:val="00926396"/>
    <w:rsid w:val="00934D01"/>
    <w:rsid w:val="00955BB3"/>
    <w:rsid w:val="009A38AD"/>
    <w:rsid w:val="009D7AE9"/>
    <w:rsid w:val="009E170C"/>
    <w:rsid w:val="00A148A1"/>
    <w:rsid w:val="00A336BD"/>
    <w:rsid w:val="00A36C09"/>
    <w:rsid w:val="00A37C9F"/>
    <w:rsid w:val="00A5090A"/>
    <w:rsid w:val="00A60844"/>
    <w:rsid w:val="00A70123"/>
    <w:rsid w:val="00A76B07"/>
    <w:rsid w:val="00A81B98"/>
    <w:rsid w:val="00A86F53"/>
    <w:rsid w:val="00A873F0"/>
    <w:rsid w:val="00A90305"/>
    <w:rsid w:val="00A91A20"/>
    <w:rsid w:val="00AA63A3"/>
    <w:rsid w:val="00AB03FC"/>
    <w:rsid w:val="00AB3CA3"/>
    <w:rsid w:val="00AB4294"/>
    <w:rsid w:val="00AB5EB7"/>
    <w:rsid w:val="00AC3C39"/>
    <w:rsid w:val="00AD4D97"/>
    <w:rsid w:val="00AD6869"/>
    <w:rsid w:val="00AD697E"/>
    <w:rsid w:val="00AE0A87"/>
    <w:rsid w:val="00AE2453"/>
    <w:rsid w:val="00AE253F"/>
    <w:rsid w:val="00AF1B3B"/>
    <w:rsid w:val="00B010CD"/>
    <w:rsid w:val="00B05DFC"/>
    <w:rsid w:val="00B06C35"/>
    <w:rsid w:val="00B304C7"/>
    <w:rsid w:val="00B36EEA"/>
    <w:rsid w:val="00B52626"/>
    <w:rsid w:val="00B54CCF"/>
    <w:rsid w:val="00B61E4F"/>
    <w:rsid w:val="00B774D4"/>
    <w:rsid w:val="00BA2649"/>
    <w:rsid w:val="00BA4B55"/>
    <w:rsid w:val="00BA4C9C"/>
    <w:rsid w:val="00BB07C4"/>
    <w:rsid w:val="00BB6CB2"/>
    <w:rsid w:val="00BC064B"/>
    <w:rsid w:val="00BC5BC2"/>
    <w:rsid w:val="00BD2B60"/>
    <w:rsid w:val="00BD767C"/>
    <w:rsid w:val="00BE50AB"/>
    <w:rsid w:val="00C014EE"/>
    <w:rsid w:val="00C12C93"/>
    <w:rsid w:val="00C13472"/>
    <w:rsid w:val="00C21555"/>
    <w:rsid w:val="00C22FAA"/>
    <w:rsid w:val="00C30851"/>
    <w:rsid w:val="00C325F5"/>
    <w:rsid w:val="00C43292"/>
    <w:rsid w:val="00C457E8"/>
    <w:rsid w:val="00C45BB6"/>
    <w:rsid w:val="00C51BFA"/>
    <w:rsid w:val="00C535B1"/>
    <w:rsid w:val="00C609B9"/>
    <w:rsid w:val="00C664C0"/>
    <w:rsid w:val="00C66C43"/>
    <w:rsid w:val="00C66E46"/>
    <w:rsid w:val="00C67656"/>
    <w:rsid w:val="00C928E9"/>
    <w:rsid w:val="00CA1C8E"/>
    <w:rsid w:val="00CA4180"/>
    <w:rsid w:val="00CA69F6"/>
    <w:rsid w:val="00CB0549"/>
    <w:rsid w:val="00CB0773"/>
    <w:rsid w:val="00CB2EAB"/>
    <w:rsid w:val="00CC56FC"/>
    <w:rsid w:val="00CD03E3"/>
    <w:rsid w:val="00CE1257"/>
    <w:rsid w:val="00CE2386"/>
    <w:rsid w:val="00CF3D3C"/>
    <w:rsid w:val="00CF5FD5"/>
    <w:rsid w:val="00D02F8E"/>
    <w:rsid w:val="00D23E70"/>
    <w:rsid w:val="00D25E8E"/>
    <w:rsid w:val="00D30A0A"/>
    <w:rsid w:val="00D343DC"/>
    <w:rsid w:val="00D35677"/>
    <w:rsid w:val="00D554F6"/>
    <w:rsid w:val="00D62E50"/>
    <w:rsid w:val="00D63CF3"/>
    <w:rsid w:val="00DA20F4"/>
    <w:rsid w:val="00DE3E2C"/>
    <w:rsid w:val="00E31829"/>
    <w:rsid w:val="00E32408"/>
    <w:rsid w:val="00E4694A"/>
    <w:rsid w:val="00E60258"/>
    <w:rsid w:val="00E741D2"/>
    <w:rsid w:val="00E845D4"/>
    <w:rsid w:val="00E90C5D"/>
    <w:rsid w:val="00E97FAE"/>
    <w:rsid w:val="00EB0AEF"/>
    <w:rsid w:val="00EB0CF1"/>
    <w:rsid w:val="00EC22CC"/>
    <w:rsid w:val="00EC4923"/>
    <w:rsid w:val="00EC7E20"/>
    <w:rsid w:val="00ED6B69"/>
    <w:rsid w:val="00EE34F4"/>
    <w:rsid w:val="00EF22A4"/>
    <w:rsid w:val="00F10AB9"/>
    <w:rsid w:val="00F262E3"/>
    <w:rsid w:val="00F33FD2"/>
    <w:rsid w:val="00F36664"/>
    <w:rsid w:val="00F54EA0"/>
    <w:rsid w:val="00F812AF"/>
    <w:rsid w:val="00F86D2E"/>
    <w:rsid w:val="00F96EE9"/>
    <w:rsid w:val="00F9767C"/>
    <w:rsid w:val="00FA0A28"/>
    <w:rsid w:val="00FA4C10"/>
    <w:rsid w:val="00FB5770"/>
    <w:rsid w:val="00FB6465"/>
    <w:rsid w:val="00FC0244"/>
    <w:rsid w:val="00FD070C"/>
    <w:rsid w:val="00FE285D"/>
    <w:rsid w:val="00FF142E"/>
    <w:rsid w:val="00FF4490"/>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12"/>
    <w:pPr>
      <w:jc w:val="both"/>
    </w:pPr>
    <w:rPr>
      <w:rFonts w:ascii="Verdana" w:hAnsi="Verdana"/>
      <w:sz w:val="20"/>
    </w:rPr>
  </w:style>
  <w:style w:type="paragraph" w:styleId="Titre1">
    <w:name w:val="heading 1"/>
    <w:basedOn w:val="Normal"/>
    <w:next w:val="Normal"/>
    <w:link w:val="Titre1Car"/>
    <w:uiPriority w:val="9"/>
    <w:qFormat/>
    <w:rsid w:val="00083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3C7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left"/>
      <w:outlineLvl w:val="1"/>
    </w:pPr>
    <w:rPr>
      <w:rFonts w:eastAsiaTheme="minorEastAsia"/>
      <w:caps/>
      <w:spacing w:val="15"/>
      <w:szCs w:val="20"/>
    </w:rPr>
  </w:style>
  <w:style w:type="paragraph" w:styleId="Titre3">
    <w:name w:val="heading 3"/>
    <w:basedOn w:val="Normal"/>
    <w:next w:val="Normal"/>
    <w:link w:val="Titre3Car"/>
    <w:uiPriority w:val="9"/>
    <w:unhideWhenUsed/>
    <w:qFormat/>
    <w:rsid w:val="00746012"/>
    <w:pPr>
      <w:keepNext/>
      <w:keepLines/>
      <w:spacing w:before="240" w:after="12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746012"/>
    <w:pPr>
      <w:numPr>
        <w:numId w:val="14"/>
      </w:num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851C16"/>
    <w:pPr>
      <w:numPr>
        <w:numId w:val="3"/>
      </w:numPr>
      <w:spacing w:before="24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34"/>
    <w:rsid w:val="00746012"/>
    <w:rPr>
      <w:rFonts w:ascii="Verdana" w:hAnsi="Verdana"/>
      <w:sz w:val="20"/>
    </w:rPr>
  </w:style>
  <w:style w:type="character" w:customStyle="1" w:styleId="TitrepartieCar">
    <w:name w:val="Titre partie Car"/>
    <w:basedOn w:val="ParagraphedelisteCar"/>
    <w:link w:val="Titrepartie"/>
    <w:rsid w:val="00851C16"/>
    <w:rPr>
      <w:rFonts w:ascii="Verdana" w:hAnsi="Verdana" w:cs="Calibri"/>
      <w:b/>
      <w:bCs/>
      <w:color w:val="0070C0"/>
      <w:sz w:val="2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customStyle="1" w:styleId="Titre2Car">
    <w:name w:val="Titre 2 Car"/>
    <w:basedOn w:val="Policepardfaut"/>
    <w:link w:val="Titre2"/>
    <w:uiPriority w:val="9"/>
    <w:rsid w:val="00083C79"/>
    <w:rPr>
      <w:rFonts w:eastAsiaTheme="minorEastAsia"/>
      <w:caps/>
      <w:spacing w:val="15"/>
      <w:sz w:val="20"/>
      <w:szCs w:val="20"/>
      <w:shd w:val="clear" w:color="auto" w:fill="D9E2F3" w:themeFill="accent1" w:themeFillTint="33"/>
    </w:rPr>
  </w:style>
  <w:style w:type="character" w:customStyle="1" w:styleId="Titre1Car">
    <w:name w:val="Titre 1 Car"/>
    <w:basedOn w:val="Policepardfaut"/>
    <w:link w:val="Titre1"/>
    <w:uiPriority w:val="9"/>
    <w:rsid w:val="00083C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46012"/>
    <w:rPr>
      <w:rFonts w:ascii="Verdana" w:eastAsiaTheme="majorEastAsia" w:hAnsi="Verdana" w:cstheme="majorBidi"/>
      <w:color w:val="1F3763" w:themeColor="accent1" w:themeShade="7F"/>
      <w:sz w:val="20"/>
      <w:szCs w:val="24"/>
    </w:rPr>
  </w:style>
  <w:style w:type="paragraph" w:styleId="Rvision">
    <w:name w:val="Revision"/>
    <w:hidden/>
    <w:uiPriority w:val="99"/>
    <w:semiHidden/>
    <w:rsid w:val="003C6DEA"/>
    <w:pPr>
      <w:spacing w:after="0" w:line="240" w:lineRule="auto"/>
    </w:pPr>
    <w:rPr>
      <w:rFonts w:ascii="Verdana" w:hAnsi="Verdana"/>
      <w:sz w:val="20"/>
    </w:rPr>
  </w:style>
  <w:style w:type="paragraph" w:styleId="Notedebasdepage">
    <w:name w:val="footnote text"/>
    <w:basedOn w:val="Normal"/>
    <w:link w:val="NotedebasdepageCar"/>
    <w:uiPriority w:val="99"/>
    <w:semiHidden/>
    <w:unhideWhenUsed/>
    <w:rsid w:val="00827F71"/>
    <w:pPr>
      <w:spacing w:after="0" w:line="240" w:lineRule="auto"/>
    </w:pPr>
    <w:rPr>
      <w:szCs w:val="20"/>
    </w:rPr>
  </w:style>
  <w:style w:type="character" w:customStyle="1" w:styleId="NotedebasdepageCar">
    <w:name w:val="Note de bas de page Car"/>
    <w:basedOn w:val="Policepardfaut"/>
    <w:link w:val="Notedebasdepage"/>
    <w:uiPriority w:val="99"/>
    <w:semiHidden/>
    <w:rsid w:val="00827F71"/>
    <w:rPr>
      <w:rFonts w:ascii="Verdana" w:hAnsi="Verdana"/>
      <w:sz w:val="20"/>
      <w:szCs w:val="20"/>
    </w:rPr>
  </w:style>
  <w:style w:type="character" w:styleId="Appelnotedebasdep">
    <w:name w:val="footnote reference"/>
    <w:basedOn w:val="Policepardfaut"/>
    <w:uiPriority w:val="99"/>
    <w:semiHidden/>
    <w:unhideWhenUsed/>
    <w:rsid w:val="00827F71"/>
    <w:rPr>
      <w:vertAlign w:val="superscript"/>
    </w:rPr>
  </w:style>
  <w:style w:type="character" w:customStyle="1" w:styleId="cf01">
    <w:name w:val="cf01"/>
    <w:basedOn w:val="Policepardfaut"/>
    <w:rsid w:val="00827F71"/>
    <w:rPr>
      <w:rFonts w:ascii="Segoe UI" w:hAnsi="Segoe UI" w:cs="Segoe UI" w:hint="default"/>
      <w:sz w:val="18"/>
      <w:szCs w:val="18"/>
    </w:rPr>
  </w:style>
  <w:style w:type="paragraph" w:styleId="Corpsdetexte">
    <w:name w:val="Body Text"/>
    <w:basedOn w:val="Normal"/>
    <w:link w:val="CorpsdetexteCar"/>
    <w:uiPriority w:val="1"/>
    <w:qFormat/>
    <w:rsid w:val="00D30A0A"/>
    <w:pPr>
      <w:widowControl w:val="0"/>
      <w:autoSpaceDE w:val="0"/>
      <w:autoSpaceDN w:val="0"/>
      <w:spacing w:before="120" w:after="120" w:line="250" w:lineRule="auto"/>
      <w:ind w:left="284" w:right="227"/>
    </w:pPr>
    <w:rPr>
      <w:rFonts w:ascii="Calibri" w:eastAsia="Verdana" w:hAnsi="Calibri" w:cs="Verdana"/>
      <w:szCs w:val="20"/>
    </w:rPr>
  </w:style>
  <w:style w:type="character" w:customStyle="1" w:styleId="CorpsdetexteCar">
    <w:name w:val="Corps de texte Car"/>
    <w:basedOn w:val="Policepardfaut"/>
    <w:link w:val="Corpsdetexte"/>
    <w:uiPriority w:val="1"/>
    <w:rsid w:val="00D30A0A"/>
    <w:rPr>
      <w:rFonts w:ascii="Calibri" w:eastAsia="Verdana" w:hAnsi="Calibri" w:cs="Verdana"/>
      <w:sz w:val="20"/>
      <w:szCs w:val="20"/>
    </w:rPr>
  </w:style>
  <w:style w:type="paragraph" w:styleId="Titre">
    <w:name w:val="Title"/>
    <w:basedOn w:val="Normal"/>
    <w:link w:val="TitreCar"/>
    <w:uiPriority w:val="10"/>
    <w:qFormat/>
    <w:rsid w:val="00D30A0A"/>
    <w:pPr>
      <w:widowControl w:val="0"/>
      <w:autoSpaceDE w:val="0"/>
      <w:autoSpaceDN w:val="0"/>
      <w:spacing w:before="240" w:after="240" w:line="240" w:lineRule="auto"/>
      <w:ind w:left="23"/>
      <w:jc w:val="center"/>
    </w:pPr>
    <w:rPr>
      <w:rFonts w:ascii="Calibri" w:eastAsia="Verdana" w:hAnsi="Calibri" w:cs="Verdana"/>
      <w:b/>
      <w:bCs/>
      <w:sz w:val="28"/>
      <w:szCs w:val="24"/>
    </w:rPr>
  </w:style>
  <w:style w:type="character" w:customStyle="1" w:styleId="TitreCar">
    <w:name w:val="Titre Car"/>
    <w:basedOn w:val="Policepardfaut"/>
    <w:link w:val="Titre"/>
    <w:uiPriority w:val="10"/>
    <w:rsid w:val="00D30A0A"/>
    <w:rPr>
      <w:rFonts w:ascii="Calibri" w:eastAsia="Verdana" w:hAnsi="Calibri" w:cs="Verdana"/>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783840709">
      <w:bodyDiv w:val="1"/>
      <w:marLeft w:val="0"/>
      <w:marRight w:val="0"/>
      <w:marTop w:val="0"/>
      <w:marBottom w:val="0"/>
      <w:divBdr>
        <w:top w:val="none" w:sz="0" w:space="0" w:color="auto"/>
        <w:left w:val="none" w:sz="0" w:space="0" w:color="auto"/>
        <w:bottom w:val="none" w:sz="0" w:space="0" w:color="auto"/>
        <w:right w:val="none" w:sz="0" w:space="0" w:color="auto"/>
      </w:divBdr>
      <w:divsChild>
        <w:div w:id="86006329">
          <w:marLeft w:val="0"/>
          <w:marRight w:val="0"/>
          <w:marTop w:val="0"/>
          <w:marBottom w:val="0"/>
          <w:divBdr>
            <w:top w:val="single" w:sz="6" w:space="0" w:color="auto"/>
            <w:left w:val="single" w:sz="6" w:space="0" w:color="auto"/>
            <w:bottom w:val="single" w:sz="6" w:space="0" w:color="auto"/>
            <w:right w:val="single" w:sz="2" w:space="0" w:color="auto"/>
          </w:divBdr>
          <w:divsChild>
            <w:div w:id="113989081">
              <w:marLeft w:val="0"/>
              <w:marRight w:val="0"/>
              <w:marTop w:val="0"/>
              <w:marBottom w:val="0"/>
              <w:divBdr>
                <w:top w:val="none" w:sz="0" w:space="0" w:color="auto"/>
                <w:left w:val="none" w:sz="0" w:space="0" w:color="auto"/>
                <w:bottom w:val="none" w:sz="0" w:space="0" w:color="auto"/>
                <w:right w:val="none" w:sz="0" w:space="0" w:color="auto"/>
              </w:divBdr>
              <w:divsChild>
                <w:div w:id="9005981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4807-0B2F-48AA-B5E4-C2C0A6D6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2630</Words>
  <Characters>14467</Characters>
  <Application>Microsoft Office Word</Application>
  <DocSecurity>4</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2</cp:revision>
  <dcterms:created xsi:type="dcterms:W3CDTF">2023-04-14T11:02:00Z</dcterms:created>
  <dcterms:modified xsi:type="dcterms:W3CDTF">2023-04-14T11:02:00Z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0a55308bdd58d168d37dd67871e261518d556557716d2434e435ce58040fc1e2</vt:lpwstr>
  </property>
</Properties>
</file>