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E4F5D" w14:textId="77777777" w:rsidR="00210EB6" w:rsidRDefault="00210EB6" w:rsidP="00210EB6">
      <w:pPr>
        <w:pBdr>
          <w:top w:val="single" w:sz="4" w:space="1" w:color="auto"/>
          <w:left w:val="single" w:sz="4" w:space="4" w:color="auto"/>
          <w:bottom w:val="single" w:sz="4" w:space="0" w:color="auto"/>
          <w:right w:val="single" w:sz="4" w:space="4" w:color="auto"/>
        </w:pBdr>
        <w:autoSpaceDE w:val="0"/>
        <w:autoSpaceDN w:val="0"/>
        <w:adjustRightInd w:val="0"/>
        <w:jc w:val="center"/>
        <w:rPr>
          <w:rFonts w:cstheme="minorHAnsi"/>
          <w:color w:val="000000"/>
          <w:sz w:val="22"/>
          <w:szCs w:val="22"/>
        </w:rPr>
      </w:pPr>
    </w:p>
    <w:p w14:paraId="6A61B98B" w14:textId="43B7294C" w:rsidR="0077511B" w:rsidRPr="0077511B" w:rsidRDefault="0077511B" w:rsidP="00210EB6">
      <w:pPr>
        <w:pBdr>
          <w:top w:val="single" w:sz="4" w:space="1" w:color="auto"/>
          <w:left w:val="single" w:sz="4" w:space="4" w:color="auto"/>
          <w:bottom w:val="single" w:sz="4" w:space="0" w:color="auto"/>
          <w:right w:val="single" w:sz="4" w:space="4" w:color="auto"/>
        </w:pBdr>
        <w:autoSpaceDE w:val="0"/>
        <w:autoSpaceDN w:val="0"/>
        <w:adjustRightInd w:val="0"/>
        <w:jc w:val="center"/>
        <w:rPr>
          <w:rFonts w:cstheme="minorHAnsi"/>
          <w:color w:val="000000"/>
          <w:sz w:val="22"/>
          <w:szCs w:val="22"/>
        </w:rPr>
      </w:pPr>
      <w:r w:rsidRPr="0077511B">
        <w:rPr>
          <w:rFonts w:cstheme="minorHAnsi"/>
          <w:color w:val="000000"/>
          <w:sz w:val="22"/>
          <w:szCs w:val="22"/>
        </w:rPr>
        <w:t>RETOUR D’EXPERIENCE SUR LA GESTION DE LA SAISON CYCLONIQUE</w:t>
      </w:r>
      <w:r w:rsidR="009C19F9">
        <w:rPr>
          <w:rFonts w:cstheme="minorHAnsi"/>
          <w:color w:val="000000"/>
          <w:sz w:val="22"/>
          <w:szCs w:val="22"/>
        </w:rPr>
        <w:t xml:space="preserve"> 2022</w:t>
      </w:r>
      <w:r w:rsidRPr="0077511B">
        <w:rPr>
          <w:rFonts w:cstheme="minorHAnsi"/>
          <w:color w:val="000000"/>
          <w:sz w:val="22"/>
          <w:szCs w:val="22"/>
        </w:rPr>
        <w:t xml:space="preserve"> A L’ECHELLE REGIONALE </w:t>
      </w:r>
    </w:p>
    <w:p w14:paraId="4217FCA9" w14:textId="77777777" w:rsidR="0077511B" w:rsidRPr="0077511B" w:rsidRDefault="0077511B" w:rsidP="00210EB6">
      <w:pPr>
        <w:pBdr>
          <w:top w:val="single" w:sz="4" w:space="1" w:color="auto"/>
          <w:left w:val="single" w:sz="4" w:space="4" w:color="auto"/>
          <w:bottom w:val="single" w:sz="4" w:space="0" w:color="auto"/>
          <w:right w:val="single" w:sz="4" w:space="4" w:color="auto"/>
        </w:pBdr>
        <w:autoSpaceDE w:val="0"/>
        <w:autoSpaceDN w:val="0"/>
        <w:adjustRightInd w:val="0"/>
        <w:rPr>
          <w:rFonts w:cstheme="minorHAnsi"/>
          <w:color w:val="000000"/>
          <w:sz w:val="22"/>
          <w:szCs w:val="22"/>
        </w:rPr>
      </w:pPr>
    </w:p>
    <w:p w14:paraId="0CE3C0D1" w14:textId="77777777" w:rsidR="0077511B" w:rsidRPr="00210EB6" w:rsidRDefault="0077511B" w:rsidP="0077511B">
      <w:pPr>
        <w:autoSpaceDE w:val="0"/>
        <w:autoSpaceDN w:val="0"/>
        <w:adjustRightInd w:val="0"/>
        <w:rPr>
          <w:rFonts w:cstheme="minorHAnsi"/>
          <w:b/>
          <w:bCs/>
          <w:color w:val="000000"/>
          <w:sz w:val="22"/>
          <w:szCs w:val="22"/>
        </w:rPr>
      </w:pPr>
    </w:p>
    <w:p w14:paraId="09E4EA01" w14:textId="6CD37037" w:rsidR="0077511B" w:rsidRPr="00FE56FA" w:rsidRDefault="00FE56FA" w:rsidP="0077511B">
      <w:pPr>
        <w:autoSpaceDE w:val="0"/>
        <w:autoSpaceDN w:val="0"/>
        <w:adjustRightInd w:val="0"/>
        <w:rPr>
          <w:rFonts w:cstheme="minorHAnsi"/>
          <w:b/>
          <w:bCs/>
          <w:color w:val="000000"/>
          <w:sz w:val="22"/>
          <w:szCs w:val="22"/>
        </w:rPr>
      </w:pPr>
      <w:r>
        <w:rPr>
          <w:rFonts w:cstheme="minorHAnsi"/>
          <w:b/>
          <w:bCs/>
          <w:color w:val="000000"/>
          <w:sz w:val="22"/>
          <w:szCs w:val="22"/>
        </w:rPr>
        <w:t>CONTEXTE</w:t>
      </w:r>
    </w:p>
    <w:p w14:paraId="00BD8598" w14:textId="612EC226" w:rsidR="004E4C71" w:rsidRDefault="0077511B" w:rsidP="00210EB6">
      <w:pPr>
        <w:autoSpaceDE w:val="0"/>
        <w:autoSpaceDN w:val="0"/>
        <w:adjustRightInd w:val="0"/>
        <w:jc w:val="both"/>
        <w:rPr>
          <w:rFonts w:cstheme="minorHAnsi"/>
          <w:color w:val="000000"/>
          <w:sz w:val="22"/>
          <w:szCs w:val="22"/>
        </w:rPr>
      </w:pPr>
      <w:r w:rsidRPr="0077511B">
        <w:rPr>
          <w:rFonts w:cstheme="minorHAnsi"/>
          <w:color w:val="000000"/>
          <w:sz w:val="22"/>
          <w:szCs w:val="22"/>
        </w:rPr>
        <w:t xml:space="preserve">Dans un contexte marqué par </w:t>
      </w:r>
      <w:r w:rsidR="00003697">
        <w:rPr>
          <w:rFonts w:cstheme="minorHAnsi"/>
          <w:color w:val="000000"/>
          <w:sz w:val="22"/>
          <w:szCs w:val="22"/>
        </w:rPr>
        <w:t>le</w:t>
      </w:r>
      <w:r w:rsidRPr="0077511B">
        <w:rPr>
          <w:rFonts w:cstheme="minorHAnsi"/>
          <w:color w:val="000000"/>
          <w:sz w:val="22"/>
          <w:szCs w:val="22"/>
        </w:rPr>
        <w:t xml:space="preserve"> réchauffement global de la planète, les experts des questions climatiques prédisent</w:t>
      </w:r>
      <w:r>
        <w:rPr>
          <w:rFonts w:cstheme="minorHAnsi"/>
          <w:color w:val="000000"/>
          <w:sz w:val="22"/>
          <w:szCs w:val="22"/>
        </w:rPr>
        <w:t xml:space="preserve"> une recrudescence des phénomènes météorologiques extrêmes</w:t>
      </w:r>
      <w:r w:rsidR="00003697">
        <w:rPr>
          <w:rFonts w:cstheme="minorHAnsi"/>
          <w:color w:val="000000"/>
          <w:sz w:val="22"/>
          <w:szCs w:val="22"/>
        </w:rPr>
        <w:t>. Les catastrophes résultant de</w:t>
      </w:r>
      <w:r w:rsidR="00FE56FA">
        <w:rPr>
          <w:rFonts w:cstheme="minorHAnsi"/>
          <w:color w:val="000000"/>
          <w:sz w:val="22"/>
          <w:szCs w:val="22"/>
        </w:rPr>
        <w:t xml:space="preserve">s </w:t>
      </w:r>
      <w:r w:rsidR="00003697">
        <w:rPr>
          <w:rFonts w:cstheme="minorHAnsi"/>
          <w:color w:val="000000"/>
          <w:sz w:val="22"/>
          <w:szCs w:val="22"/>
        </w:rPr>
        <w:t>aléas</w:t>
      </w:r>
      <w:r w:rsidR="00FE56FA">
        <w:rPr>
          <w:rFonts w:cstheme="minorHAnsi"/>
          <w:color w:val="000000"/>
          <w:sz w:val="22"/>
          <w:szCs w:val="22"/>
        </w:rPr>
        <w:t xml:space="preserve"> hydrométéorologiques</w:t>
      </w:r>
      <w:r>
        <w:rPr>
          <w:rFonts w:cstheme="minorHAnsi"/>
          <w:color w:val="000000"/>
          <w:sz w:val="22"/>
          <w:szCs w:val="22"/>
        </w:rPr>
        <w:t xml:space="preserve"> entrainer</w:t>
      </w:r>
      <w:r w:rsidR="00003697">
        <w:rPr>
          <w:rFonts w:cstheme="minorHAnsi"/>
          <w:color w:val="000000"/>
          <w:sz w:val="22"/>
          <w:szCs w:val="22"/>
        </w:rPr>
        <w:t>ont</w:t>
      </w:r>
      <w:r w:rsidRPr="0077511B">
        <w:rPr>
          <w:rFonts w:cstheme="minorHAnsi"/>
          <w:color w:val="000000"/>
          <w:sz w:val="22"/>
          <w:szCs w:val="22"/>
        </w:rPr>
        <w:t xml:space="preserve"> des </w:t>
      </w:r>
      <w:r w:rsidR="00003697">
        <w:rPr>
          <w:rFonts w:cstheme="minorHAnsi"/>
          <w:color w:val="000000"/>
          <w:sz w:val="22"/>
          <w:szCs w:val="22"/>
        </w:rPr>
        <w:t>dommages et des pertes de plus en plus élevés, si des mesures urgentes en termes de préparation et d’adaptation ne sont pas mises en œuvre</w:t>
      </w:r>
      <w:r w:rsidRPr="0077511B">
        <w:rPr>
          <w:rFonts w:cstheme="minorHAnsi"/>
          <w:color w:val="000000"/>
          <w:sz w:val="22"/>
          <w:szCs w:val="22"/>
        </w:rPr>
        <w:t xml:space="preserve">. </w:t>
      </w:r>
      <w:r>
        <w:rPr>
          <w:rFonts w:cstheme="minorHAnsi"/>
          <w:color w:val="000000"/>
          <w:sz w:val="22"/>
          <w:szCs w:val="22"/>
        </w:rPr>
        <w:t>L</w:t>
      </w:r>
      <w:r w:rsidRPr="0077511B">
        <w:rPr>
          <w:rFonts w:cstheme="minorHAnsi"/>
          <w:color w:val="000000"/>
          <w:sz w:val="22"/>
          <w:szCs w:val="22"/>
        </w:rPr>
        <w:t xml:space="preserve">’extrême vulnérabilité qui caractérise les </w:t>
      </w:r>
      <w:r w:rsidR="004E4C71" w:rsidRPr="0077511B">
        <w:rPr>
          <w:rFonts w:cstheme="minorHAnsi"/>
          <w:color w:val="000000"/>
          <w:sz w:val="22"/>
          <w:szCs w:val="22"/>
        </w:rPr>
        <w:t>États</w:t>
      </w:r>
      <w:r w:rsidRPr="0077511B">
        <w:rPr>
          <w:rFonts w:cstheme="minorHAnsi"/>
          <w:color w:val="000000"/>
          <w:sz w:val="22"/>
          <w:szCs w:val="22"/>
        </w:rPr>
        <w:t xml:space="preserve"> membres de la COI, de par leur isolement et </w:t>
      </w:r>
      <w:r>
        <w:rPr>
          <w:rFonts w:cstheme="minorHAnsi"/>
          <w:color w:val="000000"/>
          <w:sz w:val="22"/>
          <w:szCs w:val="22"/>
        </w:rPr>
        <w:t>leurs</w:t>
      </w:r>
      <w:r w:rsidRPr="0077511B">
        <w:rPr>
          <w:rFonts w:cstheme="minorHAnsi"/>
          <w:color w:val="000000"/>
          <w:sz w:val="22"/>
          <w:szCs w:val="22"/>
        </w:rPr>
        <w:t xml:space="preserve"> ressources limitées, </w:t>
      </w:r>
      <w:r w:rsidR="006E5938">
        <w:rPr>
          <w:rFonts w:cstheme="minorHAnsi"/>
          <w:color w:val="000000"/>
          <w:sz w:val="22"/>
          <w:szCs w:val="22"/>
        </w:rPr>
        <w:t xml:space="preserve">a </w:t>
      </w:r>
      <w:r w:rsidR="004E4C71">
        <w:rPr>
          <w:rFonts w:cstheme="minorHAnsi"/>
          <w:color w:val="000000"/>
          <w:sz w:val="22"/>
          <w:szCs w:val="22"/>
        </w:rPr>
        <w:t>conduit</w:t>
      </w:r>
      <w:r w:rsidR="00FE56FA">
        <w:rPr>
          <w:rFonts w:cstheme="minorHAnsi"/>
          <w:color w:val="000000"/>
          <w:sz w:val="22"/>
          <w:szCs w:val="22"/>
        </w:rPr>
        <w:t xml:space="preserve"> les États membres</w:t>
      </w:r>
      <w:r w:rsidR="00003697">
        <w:rPr>
          <w:rFonts w:cstheme="minorHAnsi"/>
          <w:color w:val="000000"/>
          <w:sz w:val="22"/>
          <w:szCs w:val="22"/>
        </w:rPr>
        <w:t xml:space="preserve"> à </w:t>
      </w:r>
      <w:r w:rsidR="00FE56FA">
        <w:rPr>
          <w:rFonts w:cstheme="minorHAnsi"/>
          <w:color w:val="000000"/>
          <w:sz w:val="22"/>
          <w:szCs w:val="22"/>
        </w:rPr>
        <w:t>mener une</w:t>
      </w:r>
      <w:r w:rsidR="00003697">
        <w:rPr>
          <w:rFonts w:cstheme="minorHAnsi"/>
          <w:color w:val="000000"/>
          <w:sz w:val="22"/>
          <w:szCs w:val="22"/>
        </w:rPr>
        <w:t xml:space="preserve"> réflexion sur la façon de</w:t>
      </w:r>
      <w:r w:rsidRPr="0077511B">
        <w:rPr>
          <w:rFonts w:cstheme="minorHAnsi"/>
          <w:color w:val="000000"/>
          <w:sz w:val="22"/>
          <w:szCs w:val="22"/>
        </w:rPr>
        <w:t xml:space="preserve"> coordonner les efforts</w:t>
      </w:r>
      <w:r w:rsidR="00003697">
        <w:rPr>
          <w:rFonts w:cstheme="minorHAnsi"/>
          <w:color w:val="000000"/>
          <w:sz w:val="22"/>
          <w:szCs w:val="22"/>
        </w:rPr>
        <w:t xml:space="preserve"> </w:t>
      </w:r>
      <w:r w:rsidR="00FE56FA">
        <w:rPr>
          <w:rFonts w:cstheme="minorHAnsi"/>
          <w:color w:val="000000"/>
          <w:sz w:val="22"/>
          <w:szCs w:val="22"/>
        </w:rPr>
        <w:t xml:space="preserve">des </w:t>
      </w:r>
      <w:r w:rsidR="00003697">
        <w:rPr>
          <w:rFonts w:cstheme="minorHAnsi"/>
          <w:color w:val="000000"/>
          <w:sz w:val="22"/>
          <w:szCs w:val="22"/>
        </w:rPr>
        <w:t>pays</w:t>
      </w:r>
      <w:r w:rsidR="00003697" w:rsidRPr="0077511B">
        <w:rPr>
          <w:rFonts w:cstheme="minorHAnsi"/>
          <w:color w:val="000000"/>
          <w:sz w:val="22"/>
          <w:szCs w:val="22"/>
        </w:rPr>
        <w:t xml:space="preserve"> </w:t>
      </w:r>
      <w:r w:rsidR="00003697">
        <w:rPr>
          <w:rFonts w:cstheme="minorHAnsi"/>
          <w:color w:val="000000"/>
          <w:sz w:val="22"/>
          <w:szCs w:val="22"/>
        </w:rPr>
        <w:t>afin de réduire l’impact des catastrophes majeurs</w:t>
      </w:r>
      <w:r w:rsidRPr="0077511B">
        <w:rPr>
          <w:rFonts w:cstheme="minorHAnsi"/>
          <w:color w:val="000000"/>
          <w:sz w:val="22"/>
          <w:szCs w:val="22"/>
        </w:rPr>
        <w:t>.</w:t>
      </w:r>
      <w:r w:rsidR="00210EB6">
        <w:rPr>
          <w:rFonts w:cstheme="minorHAnsi"/>
          <w:color w:val="000000"/>
          <w:sz w:val="22"/>
          <w:szCs w:val="22"/>
        </w:rPr>
        <w:t xml:space="preserve"> C’est ce qui ressort notamment du </w:t>
      </w:r>
      <w:r w:rsidR="00210EB6" w:rsidRPr="0077511B">
        <w:rPr>
          <w:rFonts w:cstheme="minorHAnsi"/>
          <w:color w:val="000000"/>
          <w:sz w:val="22"/>
          <w:szCs w:val="22"/>
        </w:rPr>
        <w:t xml:space="preserve">« Plan d’action stratégique intégré du changement climatique et de la réduction des risques de catastrophe » </w:t>
      </w:r>
      <w:r w:rsidR="00210EB6">
        <w:rPr>
          <w:rFonts w:cstheme="minorHAnsi"/>
          <w:color w:val="000000"/>
          <w:sz w:val="22"/>
          <w:szCs w:val="22"/>
        </w:rPr>
        <w:t>adopté par le conseil des ministres de la COI en 2018.</w:t>
      </w:r>
      <w:r w:rsidRPr="0077511B">
        <w:rPr>
          <w:rFonts w:cstheme="minorHAnsi"/>
          <w:color w:val="000000"/>
          <w:sz w:val="22"/>
          <w:szCs w:val="22"/>
        </w:rPr>
        <w:t xml:space="preserve"> </w:t>
      </w:r>
      <w:r w:rsidR="00FE56FA">
        <w:rPr>
          <w:rFonts w:cstheme="minorHAnsi"/>
          <w:color w:val="000000"/>
          <w:sz w:val="22"/>
          <w:szCs w:val="22"/>
        </w:rPr>
        <w:t>Une des approches privilégiées pour améliorer la Gestion des Risques de Catastrophes dans la région est de</w:t>
      </w:r>
      <w:r w:rsidR="00003697">
        <w:rPr>
          <w:rFonts w:cstheme="minorHAnsi"/>
          <w:color w:val="000000"/>
          <w:sz w:val="22"/>
          <w:szCs w:val="22"/>
        </w:rPr>
        <w:t xml:space="preserve"> capitaliser </w:t>
      </w:r>
      <w:r w:rsidR="004E4C71">
        <w:rPr>
          <w:rFonts w:cstheme="minorHAnsi"/>
          <w:color w:val="000000"/>
          <w:sz w:val="22"/>
          <w:szCs w:val="22"/>
        </w:rPr>
        <w:t xml:space="preserve">sur </w:t>
      </w:r>
      <w:r w:rsidR="00003697">
        <w:rPr>
          <w:rFonts w:cstheme="minorHAnsi"/>
          <w:color w:val="000000"/>
          <w:sz w:val="22"/>
          <w:szCs w:val="22"/>
        </w:rPr>
        <w:t>chaque retour d’expérience</w:t>
      </w:r>
      <w:r w:rsidR="006E5938">
        <w:rPr>
          <w:rFonts w:cstheme="minorHAnsi"/>
          <w:color w:val="000000"/>
          <w:sz w:val="22"/>
          <w:szCs w:val="22"/>
        </w:rPr>
        <w:t xml:space="preserve"> </w:t>
      </w:r>
      <w:r w:rsidR="009C19F9">
        <w:rPr>
          <w:rFonts w:cstheme="minorHAnsi"/>
          <w:color w:val="000000"/>
          <w:sz w:val="22"/>
          <w:szCs w:val="22"/>
        </w:rPr>
        <w:t>lors</w:t>
      </w:r>
      <w:r w:rsidR="006E5938">
        <w:rPr>
          <w:rFonts w:cstheme="minorHAnsi"/>
          <w:color w:val="000000"/>
          <w:sz w:val="22"/>
          <w:szCs w:val="22"/>
        </w:rPr>
        <w:t xml:space="preserve"> </w:t>
      </w:r>
      <w:r w:rsidR="009C19F9">
        <w:rPr>
          <w:rFonts w:cstheme="minorHAnsi"/>
          <w:color w:val="000000"/>
          <w:sz w:val="22"/>
          <w:szCs w:val="22"/>
        </w:rPr>
        <w:t>d</w:t>
      </w:r>
      <w:r w:rsidR="006E5938">
        <w:rPr>
          <w:rFonts w:cstheme="minorHAnsi"/>
          <w:color w:val="000000"/>
          <w:sz w:val="22"/>
          <w:szCs w:val="22"/>
        </w:rPr>
        <w:t>es catastrophes vécues</w:t>
      </w:r>
      <w:r w:rsidR="00003697">
        <w:rPr>
          <w:rFonts w:cstheme="minorHAnsi"/>
          <w:color w:val="000000"/>
          <w:sz w:val="22"/>
          <w:szCs w:val="22"/>
        </w:rPr>
        <w:t xml:space="preserve"> </w:t>
      </w:r>
      <w:r w:rsidR="004E4C71">
        <w:rPr>
          <w:rFonts w:cstheme="minorHAnsi"/>
          <w:color w:val="000000"/>
          <w:sz w:val="22"/>
          <w:szCs w:val="22"/>
        </w:rPr>
        <w:t>afin de tirer des leçons pertinentes à tous les niveaux</w:t>
      </w:r>
      <w:r w:rsidR="009C19F9">
        <w:rPr>
          <w:rFonts w:cstheme="minorHAnsi"/>
          <w:color w:val="000000"/>
          <w:sz w:val="22"/>
          <w:szCs w:val="22"/>
        </w:rPr>
        <w:t xml:space="preserve"> de préparation et d’intervention</w:t>
      </w:r>
      <w:r w:rsidRPr="0077511B">
        <w:rPr>
          <w:rFonts w:cstheme="minorHAnsi"/>
          <w:color w:val="000000"/>
          <w:sz w:val="22"/>
          <w:szCs w:val="22"/>
        </w:rPr>
        <w:t>.</w:t>
      </w:r>
    </w:p>
    <w:p w14:paraId="615A94F4" w14:textId="77777777" w:rsidR="00210EB6" w:rsidRDefault="00210EB6" w:rsidP="004E4C71">
      <w:pPr>
        <w:autoSpaceDE w:val="0"/>
        <w:autoSpaceDN w:val="0"/>
        <w:adjustRightInd w:val="0"/>
        <w:rPr>
          <w:rFonts w:cstheme="minorHAnsi"/>
          <w:color w:val="000000"/>
          <w:sz w:val="22"/>
          <w:szCs w:val="22"/>
        </w:rPr>
      </w:pPr>
    </w:p>
    <w:p w14:paraId="23BD7782" w14:textId="50D441FF" w:rsidR="00210EB6" w:rsidRPr="00210EB6" w:rsidRDefault="00FE56FA" w:rsidP="004E4C71">
      <w:pPr>
        <w:autoSpaceDE w:val="0"/>
        <w:autoSpaceDN w:val="0"/>
        <w:adjustRightInd w:val="0"/>
        <w:rPr>
          <w:rFonts w:cstheme="minorHAnsi"/>
          <w:b/>
          <w:bCs/>
          <w:color w:val="000000"/>
          <w:sz w:val="22"/>
          <w:szCs w:val="22"/>
        </w:rPr>
      </w:pPr>
      <w:r>
        <w:rPr>
          <w:rFonts w:cstheme="minorHAnsi"/>
          <w:b/>
          <w:bCs/>
          <w:color w:val="000000"/>
          <w:sz w:val="22"/>
          <w:szCs w:val="22"/>
        </w:rPr>
        <w:t>SAISON CYCLONIQUE 2022</w:t>
      </w:r>
    </w:p>
    <w:p w14:paraId="415C647C" w14:textId="10FA139A" w:rsidR="004E4C71" w:rsidRPr="0077511B" w:rsidRDefault="004E4C71" w:rsidP="00210EB6">
      <w:pPr>
        <w:autoSpaceDE w:val="0"/>
        <w:autoSpaceDN w:val="0"/>
        <w:adjustRightInd w:val="0"/>
        <w:jc w:val="both"/>
        <w:rPr>
          <w:rFonts w:cstheme="minorHAnsi"/>
          <w:color w:val="000000"/>
          <w:sz w:val="22"/>
          <w:szCs w:val="22"/>
        </w:rPr>
      </w:pPr>
      <w:r>
        <w:rPr>
          <w:rFonts w:cstheme="minorHAnsi"/>
          <w:color w:val="000000"/>
          <w:sz w:val="22"/>
          <w:szCs w:val="22"/>
        </w:rPr>
        <w:t>Lors de la dernière saison cyclonique</w:t>
      </w:r>
      <w:r w:rsidR="00210EB6">
        <w:rPr>
          <w:rFonts w:cstheme="minorHAnsi"/>
          <w:color w:val="000000"/>
          <w:sz w:val="22"/>
          <w:szCs w:val="22"/>
        </w:rPr>
        <w:t xml:space="preserve"> 2021-2022</w:t>
      </w:r>
      <w:r w:rsidRPr="0077511B">
        <w:rPr>
          <w:rFonts w:cstheme="minorHAnsi"/>
          <w:color w:val="000000"/>
          <w:sz w:val="22"/>
          <w:szCs w:val="22"/>
        </w:rPr>
        <w:t>, le bassin</w:t>
      </w:r>
      <w:r>
        <w:rPr>
          <w:rFonts w:cstheme="minorHAnsi"/>
          <w:color w:val="000000"/>
          <w:sz w:val="22"/>
          <w:szCs w:val="22"/>
        </w:rPr>
        <w:t xml:space="preserve"> du </w:t>
      </w:r>
      <w:r w:rsidR="00210EB6">
        <w:rPr>
          <w:rFonts w:cstheme="minorHAnsi"/>
          <w:color w:val="000000"/>
          <w:sz w:val="22"/>
          <w:szCs w:val="22"/>
        </w:rPr>
        <w:t>Sud-Ouest</w:t>
      </w:r>
      <w:r>
        <w:rPr>
          <w:rFonts w:cstheme="minorHAnsi"/>
          <w:color w:val="000000"/>
          <w:sz w:val="22"/>
          <w:szCs w:val="22"/>
        </w:rPr>
        <w:t xml:space="preserve"> de l’Océan Indien</w:t>
      </w:r>
      <w:r w:rsidRPr="0077511B">
        <w:rPr>
          <w:rFonts w:cstheme="minorHAnsi"/>
          <w:color w:val="000000"/>
          <w:sz w:val="22"/>
          <w:szCs w:val="22"/>
        </w:rPr>
        <w:t xml:space="preserve"> a </w:t>
      </w:r>
      <w:r>
        <w:rPr>
          <w:rFonts w:cstheme="minorHAnsi"/>
          <w:color w:val="000000"/>
          <w:sz w:val="22"/>
          <w:szCs w:val="22"/>
        </w:rPr>
        <w:t>connu une activité</w:t>
      </w:r>
      <w:r w:rsidRPr="0077511B">
        <w:rPr>
          <w:rFonts w:cstheme="minorHAnsi"/>
          <w:color w:val="000000"/>
          <w:sz w:val="22"/>
          <w:szCs w:val="22"/>
        </w:rPr>
        <w:t xml:space="preserve"> </w:t>
      </w:r>
      <w:r w:rsidR="00490531">
        <w:rPr>
          <w:rFonts w:cstheme="minorHAnsi"/>
          <w:color w:val="000000"/>
          <w:sz w:val="22"/>
          <w:szCs w:val="22"/>
        </w:rPr>
        <w:t>soutenue</w:t>
      </w:r>
      <w:r w:rsidRPr="0077511B">
        <w:rPr>
          <w:rFonts w:cstheme="minorHAnsi"/>
          <w:color w:val="000000"/>
          <w:sz w:val="22"/>
          <w:szCs w:val="22"/>
        </w:rPr>
        <w:t xml:space="preserve"> : 12 tempêtes se sont formées dont 5 ont atteint le stade de cyclone. </w:t>
      </w:r>
      <w:r>
        <w:rPr>
          <w:rFonts w:cstheme="minorHAnsi"/>
          <w:color w:val="000000"/>
          <w:sz w:val="22"/>
          <w:szCs w:val="22"/>
        </w:rPr>
        <w:t>Madagascar a été le pays le plus affecté avec,</w:t>
      </w:r>
      <w:r w:rsidRPr="0077511B">
        <w:rPr>
          <w:rFonts w:cstheme="minorHAnsi"/>
          <w:color w:val="000000"/>
          <w:sz w:val="22"/>
          <w:szCs w:val="22"/>
        </w:rPr>
        <w:t xml:space="preserve"> </w:t>
      </w:r>
      <w:r>
        <w:rPr>
          <w:rFonts w:cstheme="minorHAnsi"/>
          <w:color w:val="000000"/>
          <w:sz w:val="22"/>
          <w:szCs w:val="22"/>
        </w:rPr>
        <w:t>6 de ces systèmes qui ont traversé le pays</w:t>
      </w:r>
      <w:r w:rsidRPr="0077511B">
        <w:rPr>
          <w:rFonts w:cstheme="minorHAnsi"/>
          <w:color w:val="000000"/>
          <w:sz w:val="22"/>
          <w:szCs w:val="22"/>
        </w:rPr>
        <w:t xml:space="preserve">. Il s'agit de </w:t>
      </w:r>
      <w:proofErr w:type="spellStart"/>
      <w:r w:rsidRPr="0077511B">
        <w:rPr>
          <w:rFonts w:cstheme="minorHAnsi"/>
          <w:color w:val="000000"/>
          <w:sz w:val="22"/>
          <w:szCs w:val="22"/>
        </w:rPr>
        <w:t>Batsirai</w:t>
      </w:r>
      <w:proofErr w:type="spellEnd"/>
      <w:r w:rsidRPr="0077511B">
        <w:rPr>
          <w:rFonts w:cstheme="minorHAnsi"/>
          <w:color w:val="000000"/>
          <w:sz w:val="22"/>
          <w:szCs w:val="22"/>
        </w:rPr>
        <w:t xml:space="preserve">, </w:t>
      </w:r>
      <w:proofErr w:type="spellStart"/>
      <w:r w:rsidRPr="0077511B">
        <w:rPr>
          <w:rFonts w:cstheme="minorHAnsi"/>
          <w:color w:val="000000"/>
          <w:sz w:val="22"/>
          <w:szCs w:val="22"/>
        </w:rPr>
        <w:t>Emnati</w:t>
      </w:r>
      <w:proofErr w:type="spellEnd"/>
      <w:r w:rsidRPr="0077511B">
        <w:rPr>
          <w:rFonts w:cstheme="minorHAnsi"/>
          <w:color w:val="000000"/>
          <w:sz w:val="22"/>
          <w:szCs w:val="22"/>
        </w:rPr>
        <w:t xml:space="preserve">, Ana, </w:t>
      </w:r>
      <w:proofErr w:type="spellStart"/>
      <w:r w:rsidRPr="0077511B">
        <w:rPr>
          <w:rFonts w:cstheme="minorHAnsi"/>
          <w:color w:val="000000"/>
          <w:sz w:val="22"/>
          <w:szCs w:val="22"/>
        </w:rPr>
        <w:t>Dumako</w:t>
      </w:r>
      <w:proofErr w:type="spellEnd"/>
      <w:r w:rsidRPr="0077511B">
        <w:rPr>
          <w:rFonts w:cstheme="minorHAnsi"/>
          <w:color w:val="000000"/>
          <w:sz w:val="22"/>
          <w:szCs w:val="22"/>
        </w:rPr>
        <w:t>, Gombe et Jasmine</w:t>
      </w:r>
      <w:r>
        <w:rPr>
          <w:rFonts w:cstheme="minorHAnsi"/>
          <w:color w:val="000000"/>
          <w:sz w:val="22"/>
          <w:szCs w:val="22"/>
        </w:rPr>
        <w:t xml:space="preserve">. </w:t>
      </w:r>
      <w:r w:rsidR="00210EB6">
        <w:rPr>
          <w:rFonts w:cstheme="minorHAnsi"/>
          <w:color w:val="000000"/>
          <w:sz w:val="22"/>
          <w:szCs w:val="22"/>
        </w:rPr>
        <w:t xml:space="preserve">Toutefois, c’est le cyclone </w:t>
      </w:r>
      <w:proofErr w:type="spellStart"/>
      <w:r w:rsidR="00210EB6">
        <w:rPr>
          <w:rFonts w:cstheme="minorHAnsi"/>
          <w:color w:val="000000"/>
          <w:sz w:val="22"/>
          <w:szCs w:val="22"/>
        </w:rPr>
        <w:t>Batsirai</w:t>
      </w:r>
      <w:proofErr w:type="spellEnd"/>
      <w:r w:rsidR="00210EB6">
        <w:rPr>
          <w:rFonts w:cstheme="minorHAnsi"/>
          <w:color w:val="000000"/>
          <w:sz w:val="22"/>
          <w:szCs w:val="22"/>
        </w:rPr>
        <w:t xml:space="preserve"> qui a été le plus dévastateur avec </w:t>
      </w:r>
      <w:r w:rsidR="00210EB6" w:rsidRPr="0077511B">
        <w:rPr>
          <w:rFonts w:cstheme="minorHAnsi"/>
          <w:color w:val="000000"/>
          <w:sz w:val="22"/>
          <w:szCs w:val="22"/>
        </w:rPr>
        <w:t>80 personnes sont décédées, 112 115 personnes sinistrées et 61 489 personnes déplacées dans 99 sites d’hébergement. Les évaluations font également état de 7 488 habitations détruites, 2 714 endommagées et 6 978 inondées</w:t>
      </w:r>
      <w:r w:rsidR="00210EB6">
        <w:rPr>
          <w:rFonts w:cstheme="minorHAnsi"/>
          <w:color w:val="000000"/>
          <w:sz w:val="22"/>
          <w:szCs w:val="22"/>
        </w:rPr>
        <w:t xml:space="preserve">. </w:t>
      </w:r>
    </w:p>
    <w:p w14:paraId="1087CD4E" w14:textId="77777777" w:rsidR="004E4C71" w:rsidRPr="0077511B" w:rsidRDefault="004E4C71" w:rsidP="004E4C71">
      <w:pPr>
        <w:autoSpaceDE w:val="0"/>
        <w:autoSpaceDN w:val="0"/>
        <w:adjustRightInd w:val="0"/>
        <w:rPr>
          <w:rFonts w:cstheme="minorHAnsi"/>
          <w:color w:val="000000"/>
          <w:sz w:val="22"/>
          <w:szCs w:val="22"/>
        </w:rPr>
      </w:pPr>
    </w:p>
    <w:p w14:paraId="12506E6D" w14:textId="77777777" w:rsidR="00FE56FA" w:rsidRPr="00FE56FA" w:rsidRDefault="00FE56FA" w:rsidP="00FE56FA">
      <w:pPr>
        <w:autoSpaceDE w:val="0"/>
        <w:autoSpaceDN w:val="0"/>
        <w:adjustRightInd w:val="0"/>
        <w:rPr>
          <w:rFonts w:cstheme="minorHAnsi"/>
          <w:color w:val="000000"/>
          <w:sz w:val="22"/>
          <w:szCs w:val="22"/>
        </w:rPr>
      </w:pPr>
      <w:r w:rsidRPr="00FE56FA">
        <w:rPr>
          <w:rFonts w:cstheme="minorHAnsi"/>
          <w:b/>
          <w:bCs/>
          <w:color w:val="000000"/>
          <w:sz w:val="22"/>
          <w:szCs w:val="22"/>
        </w:rPr>
        <w:t>ACTIONS ET PERSPECTIVES</w:t>
      </w:r>
      <w:r w:rsidR="00210EB6" w:rsidRPr="00FE56FA">
        <w:rPr>
          <w:rFonts w:cstheme="minorHAnsi"/>
          <w:b/>
          <w:bCs/>
          <w:color w:val="000000"/>
          <w:sz w:val="22"/>
          <w:szCs w:val="22"/>
        </w:rPr>
        <w:t xml:space="preserve"> </w:t>
      </w:r>
    </w:p>
    <w:p w14:paraId="47875B8A" w14:textId="77777777" w:rsidR="00FE56FA" w:rsidRDefault="00FE56FA" w:rsidP="00FE56FA">
      <w:pPr>
        <w:autoSpaceDE w:val="0"/>
        <w:autoSpaceDN w:val="0"/>
        <w:adjustRightInd w:val="0"/>
        <w:rPr>
          <w:rFonts w:ascii="Times New Roman" w:hAnsi="Times New Roman" w:cs="Times New Roman"/>
          <w:b/>
          <w:bCs/>
          <w:i/>
          <w:iCs/>
          <w:color w:val="000000"/>
          <w:sz w:val="22"/>
          <w:szCs w:val="22"/>
        </w:rPr>
      </w:pPr>
    </w:p>
    <w:p w14:paraId="523113B6" w14:textId="6E89CD8C" w:rsidR="00FE56FA" w:rsidRPr="00FE56FA" w:rsidRDefault="00FE56FA" w:rsidP="00FE56FA">
      <w:pPr>
        <w:autoSpaceDE w:val="0"/>
        <w:autoSpaceDN w:val="0"/>
        <w:adjustRightInd w:val="0"/>
        <w:rPr>
          <w:rFonts w:cstheme="minorHAnsi"/>
          <w:color w:val="000000"/>
        </w:rPr>
      </w:pPr>
      <w:r w:rsidRPr="00FE56FA">
        <w:rPr>
          <w:rFonts w:ascii="Times New Roman" w:hAnsi="Times New Roman" w:cs="Times New Roman"/>
          <w:b/>
          <w:bCs/>
          <w:i/>
          <w:iCs/>
          <w:color w:val="000000"/>
        </w:rPr>
        <w:t>Développement de partenariats stratégiques et Renforcement de la coopération technique pour améliorer la préparation et la prévention face aux cyclones</w:t>
      </w:r>
    </w:p>
    <w:p w14:paraId="10E9CC9A" w14:textId="77777777" w:rsidR="00FE56FA" w:rsidRDefault="00FE56FA" w:rsidP="0077511B">
      <w:pPr>
        <w:autoSpaceDE w:val="0"/>
        <w:autoSpaceDN w:val="0"/>
        <w:adjustRightInd w:val="0"/>
        <w:rPr>
          <w:rFonts w:cstheme="minorHAnsi"/>
          <w:b/>
          <w:bCs/>
          <w:color w:val="000000"/>
          <w:sz w:val="22"/>
          <w:szCs w:val="22"/>
        </w:rPr>
      </w:pPr>
    </w:p>
    <w:p w14:paraId="7A43F584" w14:textId="77777777" w:rsidR="00FE56FA" w:rsidRDefault="00FE56FA" w:rsidP="00FE56FA">
      <w:pPr>
        <w:pStyle w:val="Paragraphedeliste"/>
        <w:numPr>
          <w:ilvl w:val="0"/>
          <w:numId w:val="1"/>
        </w:numPr>
        <w:autoSpaceDE w:val="0"/>
        <w:autoSpaceDN w:val="0"/>
        <w:adjustRightInd w:val="0"/>
        <w:jc w:val="both"/>
        <w:rPr>
          <w:rFonts w:cstheme="minorHAnsi"/>
          <w:color w:val="000000"/>
          <w:sz w:val="22"/>
          <w:szCs w:val="22"/>
        </w:rPr>
      </w:pPr>
      <w:r>
        <w:rPr>
          <w:rFonts w:cstheme="minorHAnsi"/>
          <w:color w:val="000000"/>
          <w:sz w:val="22"/>
          <w:szCs w:val="22"/>
        </w:rPr>
        <w:t xml:space="preserve">La COI poursuit son partenariat stratégique avec la PIROI qui est un acteur clé de </w:t>
      </w:r>
      <w:r w:rsidRPr="00FE56FA">
        <w:rPr>
          <w:rFonts w:cstheme="minorHAnsi"/>
          <w:color w:val="000000"/>
          <w:sz w:val="22"/>
          <w:szCs w:val="22"/>
        </w:rPr>
        <w:t>la région dans la</w:t>
      </w:r>
    </w:p>
    <w:p w14:paraId="504CD663" w14:textId="77AE0534" w:rsidR="00FE56FA" w:rsidRPr="00FE56FA" w:rsidRDefault="00FE56FA" w:rsidP="00FE56FA">
      <w:pPr>
        <w:autoSpaceDE w:val="0"/>
        <w:autoSpaceDN w:val="0"/>
        <w:adjustRightInd w:val="0"/>
        <w:jc w:val="both"/>
        <w:rPr>
          <w:rFonts w:cstheme="minorHAnsi"/>
          <w:color w:val="000000"/>
          <w:sz w:val="22"/>
          <w:szCs w:val="22"/>
        </w:rPr>
      </w:pPr>
      <w:r w:rsidRPr="00FE56FA">
        <w:rPr>
          <w:rFonts w:cstheme="minorHAnsi"/>
          <w:color w:val="000000"/>
          <w:sz w:val="22"/>
          <w:szCs w:val="22"/>
        </w:rPr>
        <w:t>réponse aux catastrophes. Il est notamment prévu de mutualiser les efforts entre la COI et la PIROI pour développer des mécanismes d’accès à des fonds d’urgence en cas de catastrophe à travers le programme RDRM-IO</w:t>
      </w:r>
      <w:r>
        <w:rPr>
          <w:rFonts w:cstheme="minorHAnsi"/>
          <w:color w:val="000000"/>
          <w:sz w:val="22"/>
          <w:szCs w:val="22"/>
        </w:rPr>
        <w:t xml:space="preserve"> finance par l’UE, mais également d’aider les pays à améliorer leurs plans d’urgence pour faire face aux catastrophes extrêmes tels que les cyclones.</w:t>
      </w:r>
    </w:p>
    <w:p w14:paraId="3B3121F0" w14:textId="77777777" w:rsidR="00FE56FA" w:rsidRDefault="00FE56FA" w:rsidP="00FE56FA">
      <w:pPr>
        <w:autoSpaceDE w:val="0"/>
        <w:autoSpaceDN w:val="0"/>
        <w:adjustRightInd w:val="0"/>
        <w:jc w:val="both"/>
        <w:rPr>
          <w:rFonts w:cstheme="minorHAnsi"/>
          <w:color w:val="000000"/>
          <w:sz w:val="22"/>
          <w:szCs w:val="22"/>
        </w:rPr>
      </w:pPr>
    </w:p>
    <w:p w14:paraId="40F7AEBD" w14:textId="77777777" w:rsidR="00FE56FA" w:rsidRPr="00FE56FA" w:rsidRDefault="00FE56FA" w:rsidP="00FE56FA">
      <w:pPr>
        <w:pStyle w:val="Paragraphedeliste"/>
        <w:numPr>
          <w:ilvl w:val="0"/>
          <w:numId w:val="1"/>
        </w:numPr>
        <w:autoSpaceDE w:val="0"/>
        <w:autoSpaceDN w:val="0"/>
        <w:adjustRightInd w:val="0"/>
        <w:jc w:val="both"/>
        <w:rPr>
          <w:rFonts w:cstheme="minorHAnsi"/>
          <w:color w:val="C00000"/>
          <w:sz w:val="22"/>
          <w:szCs w:val="22"/>
        </w:rPr>
      </w:pPr>
      <w:r>
        <w:rPr>
          <w:rFonts w:cstheme="minorHAnsi"/>
          <w:color w:val="000000"/>
          <w:sz w:val="22"/>
          <w:szCs w:val="22"/>
        </w:rPr>
        <w:t>La COI a également renforcé son cadre de coopération avec l’</w:t>
      </w:r>
      <w:r w:rsidRPr="00FE56FA">
        <w:rPr>
          <w:rFonts w:cstheme="minorHAnsi"/>
          <w:color w:val="000000"/>
          <w:sz w:val="22"/>
          <w:szCs w:val="22"/>
        </w:rPr>
        <w:t xml:space="preserve">UNDRR </w:t>
      </w:r>
      <w:r>
        <w:rPr>
          <w:rFonts w:cstheme="minorHAnsi"/>
          <w:color w:val="000000"/>
          <w:sz w:val="22"/>
          <w:szCs w:val="22"/>
        </w:rPr>
        <w:t>notamment par le biais</w:t>
      </w:r>
      <w:r w:rsidRPr="00FE56FA">
        <w:rPr>
          <w:rFonts w:cstheme="minorHAnsi"/>
          <w:color w:val="000000"/>
          <w:sz w:val="22"/>
          <w:szCs w:val="22"/>
        </w:rPr>
        <w:t xml:space="preserve"> </w:t>
      </w:r>
      <w:r>
        <w:rPr>
          <w:rFonts w:cstheme="minorHAnsi"/>
          <w:color w:val="000000"/>
          <w:sz w:val="22"/>
          <w:szCs w:val="22"/>
        </w:rPr>
        <w:t>du</w:t>
      </w:r>
    </w:p>
    <w:p w14:paraId="64E95AD2" w14:textId="37241EB0" w:rsidR="00FE56FA" w:rsidRPr="00FE56FA" w:rsidRDefault="00FE56FA" w:rsidP="00FE56FA">
      <w:pPr>
        <w:autoSpaceDE w:val="0"/>
        <w:autoSpaceDN w:val="0"/>
        <w:adjustRightInd w:val="0"/>
        <w:jc w:val="both"/>
        <w:rPr>
          <w:rFonts w:cstheme="minorHAnsi"/>
          <w:color w:val="C00000"/>
          <w:sz w:val="22"/>
          <w:szCs w:val="22"/>
        </w:rPr>
      </w:pPr>
      <w:r w:rsidRPr="00FE56FA">
        <w:rPr>
          <w:rFonts w:cstheme="minorHAnsi"/>
          <w:color w:val="000000"/>
          <w:sz w:val="22"/>
          <w:szCs w:val="22"/>
        </w:rPr>
        <w:t>même programme</w:t>
      </w:r>
      <w:r w:rsidRPr="00FE56FA">
        <w:rPr>
          <w:rFonts w:cstheme="minorHAnsi"/>
          <w:color w:val="C00000"/>
          <w:sz w:val="22"/>
          <w:szCs w:val="22"/>
        </w:rPr>
        <w:t xml:space="preserve"> </w:t>
      </w:r>
      <w:r w:rsidRPr="00FE56FA">
        <w:rPr>
          <w:rFonts w:cstheme="minorHAnsi"/>
          <w:color w:val="000000"/>
          <w:sz w:val="22"/>
          <w:szCs w:val="22"/>
        </w:rPr>
        <w:t>RDRM-IO</w:t>
      </w:r>
      <w:r w:rsidR="00BC2B70">
        <w:rPr>
          <w:rFonts w:cstheme="minorHAnsi"/>
          <w:color w:val="000000"/>
          <w:sz w:val="22"/>
          <w:szCs w:val="22"/>
        </w:rPr>
        <w:t xml:space="preserve">. </w:t>
      </w:r>
      <w:r w:rsidRPr="00FE56FA">
        <w:rPr>
          <w:rFonts w:cstheme="minorHAnsi"/>
          <w:color w:val="000000"/>
          <w:sz w:val="22"/>
          <w:szCs w:val="22"/>
        </w:rPr>
        <w:t xml:space="preserve"> A ce titre, une série d’évaluations des capacités des Etats membres au niveau de la préparation face aux cyclones et autres catastrophes majeures seront menées afin d’identifier les principales lacunes en termes de capacités techniques, technologiques et humaines. Il est attendu à travers ces analyses un plan de renforcement des capacités humaines et l’identification d’équipements nécessaires à l’amélioration des Systèmes d’Alerte Précoce.</w:t>
      </w:r>
    </w:p>
    <w:p w14:paraId="7B64B568" w14:textId="3A89F8C0" w:rsidR="00490531" w:rsidRPr="00490531" w:rsidRDefault="001E44D3" w:rsidP="00FE56FA">
      <w:pPr>
        <w:autoSpaceDE w:val="0"/>
        <w:autoSpaceDN w:val="0"/>
        <w:adjustRightInd w:val="0"/>
        <w:jc w:val="both"/>
        <w:rPr>
          <w:rFonts w:cstheme="minorHAnsi"/>
          <w:b/>
          <w:bCs/>
          <w:color w:val="000000"/>
          <w:sz w:val="22"/>
          <w:szCs w:val="22"/>
        </w:rPr>
      </w:pPr>
      <w:r>
        <w:rPr>
          <w:rFonts w:cstheme="minorHAnsi"/>
          <w:color w:val="000000"/>
          <w:sz w:val="22"/>
          <w:szCs w:val="22"/>
        </w:rPr>
        <w:t xml:space="preserve"> </w:t>
      </w:r>
      <w:r w:rsidR="00490531" w:rsidRPr="00210EB6">
        <w:rPr>
          <w:rFonts w:cstheme="minorHAnsi"/>
          <w:b/>
          <w:bCs/>
          <w:color w:val="000000"/>
          <w:sz w:val="22"/>
          <w:szCs w:val="22"/>
        </w:rPr>
        <w:t xml:space="preserve"> </w:t>
      </w:r>
    </w:p>
    <w:p w14:paraId="0DDBDC55" w14:textId="77777777" w:rsidR="00FE56FA" w:rsidRPr="00FE56FA" w:rsidRDefault="00FE56FA" w:rsidP="00FE56FA">
      <w:pPr>
        <w:pStyle w:val="Paragraphedeliste"/>
        <w:numPr>
          <w:ilvl w:val="0"/>
          <w:numId w:val="1"/>
        </w:numPr>
        <w:autoSpaceDE w:val="0"/>
        <w:autoSpaceDN w:val="0"/>
        <w:adjustRightInd w:val="0"/>
        <w:jc w:val="both"/>
        <w:rPr>
          <w:rFonts w:cstheme="minorHAnsi"/>
          <w:color w:val="000000"/>
          <w:sz w:val="22"/>
          <w:szCs w:val="22"/>
        </w:rPr>
      </w:pPr>
      <w:r w:rsidRPr="00FE56FA">
        <w:rPr>
          <w:rFonts w:cstheme="minorHAnsi"/>
          <w:color w:val="000000"/>
          <w:sz w:val="22"/>
          <w:szCs w:val="22"/>
        </w:rPr>
        <w:t xml:space="preserve">A travers </w:t>
      </w:r>
      <w:r>
        <w:rPr>
          <w:rFonts w:cstheme="minorHAnsi"/>
          <w:color w:val="000000"/>
          <w:sz w:val="22"/>
          <w:szCs w:val="22"/>
        </w:rPr>
        <w:t xml:space="preserve">le projet </w:t>
      </w:r>
      <w:r w:rsidRPr="00FE56FA">
        <w:rPr>
          <w:rFonts w:cstheme="minorHAnsi"/>
          <w:color w:val="000000"/>
          <w:sz w:val="22"/>
          <w:szCs w:val="22"/>
        </w:rPr>
        <w:t xml:space="preserve">GCCA, il est prévu </w:t>
      </w:r>
      <w:r w:rsidRPr="00FE56FA">
        <w:rPr>
          <w:rFonts w:cstheme="minorHAnsi"/>
          <w:color w:val="000000" w:themeColor="text1"/>
          <w:sz w:val="22"/>
          <w:szCs w:val="22"/>
        </w:rPr>
        <w:t>de renforcer la coopération avec les iles des Caraïbes et du</w:t>
      </w:r>
    </w:p>
    <w:p w14:paraId="37F03F02" w14:textId="66EFD285" w:rsidR="00490531" w:rsidRDefault="00FE56FA" w:rsidP="00FE56FA">
      <w:pPr>
        <w:autoSpaceDE w:val="0"/>
        <w:autoSpaceDN w:val="0"/>
        <w:adjustRightInd w:val="0"/>
        <w:jc w:val="both"/>
        <w:rPr>
          <w:rFonts w:cstheme="minorHAnsi"/>
          <w:color w:val="000000" w:themeColor="text1"/>
          <w:sz w:val="22"/>
          <w:szCs w:val="22"/>
        </w:rPr>
      </w:pPr>
      <w:r>
        <w:rPr>
          <w:rFonts w:cstheme="minorHAnsi"/>
          <w:color w:val="000000" w:themeColor="text1"/>
          <w:sz w:val="22"/>
          <w:szCs w:val="22"/>
        </w:rPr>
        <w:t>Pacifique</w:t>
      </w:r>
      <w:r w:rsidRPr="00FE56FA">
        <w:rPr>
          <w:rFonts w:cstheme="minorHAnsi"/>
          <w:color w:val="000000" w:themeColor="text1"/>
          <w:sz w:val="22"/>
          <w:szCs w:val="22"/>
        </w:rPr>
        <w:t xml:space="preserve"> dans le cadre du partenariat pour la résilience des iles contre le changement climatique (Climate Résilience Island partnership -CRIP). Le Secrétariat général capitalisera sur les accords établis avec le PROE et CCCCC en 2012 et sur la collaboration avec l’Organisation des Etats ACP pour faire avancer la coopération Sud-Sud entre les iles dans le cadre de ce projet</w:t>
      </w:r>
      <w:r>
        <w:rPr>
          <w:rFonts w:cstheme="minorHAnsi"/>
          <w:color w:val="000000" w:themeColor="text1"/>
          <w:sz w:val="22"/>
          <w:szCs w:val="22"/>
        </w:rPr>
        <w:t>.</w:t>
      </w:r>
    </w:p>
    <w:p w14:paraId="196C2C75" w14:textId="77777777" w:rsidR="00FE56FA" w:rsidRPr="00FE56FA" w:rsidRDefault="00FE56FA" w:rsidP="00FE56FA">
      <w:pPr>
        <w:autoSpaceDE w:val="0"/>
        <w:autoSpaceDN w:val="0"/>
        <w:adjustRightInd w:val="0"/>
        <w:jc w:val="both"/>
        <w:rPr>
          <w:rFonts w:cstheme="minorHAnsi"/>
          <w:color w:val="000000"/>
          <w:sz w:val="22"/>
          <w:szCs w:val="22"/>
        </w:rPr>
      </w:pPr>
    </w:p>
    <w:p w14:paraId="2BFA689C" w14:textId="584AB109" w:rsidR="00FE56FA" w:rsidRPr="00FE56FA" w:rsidRDefault="00FE56FA" w:rsidP="00FE56FA">
      <w:pPr>
        <w:pStyle w:val="Paragraphedeliste"/>
        <w:numPr>
          <w:ilvl w:val="0"/>
          <w:numId w:val="1"/>
        </w:numPr>
        <w:jc w:val="both"/>
        <w:rPr>
          <w:rFonts w:ascii="Times New Roman" w:eastAsia="Times New Roman" w:hAnsi="Times New Roman" w:cs="Times New Roman"/>
          <w:lang w:eastAsia="fr-FR"/>
        </w:rPr>
      </w:pPr>
      <w:r w:rsidRPr="00FE56FA">
        <w:rPr>
          <w:rFonts w:cstheme="minorHAnsi"/>
          <w:color w:val="000000"/>
          <w:sz w:val="22"/>
          <w:szCs w:val="22"/>
        </w:rPr>
        <w:lastRenderedPageBreak/>
        <w:t>Avec l’OMM</w:t>
      </w:r>
      <w:r>
        <w:rPr>
          <w:rFonts w:cstheme="minorHAnsi"/>
          <w:color w:val="000000"/>
          <w:sz w:val="22"/>
          <w:szCs w:val="22"/>
        </w:rPr>
        <w:t xml:space="preserve"> et Météo France</w:t>
      </w:r>
      <w:r w:rsidRPr="00FE56FA">
        <w:rPr>
          <w:rFonts w:cstheme="minorHAnsi"/>
          <w:color w:val="000000"/>
          <w:sz w:val="22"/>
          <w:szCs w:val="22"/>
        </w:rPr>
        <w:t>,</w:t>
      </w:r>
      <w:r>
        <w:rPr>
          <w:rFonts w:cstheme="minorHAnsi"/>
          <w:color w:val="000000"/>
          <w:sz w:val="22"/>
          <w:szCs w:val="22"/>
        </w:rPr>
        <w:t xml:space="preserve"> une coopération technique plus importante est attendue par</w:t>
      </w:r>
    </w:p>
    <w:p w14:paraId="7C1A7CA8" w14:textId="300E0530" w:rsidR="00FE56FA" w:rsidRPr="00FE56FA" w:rsidRDefault="00FE56FA" w:rsidP="00FE56FA">
      <w:pPr>
        <w:jc w:val="both"/>
        <w:rPr>
          <w:rFonts w:cstheme="minorHAnsi"/>
          <w:color w:val="000000"/>
          <w:sz w:val="22"/>
          <w:szCs w:val="22"/>
        </w:rPr>
      </w:pPr>
      <w:r w:rsidRPr="00FE56FA">
        <w:rPr>
          <w:rFonts w:cstheme="minorHAnsi"/>
          <w:color w:val="000000"/>
          <w:sz w:val="22"/>
          <w:szCs w:val="22"/>
        </w:rPr>
        <w:t>l’intermédiaire du projet Hydromet</w:t>
      </w:r>
      <w:r>
        <w:rPr>
          <w:rFonts w:cstheme="minorHAnsi"/>
          <w:color w:val="000000"/>
          <w:sz w:val="22"/>
          <w:szCs w:val="22"/>
        </w:rPr>
        <w:t>,</w:t>
      </w:r>
      <w:r w:rsidRPr="00FE56FA">
        <w:rPr>
          <w:rFonts w:cstheme="minorHAnsi"/>
          <w:color w:val="000000"/>
          <w:sz w:val="22"/>
          <w:szCs w:val="22"/>
        </w:rPr>
        <w:t xml:space="preserve"> </w:t>
      </w:r>
      <w:r>
        <w:rPr>
          <w:rFonts w:cstheme="minorHAnsi"/>
          <w:color w:val="000000"/>
          <w:sz w:val="22"/>
          <w:szCs w:val="22"/>
        </w:rPr>
        <w:t>visant notamment à</w:t>
      </w:r>
      <w:r w:rsidRPr="00FE56FA">
        <w:rPr>
          <w:rFonts w:cstheme="minorHAnsi"/>
          <w:color w:val="000000"/>
          <w:sz w:val="22"/>
          <w:szCs w:val="22"/>
        </w:rPr>
        <w:t xml:space="preserve"> renforcer  les réseaux de surveillance climatique, météorologique et hydrologique</w:t>
      </w:r>
      <w:r>
        <w:rPr>
          <w:rFonts w:cstheme="minorHAnsi"/>
          <w:color w:val="000000"/>
          <w:sz w:val="22"/>
          <w:szCs w:val="22"/>
        </w:rPr>
        <w:t xml:space="preserve"> des pays membres pour mieux prévenir l’impact des cyclones.</w:t>
      </w:r>
      <w:r w:rsidRPr="00FE56FA">
        <w:rPr>
          <w:rFonts w:ascii="Open Sans" w:eastAsia="Times New Roman" w:hAnsi="Open Sans" w:cs="Open Sans"/>
          <w:color w:val="7D868C"/>
          <w:sz w:val="21"/>
          <w:szCs w:val="21"/>
          <w:shd w:val="clear" w:color="auto" w:fill="FFFFFF"/>
          <w:lang w:eastAsia="fr-FR"/>
        </w:rPr>
        <w:t> </w:t>
      </w:r>
      <w:r w:rsidRPr="00FE56FA">
        <w:rPr>
          <w:rFonts w:cstheme="minorHAnsi"/>
          <w:color w:val="000000"/>
          <w:sz w:val="22"/>
          <w:szCs w:val="22"/>
        </w:rPr>
        <w:t xml:space="preserve">  </w:t>
      </w:r>
    </w:p>
    <w:p w14:paraId="5B6FE5E5" w14:textId="77777777" w:rsidR="00FE56FA" w:rsidRDefault="00FE56FA" w:rsidP="00FE56FA">
      <w:pPr>
        <w:autoSpaceDE w:val="0"/>
        <w:autoSpaceDN w:val="0"/>
        <w:adjustRightInd w:val="0"/>
        <w:jc w:val="both"/>
        <w:rPr>
          <w:rFonts w:cstheme="minorHAnsi"/>
          <w:color w:val="000000"/>
          <w:sz w:val="22"/>
          <w:szCs w:val="22"/>
        </w:rPr>
      </w:pPr>
    </w:p>
    <w:p w14:paraId="2C4D3E10" w14:textId="77777777" w:rsidR="00FE56FA" w:rsidRDefault="00FE56FA" w:rsidP="00FE56FA">
      <w:pPr>
        <w:pStyle w:val="Paragraphedeliste"/>
        <w:numPr>
          <w:ilvl w:val="0"/>
          <w:numId w:val="2"/>
        </w:numPr>
        <w:autoSpaceDE w:val="0"/>
        <w:autoSpaceDN w:val="0"/>
        <w:adjustRightInd w:val="0"/>
        <w:jc w:val="both"/>
        <w:rPr>
          <w:rFonts w:cstheme="minorHAnsi"/>
          <w:color w:val="000000"/>
          <w:sz w:val="22"/>
          <w:szCs w:val="22"/>
        </w:rPr>
      </w:pPr>
      <w:r>
        <w:rPr>
          <w:rFonts w:cstheme="minorHAnsi"/>
          <w:color w:val="000000"/>
          <w:sz w:val="22"/>
          <w:szCs w:val="22"/>
        </w:rPr>
        <w:t>La coopération avec l’Australie va connaitre un nouveau développement cette année avec la</w:t>
      </w:r>
    </w:p>
    <w:p w14:paraId="3E12345F" w14:textId="20A1E7F1" w:rsidR="00FE56FA" w:rsidRPr="00FE56FA" w:rsidRDefault="00FE56FA" w:rsidP="00FE56FA">
      <w:pPr>
        <w:autoSpaceDE w:val="0"/>
        <w:autoSpaceDN w:val="0"/>
        <w:adjustRightInd w:val="0"/>
        <w:jc w:val="both"/>
        <w:rPr>
          <w:rFonts w:cstheme="minorHAnsi"/>
          <w:color w:val="000000"/>
          <w:sz w:val="22"/>
          <w:szCs w:val="22"/>
        </w:rPr>
      </w:pPr>
      <w:r w:rsidRPr="00FE56FA">
        <w:rPr>
          <w:rFonts w:cstheme="minorHAnsi"/>
          <w:color w:val="000000"/>
          <w:sz w:val="22"/>
          <w:szCs w:val="22"/>
        </w:rPr>
        <w:t>mise à disposition d’un Expert technique spécialisé dans la Réduction des Risque de Catastrophes. L’expert apportera une contribution dans le développement de politiques</w:t>
      </w:r>
      <w:r>
        <w:rPr>
          <w:rFonts w:cstheme="minorHAnsi"/>
          <w:color w:val="000000"/>
          <w:sz w:val="22"/>
          <w:szCs w:val="22"/>
        </w:rPr>
        <w:t xml:space="preserve">, </w:t>
      </w:r>
      <w:r w:rsidRPr="00FE56FA">
        <w:rPr>
          <w:rFonts w:cstheme="minorHAnsi"/>
          <w:color w:val="000000"/>
          <w:sz w:val="22"/>
          <w:szCs w:val="22"/>
        </w:rPr>
        <w:t>stratégies</w:t>
      </w:r>
      <w:r>
        <w:rPr>
          <w:rFonts w:cstheme="minorHAnsi"/>
          <w:color w:val="000000"/>
          <w:sz w:val="22"/>
          <w:szCs w:val="22"/>
        </w:rPr>
        <w:t xml:space="preserve"> et actions à mettre en œuvre</w:t>
      </w:r>
      <w:r w:rsidRPr="00FE56FA">
        <w:rPr>
          <w:rFonts w:cstheme="minorHAnsi"/>
          <w:color w:val="000000"/>
          <w:sz w:val="22"/>
          <w:szCs w:val="22"/>
        </w:rPr>
        <w:t xml:space="preserve"> </w:t>
      </w:r>
      <w:r>
        <w:rPr>
          <w:rFonts w:cstheme="minorHAnsi"/>
          <w:color w:val="000000"/>
          <w:sz w:val="22"/>
          <w:szCs w:val="22"/>
        </w:rPr>
        <w:t>pour</w:t>
      </w:r>
      <w:r w:rsidRPr="00FE56FA">
        <w:rPr>
          <w:rFonts w:cstheme="minorHAnsi"/>
          <w:color w:val="000000"/>
          <w:sz w:val="22"/>
          <w:szCs w:val="22"/>
        </w:rPr>
        <w:t xml:space="preserve"> l’aménagement du territoire dans le contexte du changement climatique</w:t>
      </w:r>
      <w:r>
        <w:rPr>
          <w:rFonts w:cstheme="minorHAnsi"/>
          <w:color w:val="000000"/>
          <w:sz w:val="22"/>
          <w:szCs w:val="22"/>
        </w:rPr>
        <w:t>.</w:t>
      </w:r>
      <w:r w:rsidRPr="00FE56FA">
        <w:rPr>
          <w:rFonts w:cstheme="minorHAnsi"/>
          <w:color w:val="000000"/>
          <w:sz w:val="22"/>
          <w:szCs w:val="22"/>
        </w:rPr>
        <w:t xml:space="preserve">  </w:t>
      </w:r>
    </w:p>
    <w:p w14:paraId="4CBF408D" w14:textId="77777777" w:rsidR="00FE56FA" w:rsidRPr="00FE56FA" w:rsidRDefault="00FE56FA" w:rsidP="00FE56FA">
      <w:pPr>
        <w:autoSpaceDE w:val="0"/>
        <w:autoSpaceDN w:val="0"/>
        <w:adjustRightInd w:val="0"/>
        <w:jc w:val="both"/>
        <w:rPr>
          <w:rFonts w:ascii="Times New Roman" w:hAnsi="Times New Roman" w:cs="Times New Roman"/>
          <w:b/>
          <w:bCs/>
          <w:i/>
          <w:iCs/>
          <w:color w:val="000000"/>
        </w:rPr>
      </w:pPr>
    </w:p>
    <w:p w14:paraId="356418C9" w14:textId="77777777" w:rsidR="00FE56FA" w:rsidRPr="00FE56FA" w:rsidRDefault="00FE56FA" w:rsidP="00FE56FA">
      <w:pPr>
        <w:autoSpaceDE w:val="0"/>
        <w:autoSpaceDN w:val="0"/>
        <w:adjustRightInd w:val="0"/>
        <w:jc w:val="both"/>
        <w:rPr>
          <w:rFonts w:ascii="Times New Roman" w:hAnsi="Times New Roman" w:cs="Times New Roman"/>
          <w:b/>
          <w:bCs/>
          <w:i/>
          <w:iCs/>
          <w:color w:val="000000"/>
        </w:rPr>
      </w:pPr>
    </w:p>
    <w:p w14:paraId="38D879BA" w14:textId="0695A192" w:rsidR="00FE56FA" w:rsidRPr="00FE56FA" w:rsidRDefault="00FE56FA" w:rsidP="00FE56FA">
      <w:pPr>
        <w:autoSpaceDE w:val="0"/>
        <w:autoSpaceDN w:val="0"/>
        <w:adjustRightInd w:val="0"/>
        <w:jc w:val="both"/>
        <w:rPr>
          <w:rFonts w:ascii="Times New Roman" w:hAnsi="Times New Roman" w:cs="Times New Roman"/>
          <w:b/>
          <w:bCs/>
          <w:i/>
          <w:iCs/>
          <w:color w:val="000000"/>
        </w:rPr>
      </w:pPr>
      <w:r w:rsidRPr="00FE56FA">
        <w:rPr>
          <w:rFonts w:ascii="Times New Roman" w:hAnsi="Times New Roman" w:cs="Times New Roman"/>
          <w:b/>
          <w:bCs/>
          <w:i/>
          <w:iCs/>
          <w:color w:val="000000"/>
        </w:rPr>
        <w:t>Amélioration des procédures et mécanismes régionaux de préparation et de réponse</w:t>
      </w:r>
    </w:p>
    <w:p w14:paraId="77122B7A" w14:textId="77777777" w:rsidR="00FE56FA" w:rsidRDefault="00FE56FA" w:rsidP="00FE56FA">
      <w:pPr>
        <w:autoSpaceDE w:val="0"/>
        <w:autoSpaceDN w:val="0"/>
        <w:adjustRightInd w:val="0"/>
        <w:jc w:val="both"/>
        <w:rPr>
          <w:rFonts w:cstheme="minorHAnsi"/>
          <w:color w:val="000000"/>
          <w:sz w:val="22"/>
          <w:szCs w:val="22"/>
        </w:rPr>
      </w:pPr>
    </w:p>
    <w:p w14:paraId="09450150" w14:textId="27CD80F7" w:rsidR="00FE56FA" w:rsidRDefault="00FE56FA" w:rsidP="00FE56FA">
      <w:pPr>
        <w:autoSpaceDE w:val="0"/>
        <w:autoSpaceDN w:val="0"/>
        <w:adjustRightInd w:val="0"/>
        <w:jc w:val="both"/>
        <w:rPr>
          <w:rFonts w:cstheme="minorHAnsi"/>
          <w:color w:val="000000"/>
          <w:sz w:val="22"/>
          <w:szCs w:val="22"/>
        </w:rPr>
      </w:pPr>
      <w:r>
        <w:rPr>
          <w:rFonts w:cstheme="minorHAnsi"/>
          <w:color w:val="000000"/>
          <w:sz w:val="22"/>
          <w:szCs w:val="22"/>
        </w:rPr>
        <w:t xml:space="preserve">Dans la perspective de mettre en place des protocoles de gestion de crise efficaces dans les situations d’urgence au bénéfice des États membres, la COI en partenariat avec l’UNDRR et la PIROI soutiendra un certain nombre d’actions sous forme de de consultations nationales et régionales, d’ateliers régionaux d’apprentissage par les pairs, et d’exercices de simulations visant à : </w:t>
      </w:r>
    </w:p>
    <w:p w14:paraId="456D8C1E" w14:textId="77777777" w:rsidR="00FE56FA" w:rsidRPr="00FE56FA" w:rsidRDefault="00FE56FA" w:rsidP="00FE56FA">
      <w:pPr>
        <w:autoSpaceDE w:val="0"/>
        <w:autoSpaceDN w:val="0"/>
        <w:adjustRightInd w:val="0"/>
        <w:jc w:val="both"/>
        <w:rPr>
          <w:rFonts w:cstheme="minorHAnsi"/>
          <w:color w:val="000000"/>
          <w:sz w:val="22"/>
          <w:szCs w:val="22"/>
        </w:rPr>
      </w:pPr>
    </w:p>
    <w:p w14:paraId="479208E8" w14:textId="3D69A3A1" w:rsidR="00FE56FA" w:rsidRPr="00FE56FA" w:rsidRDefault="00FE56FA" w:rsidP="00FE56FA">
      <w:pPr>
        <w:pStyle w:val="Paragraphedeliste"/>
        <w:numPr>
          <w:ilvl w:val="0"/>
          <w:numId w:val="1"/>
        </w:numPr>
        <w:autoSpaceDE w:val="0"/>
        <w:autoSpaceDN w:val="0"/>
        <w:adjustRightInd w:val="0"/>
        <w:jc w:val="both"/>
        <w:rPr>
          <w:rFonts w:cstheme="minorHAnsi"/>
          <w:color w:val="000000" w:themeColor="text1"/>
          <w:sz w:val="22"/>
          <w:szCs w:val="22"/>
        </w:rPr>
      </w:pPr>
      <w:r w:rsidRPr="00FE56FA">
        <w:rPr>
          <w:rFonts w:cstheme="minorHAnsi"/>
          <w:color w:val="000000" w:themeColor="text1"/>
          <w:sz w:val="22"/>
          <w:szCs w:val="22"/>
        </w:rPr>
        <w:t>Améliorer la rapidité de la remontée des informations et mettre en place des mécanismes de communication efficace</w:t>
      </w:r>
      <w:r>
        <w:rPr>
          <w:rFonts w:cstheme="minorHAnsi"/>
          <w:color w:val="000000" w:themeColor="text1"/>
          <w:sz w:val="22"/>
          <w:szCs w:val="22"/>
        </w:rPr>
        <w:t>.</w:t>
      </w:r>
    </w:p>
    <w:p w14:paraId="48A514A3" w14:textId="18B730CE" w:rsidR="00FE56FA" w:rsidRPr="00FE56FA" w:rsidRDefault="00FE56FA" w:rsidP="00FE56FA">
      <w:pPr>
        <w:pStyle w:val="Paragraphedeliste"/>
        <w:numPr>
          <w:ilvl w:val="0"/>
          <w:numId w:val="1"/>
        </w:numPr>
        <w:autoSpaceDE w:val="0"/>
        <w:autoSpaceDN w:val="0"/>
        <w:adjustRightInd w:val="0"/>
        <w:jc w:val="both"/>
        <w:rPr>
          <w:rFonts w:cstheme="minorHAnsi"/>
          <w:color w:val="000000" w:themeColor="text1"/>
          <w:sz w:val="22"/>
          <w:szCs w:val="22"/>
        </w:rPr>
      </w:pPr>
      <w:r w:rsidRPr="00FE56FA">
        <w:rPr>
          <w:rFonts w:cstheme="minorHAnsi"/>
          <w:color w:val="000000" w:themeColor="text1"/>
          <w:sz w:val="22"/>
          <w:szCs w:val="22"/>
        </w:rPr>
        <w:t>Fluidifier la communication inter</w:t>
      </w:r>
      <w:r>
        <w:rPr>
          <w:rFonts w:cstheme="minorHAnsi"/>
          <w:color w:val="000000" w:themeColor="text1"/>
          <w:sz w:val="22"/>
          <w:szCs w:val="22"/>
        </w:rPr>
        <w:t>-</w:t>
      </w:r>
      <w:r w:rsidRPr="00FE56FA">
        <w:rPr>
          <w:rFonts w:cstheme="minorHAnsi"/>
          <w:color w:val="000000" w:themeColor="text1"/>
          <w:sz w:val="22"/>
          <w:szCs w:val="22"/>
        </w:rPr>
        <w:t>institution</w:t>
      </w:r>
    </w:p>
    <w:p w14:paraId="7BCDB02F" w14:textId="0F272222" w:rsidR="001E44D3" w:rsidRPr="00FE56FA" w:rsidRDefault="00FE56FA" w:rsidP="00FE56FA">
      <w:pPr>
        <w:pStyle w:val="Paragraphedeliste"/>
        <w:numPr>
          <w:ilvl w:val="0"/>
          <w:numId w:val="1"/>
        </w:numPr>
        <w:autoSpaceDE w:val="0"/>
        <w:autoSpaceDN w:val="0"/>
        <w:adjustRightInd w:val="0"/>
        <w:jc w:val="both"/>
        <w:rPr>
          <w:rFonts w:cstheme="minorHAnsi"/>
          <w:color w:val="000000" w:themeColor="text1"/>
          <w:sz w:val="22"/>
          <w:szCs w:val="22"/>
        </w:rPr>
      </w:pPr>
      <w:r w:rsidRPr="00FE56FA">
        <w:rPr>
          <w:rFonts w:cstheme="minorHAnsi"/>
          <w:color w:val="000000" w:themeColor="text1"/>
          <w:sz w:val="22"/>
          <w:szCs w:val="22"/>
        </w:rPr>
        <w:t xml:space="preserve">Améliorer les procédures de réponse institutionnelles en cas de catastrophes </w:t>
      </w:r>
    </w:p>
    <w:p w14:paraId="2D917E6C" w14:textId="14F5FA98" w:rsidR="00FE56FA" w:rsidRPr="00FE56FA" w:rsidRDefault="00FE56FA" w:rsidP="00FE56FA">
      <w:pPr>
        <w:pStyle w:val="Paragraphedeliste"/>
        <w:numPr>
          <w:ilvl w:val="0"/>
          <w:numId w:val="1"/>
        </w:numPr>
        <w:autoSpaceDE w:val="0"/>
        <w:autoSpaceDN w:val="0"/>
        <w:adjustRightInd w:val="0"/>
        <w:jc w:val="both"/>
        <w:rPr>
          <w:rFonts w:cstheme="minorHAnsi"/>
          <w:color w:val="000000" w:themeColor="text1"/>
          <w:sz w:val="22"/>
          <w:szCs w:val="22"/>
        </w:rPr>
      </w:pPr>
      <w:r w:rsidRPr="00FE56FA">
        <w:rPr>
          <w:rFonts w:cstheme="minorHAnsi"/>
          <w:color w:val="000000" w:themeColor="text1"/>
          <w:sz w:val="22"/>
          <w:szCs w:val="22"/>
        </w:rPr>
        <w:t xml:space="preserve">Renforcer la coordination multisectorielle </w:t>
      </w:r>
      <w:r>
        <w:rPr>
          <w:rFonts w:cstheme="minorHAnsi"/>
          <w:color w:val="000000" w:themeColor="text1"/>
          <w:sz w:val="22"/>
          <w:szCs w:val="22"/>
        </w:rPr>
        <w:t>dans la préparation et la réponse</w:t>
      </w:r>
    </w:p>
    <w:p w14:paraId="52F8CB06" w14:textId="48D1780A" w:rsidR="00FE56FA" w:rsidRPr="00FE56FA" w:rsidRDefault="00FE56FA" w:rsidP="00FE56FA">
      <w:pPr>
        <w:pStyle w:val="Paragraphedeliste"/>
        <w:numPr>
          <w:ilvl w:val="0"/>
          <w:numId w:val="1"/>
        </w:numPr>
        <w:autoSpaceDE w:val="0"/>
        <w:autoSpaceDN w:val="0"/>
        <w:adjustRightInd w:val="0"/>
        <w:jc w:val="both"/>
        <w:rPr>
          <w:rFonts w:cstheme="minorHAnsi"/>
          <w:color w:val="000000" w:themeColor="text1"/>
          <w:sz w:val="22"/>
          <w:szCs w:val="22"/>
        </w:rPr>
      </w:pPr>
      <w:r>
        <w:rPr>
          <w:rFonts w:cstheme="minorHAnsi"/>
          <w:color w:val="000000" w:themeColor="text1"/>
          <w:sz w:val="22"/>
          <w:szCs w:val="22"/>
        </w:rPr>
        <w:t>Renforcer les Systèmes de Gestion de l’information aux catastrophes et optimiser leur utilisation</w:t>
      </w:r>
    </w:p>
    <w:p w14:paraId="1ECB1012" w14:textId="77777777" w:rsidR="001E44D3" w:rsidRPr="00FE56FA" w:rsidRDefault="001E44D3" w:rsidP="00FE56FA">
      <w:pPr>
        <w:autoSpaceDE w:val="0"/>
        <w:autoSpaceDN w:val="0"/>
        <w:adjustRightInd w:val="0"/>
        <w:jc w:val="both"/>
        <w:rPr>
          <w:rFonts w:ascii="Times New Roman" w:hAnsi="Times New Roman" w:cs="Times New Roman"/>
          <w:b/>
          <w:bCs/>
          <w:i/>
          <w:iCs/>
          <w:color w:val="000000" w:themeColor="text1"/>
          <w:sz w:val="22"/>
          <w:szCs w:val="22"/>
        </w:rPr>
      </w:pPr>
    </w:p>
    <w:sectPr w:rsidR="001E44D3" w:rsidRPr="00FE56FA">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CB02A" w14:textId="77777777" w:rsidR="00AB7A01" w:rsidRDefault="00AB7A01" w:rsidP="00BC2B70">
      <w:r>
        <w:separator/>
      </w:r>
    </w:p>
  </w:endnote>
  <w:endnote w:type="continuationSeparator" w:id="0">
    <w:p w14:paraId="1FEE2EA7" w14:textId="77777777" w:rsidR="00AB7A01" w:rsidRDefault="00AB7A01" w:rsidP="00BC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0296B" w14:textId="77777777" w:rsidR="00AB7A01" w:rsidRDefault="00AB7A01" w:rsidP="00BC2B70">
      <w:r>
        <w:separator/>
      </w:r>
    </w:p>
  </w:footnote>
  <w:footnote w:type="continuationSeparator" w:id="0">
    <w:p w14:paraId="1970CFA7" w14:textId="77777777" w:rsidR="00AB7A01" w:rsidRDefault="00AB7A01" w:rsidP="00BC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61B7" w14:textId="053F1192" w:rsidR="00BC2B70" w:rsidRPr="00135CCA" w:rsidRDefault="00BC2B70" w:rsidP="00135CCA">
    <w:pPr>
      <w:pStyle w:val="En-tte"/>
      <w:jc w:val="right"/>
      <w:rPr>
        <w:b/>
        <w:bCs/>
      </w:rPr>
    </w:pPr>
    <w:r w:rsidRPr="00135CCA">
      <w:rPr>
        <w:b/>
        <w:bCs/>
      </w:rPr>
      <w:t>Point2.5</w:t>
    </w:r>
    <w:r w:rsidR="00135CCA" w:rsidRPr="00135CCA">
      <w:rPr>
        <w:b/>
        <w:bCs/>
      </w:rPr>
      <w:t xml:space="preserve"> – Annexe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96450"/>
    <w:multiLevelType w:val="hybridMultilevel"/>
    <w:tmpl w:val="3420FCFA"/>
    <w:lvl w:ilvl="0" w:tplc="040C0005">
      <w:start w:val="1"/>
      <w:numFmt w:val="bullet"/>
      <w:lvlText w:val=""/>
      <w:lvlJc w:val="left"/>
      <w:pPr>
        <w:ind w:left="360" w:hanging="360"/>
      </w:pPr>
      <w:rPr>
        <w:rFonts w:ascii="Wingdings" w:hAnsi="Wingdings" w:cs="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61751DB3"/>
    <w:multiLevelType w:val="hybridMultilevel"/>
    <w:tmpl w:val="CE9A728A"/>
    <w:lvl w:ilvl="0" w:tplc="940E86D8">
      <w:start w:val="1"/>
      <w:numFmt w:val="bullet"/>
      <w:lvlText w:val=""/>
      <w:lvlJc w:val="left"/>
      <w:pPr>
        <w:ind w:left="360" w:hanging="360"/>
      </w:pPr>
      <w:rPr>
        <w:rFonts w:ascii="Wingdings" w:hAnsi="Wingdings" w:cs="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06656034">
    <w:abstractNumId w:val="1"/>
  </w:num>
  <w:num w:numId="2" w16cid:durableId="65349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1B"/>
    <w:rsid w:val="00003697"/>
    <w:rsid w:val="00135CCA"/>
    <w:rsid w:val="001E44D3"/>
    <w:rsid w:val="00210EB6"/>
    <w:rsid w:val="002F4905"/>
    <w:rsid w:val="00391AC0"/>
    <w:rsid w:val="00490531"/>
    <w:rsid w:val="004E4C71"/>
    <w:rsid w:val="006E5938"/>
    <w:rsid w:val="0077511B"/>
    <w:rsid w:val="008B5AF3"/>
    <w:rsid w:val="009C19F9"/>
    <w:rsid w:val="00AB7A01"/>
    <w:rsid w:val="00BC2B70"/>
    <w:rsid w:val="00E718A6"/>
    <w:rsid w:val="00FE56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67BED"/>
  <w15:chartTrackingRefBased/>
  <w15:docId w15:val="{CF1AB94D-24B8-8442-BCAE-3E8DCABCC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E56FA"/>
    <w:pPr>
      <w:ind w:left="720"/>
      <w:contextualSpacing/>
    </w:pPr>
  </w:style>
  <w:style w:type="paragraph" w:styleId="En-tte">
    <w:name w:val="header"/>
    <w:basedOn w:val="Normal"/>
    <w:link w:val="En-tteCar"/>
    <w:uiPriority w:val="99"/>
    <w:unhideWhenUsed/>
    <w:rsid w:val="00BC2B70"/>
    <w:pPr>
      <w:tabs>
        <w:tab w:val="center" w:pos="4536"/>
        <w:tab w:val="right" w:pos="9072"/>
      </w:tabs>
    </w:pPr>
  </w:style>
  <w:style w:type="character" w:customStyle="1" w:styleId="En-tteCar">
    <w:name w:val="En-tête Car"/>
    <w:basedOn w:val="Policepardfaut"/>
    <w:link w:val="En-tte"/>
    <w:uiPriority w:val="99"/>
    <w:rsid w:val="00BC2B70"/>
  </w:style>
  <w:style w:type="paragraph" w:styleId="Pieddepage">
    <w:name w:val="footer"/>
    <w:basedOn w:val="Normal"/>
    <w:link w:val="PieddepageCar"/>
    <w:uiPriority w:val="99"/>
    <w:unhideWhenUsed/>
    <w:rsid w:val="00BC2B70"/>
    <w:pPr>
      <w:tabs>
        <w:tab w:val="center" w:pos="4536"/>
        <w:tab w:val="right" w:pos="9072"/>
      </w:tabs>
    </w:pPr>
  </w:style>
  <w:style w:type="character" w:customStyle="1" w:styleId="PieddepageCar">
    <w:name w:val="Pied de page Car"/>
    <w:basedOn w:val="Policepardfaut"/>
    <w:link w:val="Pieddepage"/>
    <w:uiPriority w:val="99"/>
    <w:rsid w:val="00BC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794279">
      <w:bodyDiv w:val="1"/>
      <w:marLeft w:val="0"/>
      <w:marRight w:val="0"/>
      <w:marTop w:val="0"/>
      <w:marBottom w:val="0"/>
      <w:divBdr>
        <w:top w:val="none" w:sz="0" w:space="0" w:color="auto"/>
        <w:left w:val="none" w:sz="0" w:space="0" w:color="auto"/>
        <w:bottom w:val="none" w:sz="0" w:space="0" w:color="auto"/>
        <w:right w:val="none" w:sz="0" w:space="0" w:color="auto"/>
      </w:divBdr>
    </w:div>
    <w:div w:id="15813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4336</Characters>
  <Application>Microsoft Office Word</Application>
  <DocSecurity>4</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Bafakih Shafik</dc:creator>
  <cp:keywords/>
  <dc:description/>
  <cp:lastModifiedBy>Gilles RIBOUET</cp:lastModifiedBy>
  <cp:revision>2</cp:revision>
  <dcterms:created xsi:type="dcterms:W3CDTF">2023-04-14T10:30:00Z</dcterms:created>
  <dcterms:modified xsi:type="dcterms:W3CDTF">2023-04-14T10:30:00Z</dcterms:modified>
</cp:coreProperties>
</file>