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3BE8C" w14:textId="511FCEFE" w:rsidR="00044923" w:rsidRDefault="00044923" w:rsidP="00044923">
      <w:pPr>
        <w:pStyle w:val="Titre"/>
        <w:ind w:left="0"/>
        <w:jc w:val="right"/>
        <w:rPr>
          <w:rFonts w:ascii="Verdana" w:hAnsi="Verdana"/>
          <w:sz w:val="22"/>
          <w:szCs w:val="22"/>
        </w:rPr>
      </w:pPr>
      <w:r>
        <w:rPr>
          <w:rFonts w:ascii="Verdana" w:hAnsi="Verdana"/>
          <w:sz w:val="22"/>
          <w:szCs w:val="22"/>
        </w:rPr>
        <w:t xml:space="preserve">2.4. - </w:t>
      </w:r>
      <w:r w:rsidR="00F8259D" w:rsidRPr="00044923">
        <w:rPr>
          <w:rFonts w:ascii="Verdana" w:hAnsi="Verdana"/>
          <w:sz w:val="22"/>
          <w:szCs w:val="22"/>
        </w:rPr>
        <w:t>Annexe 1 </w:t>
      </w:r>
    </w:p>
    <w:p w14:paraId="4F10E205" w14:textId="4A3F446D" w:rsidR="00F8259D" w:rsidRPr="00044923" w:rsidRDefault="00F8259D" w:rsidP="00044923">
      <w:pPr>
        <w:pStyle w:val="Titre"/>
        <w:ind w:left="0"/>
        <w:jc w:val="both"/>
        <w:rPr>
          <w:rFonts w:ascii="Verdana" w:hAnsi="Verdana"/>
          <w:sz w:val="22"/>
          <w:szCs w:val="22"/>
        </w:rPr>
      </w:pPr>
      <w:r w:rsidRPr="00044923">
        <w:rPr>
          <w:rFonts w:ascii="Verdana" w:hAnsi="Verdana"/>
          <w:sz w:val="22"/>
          <w:szCs w:val="22"/>
        </w:rPr>
        <w:t>Feuille de route pour la préfiguration de l’agence de la biodiversit</w:t>
      </w:r>
      <w:r w:rsidR="00044923">
        <w:rPr>
          <w:rFonts w:ascii="Verdana" w:hAnsi="Verdana"/>
          <w:sz w:val="22"/>
          <w:szCs w:val="22"/>
        </w:rPr>
        <w:t>é</w:t>
      </w:r>
      <w:r w:rsidRPr="00044923">
        <w:rPr>
          <w:rFonts w:ascii="Verdana" w:hAnsi="Verdana"/>
          <w:sz w:val="22"/>
          <w:szCs w:val="22"/>
        </w:rPr>
        <w:t> </w:t>
      </w:r>
    </w:p>
    <w:p w14:paraId="20773CB6" w14:textId="77777777" w:rsidR="00F8259D" w:rsidRPr="00044923" w:rsidRDefault="00F8259D" w:rsidP="00F8259D">
      <w:pPr>
        <w:pStyle w:val="Titre1"/>
        <w:ind w:left="0" w:firstLine="0"/>
        <w:rPr>
          <w:sz w:val="22"/>
          <w:szCs w:val="22"/>
        </w:rPr>
      </w:pPr>
      <w:bookmarkStart w:id="0" w:name="_Toc115857520"/>
      <w:r w:rsidRPr="00044923">
        <w:rPr>
          <w:sz w:val="22"/>
          <w:szCs w:val="22"/>
        </w:rPr>
        <w:t>Principes</w:t>
      </w:r>
      <w:bookmarkEnd w:id="0"/>
      <w:r w:rsidRPr="00044923">
        <w:rPr>
          <w:sz w:val="22"/>
          <w:szCs w:val="22"/>
        </w:rPr>
        <w:t xml:space="preserve">  </w:t>
      </w:r>
    </w:p>
    <w:p w14:paraId="1960C31F" w14:textId="77777777" w:rsidR="00F8259D" w:rsidRPr="00044923" w:rsidRDefault="00F8259D" w:rsidP="00F8259D">
      <w:pPr>
        <w:pStyle w:val="Corpsdetexte"/>
        <w:rPr>
          <w:rFonts w:ascii="Verdana" w:hAnsi="Verdana"/>
          <w:sz w:val="22"/>
          <w:szCs w:val="22"/>
        </w:rPr>
      </w:pPr>
      <w:r w:rsidRPr="00044923">
        <w:rPr>
          <w:rFonts w:ascii="Verdana" w:hAnsi="Verdana"/>
          <w:sz w:val="22"/>
          <w:szCs w:val="22"/>
        </w:rPr>
        <w:t xml:space="preserve">Les principes proposés pour cette agence de la biodiversité pour les Etats membres de la COI sont les suivants. Ils ne sont pas hiérarchisés par un quelconque ordre d’importance ou de priorité mais sont à considérer comme un tout </w:t>
      </w:r>
      <w:proofErr w:type="gramStart"/>
      <w:r w:rsidRPr="00044923">
        <w:rPr>
          <w:rFonts w:ascii="Verdana" w:hAnsi="Verdana"/>
          <w:sz w:val="22"/>
          <w:szCs w:val="22"/>
        </w:rPr>
        <w:t>cohérent</w:t>
      </w:r>
      <w:proofErr w:type="gramEnd"/>
      <w:r w:rsidRPr="00044923">
        <w:rPr>
          <w:rFonts w:ascii="Verdana" w:hAnsi="Verdana"/>
          <w:sz w:val="22"/>
          <w:szCs w:val="22"/>
        </w:rPr>
        <w:t xml:space="preserve"> et équilibré d’une action reconnue et durable : </w:t>
      </w:r>
    </w:p>
    <w:p w14:paraId="302A4E29" w14:textId="77777777" w:rsidR="00F8259D" w:rsidRPr="00044923" w:rsidRDefault="00F8259D" w:rsidP="00F8259D">
      <w:pPr>
        <w:pStyle w:val="COI-Listechiffre"/>
        <w:rPr>
          <w:rFonts w:ascii="Verdana" w:hAnsi="Verdana"/>
          <w:sz w:val="22"/>
          <w:szCs w:val="22"/>
        </w:rPr>
      </w:pPr>
      <w:r w:rsidRPr="00044923">
        <w:rPr>
          <w:rFonts w:ascii="Verdana" w:hAnsi="Verdana"/>
          <w:sz w:val="22"/>
          <w:szCs w:val="22"/>
        </w:rPr>
        <w:t>L’Agence biodiversité ne se substitue pas aux acteurs en présence (institutions nationales, réseaux nationaux, régionaux ou internationaux) et respecte la souveraineté des politiques, des stratégies et organisations des acteurs pour agir en matière de protection et de gestion de la biodiversité ;</w:t>
      </w:r>
    </w:p>
    <w:p w14:paraId="620542D3" w14:textId="77777777" w:rsidR="00F8259D" w:rsidRPr="00044923" w:rsidRDefault="00F8259D" w:rsidP="00F8259D">
      <w:pPr>
        <w:pStyle w:val="COI-Listechiffre"/>
        <w:rPr>
          <w:rFonts w:ascii="Verdana" w:hAnsi="Verdana"/>
          <w:sz w:val="22"/>
          <w:szCs w:val="22"/>
        </w:rPr>
      </w:pPr>
      <w:r w:rsidRPr="00044923">
        <w:rPr>
          <w:rFonts w:ascii="Verdana" w:hAnsi="Verdana"/>
          <w:sz w:val="22"/>
          <w:szCs w:val="22"/>
        </w:rPr>
        <w:t>Actant que la biodiversité est partout, l’Agence ne hiérarchise pas dans ses missions ou actions selon les milieux (marins, terrestres ou côtiers) ou les espaces (emblématiques, déjà classés ou à classer, agricoles, plus ordinaires ou urbains) ; de même, elle privilégie avant tout une approche d’intérêt régional mettant l’accent sur les Etats insulaires mais n’excluant naturellement pas le travail en réseau et en complémentarité avec les autres Etats, institutions, réseaux ou projets impliqués dans la région  ;</w:t>
      </w:r>
    </w:p>
    <w:p w14:paraId="7EE180E0" w14:textId="77777777" w:rsidR="00F8259D" w:rsidRPr="00044923" w:rsidRDefault="00F8259D" w:rsidP="00F8259D">
      <w:pPr>
        <w:pStyle w:val="COI-Listechiffre"/>
        <w:rPr>
          <w:rFonts w:ascii="Verdana" w:hAnsi="Verdana"/>
          <w:sz w:val="22"/>
          <w:szCs w:val="22"/>
        </w:rPr>
      </w:pPr>
      <w:r w:rsidRPr="00044923">
        <w:rPr>
          <w:rFonts w:ascii="Verdana" w:hAnsi="Verdana"/>
          <w:sz w:val="22"/>
          <w:szCs w:val="22"/>
        </w:rPr>
        <w:t xml:space="preserve">Actant également que la biodiversité est affectée par de multiples causes ou que sa dégradation a de multiples impacts, l’Agence portera attention aux liens entre biodiversité et climat, biodiversité et santé, agriculture, aménagement du territoire, ou développement social et économique, et qu’à ce titre, agira pour une meilleure intégration des enjeux de préservation de la biodiversité par les différentes politiques publiques relatives à ces enjeux ; </w:t>
      </w:r>
    </w:p>
    <w:p w14:paraId="2C1A049E" w14:textId="77777777" w:rsidR="00F8259D" w:rsidRPr="00044923" w:rsidRDefault="00F8259D" w:rsidP="00F8259D">
      <w:pPr>
        <w:pStyle w:val="COI-Listechiffre"/>
        <w:rPr>
          <w:rFonts w:ascii="Verdana" w:hAnsi="Verdana"/>
          <w:sz w:val="22"/>
          <w:szCs w:val="22"/>
        </w:rPr>
      </w:pPr>
      <w:r w:rsidRPr="00044923">
        <w:rPr>
          <w:rFonts w:ascii="Verdana" w:hAnsi="Verdana"/>
          <w:sz w:val="22"/>
          <w:szCs w:val="22"/>
        </w:rPr>
        <w:t>L’Agence, selon son programme d’action défini en concertation avec les Etats membres et en cohérence avec les conventions régionales, est susceptible d’agir sur l’ensemble des domaines utiles pour une meilleure prise en compte des enjeux de protection de la biodiversité à l’échelle régionale ou en appui à un des Etats membres de la COI. Elle agit dans une vision long terme, non partisane et indépendamment des influences partisanes ;</w:t>
      </w:r>
    </w:p>
    <w:p w14:paraId="7D2FE2F5" w14:textId="77777777" w:rsidR="00F8259D" w:rsidRPr="00044923" w:rsidRDefault="00F8259D" w:rsidP="00F8259D">
      <w:pPr>
        <w:pStyle w:val="COI-Listechiffre"/>
        <w:rPr>
          <w:rFonts w:ascii="Verdana" w:hAnsi="Verdana"/>
          <w:sz w:val="22"/>
          <w:szCs w:val="22"/>
        </w:rPr>
      </w:pPr>
      <w:r w:rsidRPr="00044923">
        <w:rPr>
          <w:rFonts w:ascii="Verdana" w:hAnsi="Verdana"/>
          <w:sz w:val="22"/>
          <w:szCs w:val="22"/>
        </w:rPr>
        <w:t xml:space="preserve">Si l’Agence a intérêt à avoir son propre budget de fonctionnement et une équipe dédiée à l’accompagnement des acteurs dans la mise en œuvre des actions, elle reste d’une taille modeste. Pour sécuriser la pérennité du dispositif mis en place et assurer à la fois un bénéfice commun des actions entreprises, il est proposé que l’Agence biodiversité soit étroitement rattachée à la COI ; </w:t>
      </w:r>
    </w:p>
    <w:p w14:paraId="3122CEBC" w14:textId="77777777" w:rsidR="00F8259D" w:rsidRPr="00044923" w:rsidRDefault="00F8259D" w:rsidP="00F8259D">
      <w:pPr>
        <w:pStyle w:val="COI-Listechiffre"/>
        <w:rPr>
          <w:rFonts w:ascii="Verdana" w:hAnsi="Verdana"/>
          <w:sz w:val="22"/>
          <w:szCs w:val="22"/>
        </w:rPr>
      </w:pPr>
      <w:r w:rsidRPr="00044923">
        <w:rPr>
          <w:rFonts w:ascii="Verdana" w:hAnsi="Verdana"/>
          <w:sz w:val="22"/>
          <w:szCs w:val="22"/>
        </w:rPr>
        <w:t xml:space="preserve">Enfin, l’Agence rend compte régulièrement de ses activités aux instances de gouvernance de la COI. </w:t>
      </w:r>
    </w:p>
    <w:p w14:paraId="1F61D458" w14:textId="77777777" w:rsidR="00F8259D" w:rsidRPr="00044923" w:rsidRDefault="00F8259D" w:rsidP="00F8259D">
      <w:pPr>
        <w:pStyle w:val="Titre2"/>
        <w:rPr>
          <w:rFonts w:ascii="Verdana" w:hAnsi="Verdana"/>
          <w:sz w:val="22"/>
          <w:szCs w:val="22"/>
        </w:rPr>
      </w:pPr>
      <w:r w:rsidRPr="00044923">
        <w:rPr>
          <w:rFonts w:ascii="Verdana" w:hAnsi="Verdana"/>
          <w:sz w:val="22"/>
          <w:szCs w:val="22"/>
        </w:rPr>
        <w:t xml:space="preserve">Champs d’action  </w:t>
      </w:r>
    </w:p>
    <w:p w14:paraId="071C09D7" w14:textId="77777777" w:rsidR="00F8259D" w:rsidRPr="00044923" w:rsidRDefault="00F8259D" w:rsidP="00F8259D">
      <w:pPr>
        <w:pStyle w:val="COI-Listepoint"/>
        <w:rPr>
          <w:rFonts w:ascii="Verdana" w:hAnsi="Verdana"/>
          <w:sz w:val="22"/>
          <w:szCs w:val="22"/>
        </w:rPr>
      </w:pPr>
      <w:r w:rsidRPr="00044923">
        <w:rPr>
          <w:rFonts w:ascii="Verdana" w:hAnsi="Verdana"/>
          <w:sz w:val="22"/>
          <w:szCs w:val="22"/>
        </w:rPr>
        <w:t xml:space="preserve">Favoriser l’expression de plaidoyers régionaux sur les différents enjeux de protection de la biodiversité – terrestre et marine – dans les différentes instances régionales ou internationales ; </w:t>
      </w:r>
    </w:p>
    <w:p w14:paraId="59B236B9" w14:textId="77777777" w:rsidR="00F8259D" w:rsidRPr="00044923" w:rsidRDefault="00F8259D" w:rsidP="00F8259D">
      <w:pPr>
        <w:pStyle w:val="COI-Listepoint"/>
        <w:rPr>
          <w:rFonts w:ascii="Verdana" w:hAnsi="Verdana"/>
          <w:sz w:val="22"/>
          <w:szCs w:val="22"/>
        </w:rPr>
      </w:pPr>
      <w:r w:rsidRPr="00044923">
        <w:rPr>
          <w:rFonts w:ascii="Verdana" w:hAnsi="Verdana"/>
          <w:sz w:val="22"/>
          <w:szCs w:val="22"/>
        </w:rPr>
        <w:lastRenderedPageBreak/>
        <w:t>Accompagner, dans le long terme, la présence de représentants des Etats membres dans des groupes de travail internationaux, lors de conférences internationales.</w:t>
      </w:r>
      <w:r w:rsidRPr="00044923">
        <w:rPr>
          <w:rStyle w:val="Appelnotedebasdep"/>
          <w:rFonts w:ascii="Verdana" w:hAnsi="Verdana"/>
          <w:sz w:val="22"/>
          <w:szCs w:val="22"/>
        </w:rPr>
        <w:footnoteReference w:id="1"/>
      </w:r>
      <w:r w:rsidRPr="00044923">
        <w:rPr>
          <w:rFonts w:ascii="Verdana" w:hAnsi="Verdana"/>
          <w:sz w:val="22"/>
          <w:szCs w:val="22"/>
        </w:rPr>
        <w:t> ;</w:t>
      </w:r>
    </w:p>
    <w:p w14:paraId="24EA4B33" w14:textId="77777777" w:rsidR="00F8259D" w:rsidRPr="00044923" w:rsidRDefault="00F8259D" w:rsidP="00F8259D">
      <w:pPr>
        <w:pStyle w:val="COI-Listepoint"/>
        <w:rPr>
          <w:rFonts w:ascii="Verdana" w:hAnsi="Verdana"/>
          <w:sz w:val="22"/>
          <w:szCs w:val="22"/>
        </w:rPr>
      </w:pPr>
      <w:r w:rsidRPr="00044923">
        <w:rPr>
          <w:rFonts w:ascii="Verdana" w:hAnsi="Verdana"/>
          <w:sz w:val="22"/>
          <w:szCs w:val="22"/>
        </w:rPr>
        <w:t xml:space="preserve">Elaborer, en cohérence avec les engagements internationaux, une stratégie régionale de la biodiversité ; </w:t>
      </w:r>
    </w:p>
    <w:p w14:paraId="4B539DE5" w14:textId="77777777" w:rsidR="00F8259D" w:rsidRPr="00044923" w:rsidRDefault="00F8259D" w:rsidP="00F8259D">
      <w:pPr>
        <w:pStyle w:val="COI-Listepoint"/>
        <w:rPr>
          <w:rFonts w:ascii="Verdana" w:hAnsi="Verdana"/>
          <w:sz w:val="22"/>
          <w:szCs w:val="22"/>
        </w:rPr>
      </w:pPr>
      <w:r w:rsidRPr="00044923">
        <w:rPr>
          <w:rFonts w:ascii="Verdana" w:hAnsi="Verdana"/>
          <w:sz w:val="22"/>
          <w:szCs w:val="22"/>
        </w:rPr>
        <w:t xml:space="preserve">Accompagner, dans le cadre de « centre de ressources » les porteurs de projets, locaux, nationaux ou régionaux ; </w:t>
      </w:r>
    </w:p>
    <w:p w14:paraId="61DD4723" w14:textId="77777777" w:rsidR="00F8259D" w:rsidRPr="00044923" w:rsidRDefault="00F8259D" w:rsidP="00F8259D">
      <w:pPr>
        <w:pStyle w:val="COI-Listepoint"/>
        <w:rPr>
          <w:rFonts w:ascii="Verdana" w:hAnsi="Verdana"/>
          <w:sz w:val="22"/>
          <w:szCs w:val="22"/>
        </w:rPr>
      </w:pPr>
      <w:r w:rsidRPr="00044923">
        <w:rPr>
          <w:rFonts w:ascii="Verdana" w:hAnsi="Verdana"/>
          <w:sz w:val="22"/>
          <w:szCs w:val="22"/>
        </w:rPr>
        <w:t xml:space="preserve">Contribuer aux travaux d’évaluation des politiques publiques sectorielles ou multi sectorielles liées aux enjeux de protection, de reconquête ou d’intégration de la biodiversité dans le développement durable ;  </w:t>
      </w:r>
    </w:p>
    <w:p w14:paraId="00FEE79B" w14:textId="77777777" w:rsidR="00F8259D" w:rsidRPr="00044923" w:rsidRDefault="00F8259D" w:rsidP="00F8259D">
      <w:pPr>
        <w:pStyle w:val="COI-Listepoint"/>
        <w:rPr>
          <w:rFonts w:ascii="Verdana" w:hAnsi="Verdana"/>
          <w:sz w:val="22"/>
          <w:szCs w:val="22"/>
        </w:rPr>
      </w:pPr>
      <w:r w:rsidRPr="00044923">
        <w:rPr>
          <w:rFonts w:ascii="Verdana" w:hAnsi="Verdana"/>
          <w:sz w:val="22"/>
          <w:szCs w:val="22"/>
        </w:rPr>
        <w:t xml:space="preserve">Au niveau local, favoriser l’intervention de relais de sensibilisation (y compris religieux) pour « faire passer des messages » et sensibiliser les communautés les plus en prise avec les conséquences de la dégradation ou sur les bénéfices attendus d’une meilleure protection de l’environnement. </w:t>
      </w:r>
    </w:p>
    <w:p w14:paraId="4E07C946" w14:textId="77777777" w:rsidR="00F8259D" w:rsidRPr="00044923" w:rsidRDefault="00F8259D" w:rsidP="00F8259D">
      <w:pPr>
        <w:pStyle w:val="Titre2"/>
        <w:rPr>
          <w:rFonts w:ascii="Verdana" w:hAnsi="Verdana"/>
          <w:sz w:val="22"/>
          <w:szCs w:val="22"/>
        </w:rPr>
      </w:pPr>
      <w:r w:rsidRPr="00044923">
        <w:rPr>
          <w:rFonts w:ascii="Verdana" w:hAnsi="Verdana"/>
          <w:sz w:val="22"/>
          <w:szCs w:val="22"/>
        </w:rPr>
        <w:t xml:space="preserve">Gouvernance  </w:t>
      </w:r>
    </w:p>
    <w:p w14:paraId="1BC16377" w14:textId="77777777" w:rsidR="00F8259D" w:rsidRPr="00044923" w:rsidRDefault="00F8259D" w:rsidP="00F8259D">
      <w:pPr>
        <w:pStyle w:val="Corpsdetexte"/>
        <w:rPr>
          <w:rFonts w:ascii="Verdana" w:eastAsia="Times New Roman" w:hAnsi="Verdana"/>
          <w:color w:val="00000A"/>
          <w:sz w:val="22"/>
          <w:szCs w:val="22"/>
          <w:lang w:eastAsia="ar-SA"/>
        </w:rPr>
      </w:pPr>
      <w:r w:rsidRPr="00044923">
        <w:rPr>
          <w:rFonts w:ascii="Verdana" w:eastAsia="Times New Roman" w:hAnsi="Verdana"/>
          <w:color w:val="00000A"/>
          <w:sz w:val="22"/>
          <w:szCs w:val="22"/>
          <w:lang w:eastAsia="ar-SA"/>
        </w:rPr>
        <w:t xml:space="preserve">En matière de gouvernance, plusieurs pistes sont à explorer. Ils sont présentés ici du plus simple et plus souple, au plus élaboré : </w:t>
      </w:r>
    </w:p>
    <w:p w14:paraId="651193C9" w14:textId="77777777" w:rsidR="00F8259D" w:rsidRPr="00044923" w:rsidRDefault="00F8259D" w:rsidP="00F8259D">
      <w:pPr>
        <w:pStyle w:val="COI-Listepoint"/>
        <w:rPr>
          <w:rFonts w:ascii="Verdana" w:hAnsi="Verdana"/>
          <w:sz w:val="22"/>
          <w:szCs w:val="22"/>
        </w:rPr>
      </w:pPr>
      <w:r w:rsidRPr="00044923">
        <w:rPr>
          <w:rFonts w:ascii="Verdana" w:hAnsi="Verdana"/>
          <w:sz w:val="22"/>
          <w:szCs w:val="22"/>
        </w:rPr>
        <w:t xml:space="preserve">Une approche « centre de ressource » telle que développée dans le cadre du projet GIZ sur les Espèces exotiques envahissantes pourrait être mise en œuvre sur des enjeux de connaissance, d’accompagnement de politiques publiques, de valorisation et d’échanges de bonnes pratiques et de mise en réseau. Ce « Centre de ressource biodiversité » pourrait être financé par la COI dans le cadre d’un accord avec un partenaire financier, l’équipe pourrait être soit hébergée au Secrétariat, soit au sein d’un Etat membre ; </w:t>
      </w:r>
    </w:p>
    <w:p w14:paraId="6E5F71C4" w14:textId="77777777" w:rsidR="00F8259D" w:rsidRPr="00044923" w:rsidRDefault="00F8259D" w:rsidP="00F8259D">
      <w:pPr>
        <w:pStyle w:val="COI-Listepoint"/>
        <w:rPr>
          <w:rFonts w:ascii="Verdana" w:hAnsi="Verdana"/>
          <w:sz w:val="22"/>
          <w:szCs w:val="22"/>
        </w:rPr>
      </w:pPr>
      <w:r w:rsidRPr="00044923">
        <w:rPr>
          <w:rFonts w:ascii="Verdana" w:hAnsi="Verdana"/>
          <w:sz w:val="22"/>
          <w:szCs w:val="22"/>
        </w:rPr>
        <w:t xml:space="preserve">L’établissement d’un "Protocole d'accord pour la biodiversité de l'Océan indien", pourrait, sous l’égide de la COI pourrait poser les grands principes et objectifs partagés et formaliser ainsi un cadre d’intervention. </w:t>
      </w:r>
    </w:p>
    <w:p w14:paraId="5E9C4DAF" w14:textId="77777777" w:rsidR="00F8259D" w:rsidRPr="00044923" w:rsidRDefault="00F8259D" w:rsidP="00F8259D">
      <w:pPr>
        <w:pStyle w:val="COI-Listepoint"/>
        <w:rPr>
          <w:rFonts w:ascii="Verdana" w:hAnsi="Verdana"/>
          <w:sz w:val="22"/>
          <w:szCs w:val="22"/>
        </w:rPr>
      </w:pPr>
      <w:r w:rsidRPr="00044923">
        <w:rPr>
          <w:rFonts w:ascii="Verdana" w:hAnsi="Verdana"/>
          <w:sz w:val="22"/>
          <w:szCs w:val="22"/>
        </w:rPr>
        <w:t>Des exemples de convention ouvrant à une coopération étroite entre Etats pour concilier les multiples intérêts en termes d’usage et de protection de milieux naturels existent</w:t>
      </w:r>
      <w:r w:rsidRPr="00044923">
        <w:rPr>
          <w:rStyle w:val="Appelnotedebasdep"/>
          <w:rFonts w:ascii="Verdana" w:hAnsi="Verdana"/>
          <w:sz w:val="22"/>
          <w:szCs w:val="22"/>
        </w:rPr>
        <w:footnoteReference w:id="2"/>
      </w:r>
      <w:r w:rsidRPr="00044923">
        <w:rPr>
          <w:rFonts w:ascii="Verdana" w:hAnsi="Verdana"/>
          <w:sz w:val="22"/>
          <w:szCs w:val="22"/>
        </w:rPr>
        <w:t xml:space="preserve">. </w:t>
      </w:r>
    </w:p>
    <w:p w14:paraId="2D5D188E" w14:textId="77777777" w:rsidR="00F8259D" w:rsidRPr="00044923" w:rsidRDefault="00F8259D" w:rsidP="00F8259D">
      <w:pPr>
        <w:pStyle w:val="Corpsdetexte"/>
        <w:rPr>
          <w:rFonts w:ascii="Verdana" w:hAnsi="Verdana"/>
          <w:sz w:val="22"/>
          <w:szCs w:val="22"/>
        </w:rPr>
      </w:pPr>
      <w:r w:rsidRPr="00044923">
        <w:rPr>
          <w:rFonts w:ascii="Verdana" w:hAnsi="Verdana"/>
          <w:sz w:val="22"/>
          <w:szCs w:val="22"/>
        </w:rPr>
        <w:t xml:space="preserve">La gouvernance de l’agence peut être spécifique. Il est toutefois proposé que la présidence de la COI soit aussi la présidence de l’agence. Enfin, il est proposé que la gouvernance de l’Agence soit élargie aux principaux acteurs, et bailleurs de fonds impliqués sur ces enjeux selon un équilibre validé par les instances de la COI. </w:t>
      </w:r>
    </w:p>
    <w:p w14:paraId="6783BB3A" w14:textId="77777777" w:rsidR="00F8259D" w:rsidRPr="00044923" w:rsidRDefault="00F8259D" w:rsidP="00F8259D">
      <w:pPr>
        <w:pStyle w:val="Titre2"/>
        <w:rPr>
          <w:rFonts w:ascii="Verdana" w:hAnsi="Verdana"/>
          <w:sz w:val="22"/>
          <w:szCs w:val="22"/>
        </w:rPr>
      </w:pPr>
      <w:bookmarkStart w:id="1" w:name="_Toc115857521"/>
      <w:r w:rsidRPr="00044923">
        <w:rPr>
          <w:rFonts w:ascii="Verdana" w:hAnsi="Verdana"/>
          <w:sz w:val="22"/>
          <w:szCs w:val="22"/>
        </w:rPr>
        <w:lastRenderedPageBreak/>
        <w:t>Premiers éléments de feuille de route</w:t>
      </w:r>
      <w:bookmarkEnd w:id="1"/>
      <w:r w:rsidRPr="00044923">
        <w:rPr>
          <w:rFonts w:ascii="Verdana" w:hAnsi="Verdana"/>
          <w:sz w:val="22"/>
          <w:szCs w:val="22"/>
        </w:rPr>
        <w:t> :</w:t>
      </w:r>
    </w:p>
    <w:p w14:paraId="43B29063" w14:textId="77777777" w:rsidR="00F8259D" w:rsidRPr="00044923" w:rsidRDefault="00F8259D" w:rsidP="00F8259D">
      <w:pPr>
        <w:pStyle w:val="Titre3"/>
        <w:ind w:left="0" w:firstLine="0"/>
        <w:rPr>
          <w:rFonts w:ascii="Verdana" w:hAnsi="Verdana"/>
          <w:sz w:val="22"/>
          <w:szCs w:val="22"/>
        </w:rPr>
      </w:pPr>
      <w:bookmarkStart w:id="2" w:name="_Toc115857522"/>
      <w:r w:rsidRPr="00044923">
        <w:rPr>
          <w:rFonts w:ascii="Verdana" w:hAnsi="Verdana"/>
          <w:sz w:val="22"/>
          <w:szCs w:val="22"/>
        </w:rPr>
        <w:t>Périmètre de l’agence</w:t>
      </w:r>
      <w:bookmarkEnd w:id="2"/>
      <w:r w:rsidRPr="00044923">
        <w:rPr>
          <w:rFonts w:ascii="Verdana" w:hAnsi="Verdana"/>
          <w:sz w:val="22"/>
          <w:szCs w:val="22"/>
        </w:rPr>
        <w:t xml:space="preserve">  </w:t>
      </w:r>
    </w:p>
    <w:p w14:paraId="345A0A85" w14:textId="77777777" w:rsidR="00F8259D" w:rsidRPr="00044923" w:rsidRDefault="00F8259D" w:rsidP="00F8259D">
      <w:pPr>
        <w:pStyle w:val="Corpsdetexte"/>
        <w:rPr>
          <w:rStyle w:val="Titredulivre"/>
          <w:rFonts w:ascii="Verdana" w:hAnsi="Verdana"/>
          <w:b w:val="0"/>
          <w:bCs w:val="0"/>
          <w:i w:val="0"/>
          <w:iCs w:val="0"/>
          <w:sz w:val="22"/>
          <w:szCs w:val="22"/>
        </w:rPr>
      </w:pPr>
      <w:r w:rsidRPr="00044923">
        <w:rPr>
          <w:rStyle w:val="Titredulivre"/>
          <w:rFonts w:ascii="Verdana" w:hAnsi="Verdana"/>
          <w:sz w:val="22"/>
          <w:szCs w:val="22"/>
        </w:rPr>
        <w:t xml:space="preserve">Le périmètre d’action de l’agence peut se définir par ses champs d’actions ou de non-action. </w:t>
      </w:r>
    </w:p>
    <w:p w14:paraId="7D526103" w14:textId="77777777" w:rsidR="00F8259D" w:rsidRPr="00044923" w:rsidRDefault="00F8259D" w:rsidP="00F8259D">
      <w:pPr>
        <w:pStyle w:val="Corpsdetexte"/>
        <w:rPr>
          <w:rFonts w:ascii="Verdana" w:hAnsi="Verdana"/>
          <w:sz w:val="22"/>
          <w:szCs w:val="22"/>
        </w:rPr>
      </w:pPr>
      <w:r w:rsidRPr="00044923">
        <w:rPr>
          <w:rStyle w:val="Titredulivre"/>
          <w:rFonts w:ascii="Verdana" w:hAnsi="Verdana"/>
          <w:sz w:val="22"/>
          <w:szCs w:val="22"/>
        </w:rPr>
        <w:t xml:space="preserve">Ainsi, un temps de travail de groupe a été dédié à cette réflexion. Il en ressort, une première exclusion de domaines d’intervention de l’agence </w:t>
      </w:r>
      <w:r w:rsidRPr="00044923">
        <w:rPr>
          <w:rFonts w:ascii="Verdana" w:hAnsi="Verdana"/>
          <w:sz w:val="22"/>
          <w:szCs w:val="22"/>
        </w:rPr>
        <w:t xml:space="preserve">: </w:t>
      </w:r>
    </w:p>
    <w:p w14:paraId="5C60A1FB" w14:textId="77777777" w:rsidR="00F8259D" w:rsidRPr="00044923" w:rsidRDefault="00F8259D" w:rsidP="00F8259D">
      <w:pPr>
        <w:pStyle w:val="COI-Listepoint"/>
        <w:rPr>
          <w:rFonts w:ascii="Verdana" w:hAnsi="Verdana"/>
          <w:sz w:val="22"/>
          <w:szCs w:val="22"/>
        </w:rPr>
      </w:pPr>
      <w:r w:rsidRPr="00044923">
        <w:rPr>
          <w:rFonts w:ascii="Verdana" w:hAnsi="Verdana"/>
          <w:sz w:val="22"/>
          <w:szCs w:val="22"/>
        </w:rPr>
        <w:t>Interférer dans les échanges entre les instances ou politiques nationales de biodiversité ;</w:t>
      </w:r>
    </w:p>
    <w:p w14:paraId="0232F7A0" w14:textId="77777777" w:rsidR="00F8259D" w:rsidRPr="00044923" w:rsidRDefault="00F8259D" w:rsidP="00F8259D">
      <w:pPr>
        <w:pStyle w:val="COI-Listepoint"/>
        <w:rPr>
          <w:rFonts w:ascii="Verdana" w:hAnsi="Verdana"/>
          <w:sz w:val="22"/>
          <w:szCs w:val="22"/>
        </w:rPr>
      </w:pPr>
      <w:r w:rsidRPr="00044923">
        <w:rPr>
          <w:rFonts w:ascii="Verdana" w:hAnsi="Verdana"/>
          <w:sz w:val="22"/>
          <w:szCs w:val="22"/>
        </w:rPr>
        <w:t>Prendre en charge les activités nationales ;</w:t>
      </w:r>
    </w:p>
    <w:p w14:paraId="785255A4" w14:textId="77777777" w:rsidR="00F8259D" w:rsidRPr="00044923" w:rsidRDefault="00F8259D" w:rsidP="00F8259D">
      <w:pPr>
        <w:pStyle w:val="COI-Listepoint"/>
        <w:rPr>
          <w:rFonts w:ascii="Verdana" w:hAnsi="Verdana"/>
          <w:sz w:val="22"/>
          <w:szCs w:val="22"/>
        </w:rPr>
      </w:pPr>
      <w:r w:rsidRPr="00044923">
        <w:rPr>
          <w:rFonts w:ascii="Verdana" w:hAnsi="Verdana"/>
          <w:sz w:val="22"/>
          <w:szCs w:val="22"/>
        </w:rPr>
        <w:t xml:space="preserve">Dupliquer ou chercher à intervenir dans le champ des acteurs déjà en place et reconnus depuis de nombreuses années (ex </w:t>
      </w:r>
      <w:proofErr w:type="spellStart"/>
      <w:r w:rsidRPr="00044923">
        <w:rPr>
          <w:rFonts w:ascii="Verdana" w:hAnsi="Verdana"/>
          <w:sz w:val="22"/>
          <w:szCs w:val="22"/>
        </w:rPr>
        <w:t>Wiomsa</w:t>
      </w:r>
      <w:proofErr w:type="spellEnd"/>
      <w:r w:rsidRPr="00044923">
        <w:rPr>
          <w:rFonts w:ascii="Verdana" w:hAnsi="Verdana"/>
          <w:sz w:val="22"/>
          <w:szCs w:val="22"/>
        </w:rPr>
        <w:t xml:space="preserve">, réseaux de suivi de la déforestation…).  </w:t>
      </w:r>
    </w:p>
    <w:p w14:paraId="09AC6E58" w14:textId="77777777" w:rsidR="00F8259D" w:rsidRPr="00044923" w:rsidRDefault="00F8259D" w:rsidP="00F8259D">
      <w:pPr>
        <w:pStyle w:val="Corpsdetexte"/>
        <w:rPr>
          <w:rFonts w:ascii="Verdana" w:hAnsi="Verdana"/>
          <w:sz w:val="22"/>
          <w:szCs w:val="22"/>
        </w:rPr>
      </w:pPr>
      <w:r w:rsidRPr="00044923">
        <w:rPr>
          <w:rStyle w:val="Titredulivre"/>
          <w:rFonts w:ascii="Verdana" w:hAnsi="Verdana"/>
          <w:sz w:val="22"/>
          <w:szCs w:val="22"/>
        </w:rPr>
        <w:t xml:space="preserve">Ainsi, les Domaines d’intervention de l’agence pourraient être (liste non classée en ordre de priorité ou autre) </w:t>
      </w:r>
      <w:r w:rsidRPr="00044923">
        <w:rPr>
          <w:rFonts w:ascii="Verdana" w:hAnsi="Verdana"/>
          <w:sz w:val="22"/>
          <w:szCs w:val="22"/>
        </w:rPr>
        <w:t xml:space="preserve">: </w:t>
      </w:r>
    </w:p>
    <w:p w14:paraId="3711D074" w14:textId="77777777" w:rsidR="00F8259D" w:rsidRPr="00044923" w:rsidRDefault="00F8259D" w:rsidP="00F8259D">
      <w:pPr>
        <w:pStyle w:val="COI-Listepoint"/>
        <w:rPr>
          <w:rFonts w:ascii="Verdana" w:hAnsi="Verdana"/>
          <w:b/>
          <w:bCs/>
          <w:sz w:val="22"/>
          <w:szCs w:val="22"/>
        </w:rPr>
      </w:pPr>
      <w:r w:rsidRPr="00044923">
        <w:rPr>
          <w:rFonts w:ascii="Verdana" w:hAnsi="Verdana"/>
          <w:b/>
          <w:bCs/>
          <w:sz w:val="22"/>
          <w:szCs w:val="22"/>
        </w:rPr>
        <w:t xml:space="preserve">Dans le domaine technique </w:t>
      </w:r>
    </w:p>
    <w:p w14:paraId="4176CB9B" w14:textId="77777777" w:rsidR="00F8259D" w:rsidRPr="00044923" w:rsidRDefault="00F8259D" w:rsidP="00F8259D">
      <w:pPr>
        <w:pStyle w:val="COI-Listepoint"/>
        <w:numPr>
          <w:ilvl w:val="1"/>
          <w:numId w:val="15"/>
        </w:numPr>
        <w:ind w:left="993" w:hanging="164"/>
        <w:rPr>
          <w:rFonts w:ascii="Verdana" w:hAnsi="Verdana"/>
          <w:sz w:val="22"/>
          <w:szCs w:val="22"/>
        </w:rPr>
      </w:pPr>
      <w:r w:rsidRPr="00044923">
        <w:rPr>
          <w:rFonts w:ascii="Verdana" w:hAnsi="Verdana"/>
          <w:sz w:val="22"/>
          <w:szCs w:val="22"/>
        </w:rPr>
        <w:t>Promouvoir des solutions, politiques ou approches pertinentes pour la protection de la biodiversité au regard des enjeux de changement climatique ;</w:t>
      </w:r>
    </w:p>
    <w:p w14:paraId="056DCE82" w14:textId="77777777" w:rsidR="00F8259D" w:rsidRPr="00044923" w:rsidRDefault="00F8259D" w:rsidP="00F8259D">
      <w:pPr>
        <w:pStyle w:val="COI-Listepoint"/>
        <w:numPr>
          <w:ilvl w:val="1"/>
          <w:numId w:val="15"/>
        </w:numPr>
        <w:ind w:left="993" w:hanging="164"/>
        <w:rPr>
          <w:rFonts w:ascii="Verdana" w:hAnsi="Verdana"/>
          <w:sz w:val="22"/>
          <w:szCs w:val="22"/>
        </w:rPr>
      </w:pPr>
      <w:r w:rsidRPr="00044923">
        <w:rPr>
          <w:rFonts w:ascii="Verdana" w:hAnsi="Verdana"/>
          <w:sz w:val="22"/>
          <w:szCs w:val="22"/>
        </w:rPr>
        <w:t>Promouvoir le partage d’expériences et de bonnes pratiques </w:t>
      </w:r>
    </w:p>
    <w:p w14:paraId="6097F27E" w14:textId="77777777" w:rsidR="00F8259D" w:rsidRPr="00044923" w:rsidRDefault="00F8259D" w:rsidP="00F8259D">
      <w:pPr>
        <w:pStyle w:val="COI-Listepoint"/>
        <w:numPr>
          <w:ilvl w:val="1"/>
          <w:numId w:val="15"/>
        </w:numPr>
        <w:ind w:left="993" w:hanging="164"/>
        <w:rPr>
          <w:rFonts w:ascii="Verdana" w:hAnsi="Verdana"/>
          <w:sz w:val="22"/>
          <w:szCs w:val="22"/>
        </w:rPr>
      </w:pPr>
      <w:r w:rsidRPr="00044923">
        <w:rPr>
          <w:rFonts w:ascii="Verdana" w:hAnsi="Verdana"/>
          <w:sz w:val="22"/>
          <w:szCs w:val="22"/>
        </w:rPr>
        <w:t>Contribuer au rapprochement, à la convergence voire à l’harmonisation et à la diffusion de protocoles de collecte de données ;</w:t>
      </w:r>
    </w:p>
    <w:p w14:paraId="403EBE7D" w14:textId="77777777" w:rsidR="00F8259D" w:rsidRPr="00044923" w:rsidRDefault="00F8259D" w:rsidP="00F8259D">
      <w:pPr>
        <w:pStyle w:val="COI-Listepoint"/>
        <w:numPr>
          <w:ilvl w:val="1"/>
          <w:numId w:val="15"/>
        </w:numPr>
        <w:ind w:left="993" w:hanging="164"/>
        <w:rPr>
          <w:rFonts w:ascii="Verdana" w:hAnsi="Verdana"/>
          <w:sz w:val="22"/>
          <w:szCs w:val="22"/>
        </w:rPr>
      </w:pPr>
      <w:r w:rsidRPr="00044923">
        <w:rPr>
          <w:rFonts w:ascii="Verdana" w:hAnsi="Verdana"/>
          <w:sz w:val="22"/>
          <w:szCs w:val="22"/>
        </w:rPr>
        <w:t>Apporter un appui en termes de méthode de suivi et d’évaluation des impacts des projets ;</w:t>
      </w:r>
    </w:p>
    <w:p w14:paraId="421E9EC5" w14:textId="77777777" w:rsidR="00F8259D" w:rsidRPr="00044923" w:rsidRDefault="00F8259D" w:rsidP="00F8259D">
      <w:pPr>
        <w:pStyle w:val="COI-Listepoint"/>
        <w:numPr>
          <w:ilvl w:val="1"/>
          <w:numId w:val="15"/>
        </w:numPr>
        <w:ind w:left="993" w:hanging="164"/>
        <w:rPr>
          <w:rFonts w:ascii="Verdana" w:hAnsi="Verdana"/>
          <w:sz w:val="22"/>
          <w:szCs w:val="22"/>
        </w:rPr>
      </w:pPr>
      <w:r w:rsidRPr="00044923">
        <w:rPr>
          <w:rFonts w:ascii="Verdana" w:hAnsi="Verdana"/>
          <w:sz w:val="22"/>
          <w:szCs w:val="22"/>
        </w:rPr>
        <w:t>Accompagner, en cohérence avec l’engagement commun pour la mise en œuvre de l’accord de Kunming-Montréal, l’établissement et la mise à jour des espèces en dangers dans les pays et au niveau régional ;</w:t>
      </w:r>
    </w:p>
    <w:p w14:paraId="2BBDD1D8" w14:textId="77777777" w:rsidR="00F8259D" w:rsidRPr="00044923" w:rsidRDefault="00F8259D" w:rsidP="00F8259D">
      <w:pPr>
        <w:pStyle w:val="COI-Listepoint"/>
        <w:numPr>
          <w:ilvl w:val="1"/>
          <w:numId w:val="15"/>
        </w:numPr>
        <w:ind w:left="993" w:hanging="164"/>
        <w:rPr>
          <w:rFonts w:ascii="Verdana" w:hAnsi="Verdana"/>
          <w:sz w:val="22"/>
          <w:szCs w:val="22"/>
        </w:rPr>
      </w:pPr>
      <w:r w:rsidRPr="00044923">
        <w:rPr>
          <w:rFonts w:ascii="Verdana" w:hAnsi="Verdana"/>
          <w:sz w:val="22"/>
          <w:szCs w:val="22"/>
        </w:rPr>
        <w:t>Coordonner une veille sur certaines espèces exotiques envahissantes ;</w:t>
      </w:r>
    </w:p>
    <w:p w14:paraId="2C2822FD" w14:textId="77777777" w:rsidR="00F8259D" w:rsidRPr="00044923" w:rsidRDefault="00F8259D" w:rsidP="00F8259D">
      <w:pPr>
        <w:pStyle w:val="COI-Listepoint"/>
        <w:numPr>
          <w:ilvl w:val="1"/>
          <w:numId w:val="15"/>
        </w:numPr>
        <w:ind w:left="993" w:hanging="164"/>
        <w:rPr>
          <w:rFonts w:ascii="Verdana" w:hAnsi="Verdana"/>
          <w:sz w:val="22"/>
          <w:szCs w:val="22"/>
        </w:rPr>
      </w:pPr>
      <w:r w:rsidRPr="00044923">
        <w:rPr>
          <w:rFonts w:ascii="Verdana" w:hAnsi="Verdana"/>
          <w:sz w:val="22"/>
          <w:szCs w:val="22"/>
        </w:rPr>
        <w:t>Assurer une fonction de hub pour les données de la connaissance sur la biodiversité et redistribuer, sous la forme d’un transfert accessible à différents publics, des informations fiables et indépendantes sur l’environnement (</w:t>
      </w:r>
      <w:proofErr w:type="gramStart"/>
      <w:r w:rsidRPr="00044923">
        <w:rPr>
          <w:rFonts w:ascii="Verdana" w:hAnsi="Verdana"/>
          <w:sz w:val="22"/>
          <w:szCs w:val="22"/>
        </w:rPr>
        <w:t>ex Agence</w:t>
      </w:r>
      <w:proofErr w:type="gramEnd"/>
      <w:r w:rsidRPr="00044923">
        <w:rPr>
          <w:rFonts w:ascii="Verdana" w:hAnsi="Verdana"/>
          <w:sz w:val="22"/>
          <w:szCs w:val="22"/>
        </w:rPr>
        <w:t xml:space="preserve"> européenne de l’environnement) ;</w:t>
      </w:r>
    </w:p>
    <w:p w14:paraId="1AD2FD62" w14:textId="77777777" w:rsidR="00F8259D" w:rsidRPr="00044923" w:rsidRDefault="00F8259D" w:rsidP="00F8259D">
      <w:pPr>
        <w:pStyle w:val="COI-Listepoint"/>
        <w:numPr>
          <w:ilvl w:val="1"/>
          <w:numId w:val="15"/>
        </w:numPr>
        <w:ind w:left="993" w:hanging="164"/>
        <w:rPr>
          <w:rFonts w:ascii="Verdana" w:hAnsi="Verdana"/>
          <w:sz w:val="22"/>
          <w:szCs w:val="22"/>
        </w:rPr>
      </w:pPr>
      <w:r w:rsidRPr="00044923">
        <w:rPr>
          <w:rFonts w:ascii="Verdana" w:hAnsi="Verdana"/>
          <w:sz w:val="22"/>
          <w:szCs w:val="22"/>
        </w:rPr>
        <w:t>Mettre en place des outils, méthodes ou moyens régionaux de collecte de données (</w:t>
      </w:r>
      <w:proofErr w:type="gramStart"/>
      <w:r w:rsidRPr="00044923">
        <w:rPr>
          <w:rFonts w:ascii="Verdana" w:hAnsi="Verdana"/>
          <w:sz w:val="22"/>
          <w:szCs w:val="22"/>
        </w:rPr>
        <w:t>ex achat</w:t>
      </w:r>
      <w:proofErr w:type="gramEnd"/>
      <w:r w:rsidRPr="00044923">
        <w:rPr>
          <w:rFonts w:ascii="Verdana" w:hAnsi="Verdana"/>
          <w:sz w:val="22"/>
          <w:szCs w:val="22"/>
        </w:rPr>
        <w:t xml:space="preserve"> d’imagerie satellite pour certains inventaires d’habitats.</w:t>
      </w:r>
    </w:p>
    <w:p w14:paraId="2B4F584B" w14:textId="77777777" w:rsidR="00F8259D" w:rsidRPr="00044923" w:rsidRDefault="00F8259D" w:rsidP="00F8259D">
      <w:pPr>
        <w:pStyle w:val="COI-Listepoint"/>
        <w:numPr>
          <w:ilvl w:val="1"/>
          <w:numId w:val="15"/>
        </w:numPr>
        <w:ind w:left="993" w:hanging="164"/>
        <w:rPr>
          <w:rFonts w:ascii="Verdana" w:hAnsi="Verdana"/>
          <w:sz w:val="22"/>
          <w:szCs w:val="22"/>
        </w:rPr>
      </w:pPr>
      <w:r w:rsidRPr="00044923">
        <w:rPr>
          <w:rFonts w:ascii="Verdana" w:hAnsi="Verdana"/>
          <w:sz w:val="22"/>
          <w:szCs w:val="22"/>
        </w:rPr>
        <w:t>Identifier les besoins en matière de développement des capacités et contribuer à la recherche de réponses adaptées.</w:t>
      </w:r>
    </w:p>
    <w:p w14:paraId="1DFAF7DC" w14:textId="77777777" w:rsidR="00F8259D" w:rsidRPr="00044923" w:rsidRDefault="00F8259D" w:rsidP="00F8259D">
      <w:pPr>
        <w:pStyle w:val="COI-Listepoint"/>
        <w:numPr>
          <w:ilvl w:val="1"/>
          <w:numId w:val="15"/>
        </w:numPr>
        <w:ind w:left="993" w:hanging="164"/>
        <w:rPr>
          <w:rFonts w:ascii="Verdana" w:hAnsi="Verdana"/>
          <w:sz w:val="22"/>
          <w:szCs w:val="22"/>
        </w:rPr>
      </w:pPr>
      <w:r w:rsidRPr="00044923">
        <w:rPr>
          <w:rFonts w:ascii="Verdana" w:hAnsi="Verdana"/>
          <w:sz w:val="22"/>
          <w:szCs w:val="22"/>
        </w:rPr>
        <w:t xml:space="preserve">Sur le suivi de la convention CDB, chaque pays devra réviser sa Stratégie et plan d’action national pour la biodiversité (SPANB) d’ici la COP 16 (qui se tiendra en 2024 en Turquie) et soumettre des objectifs nationaux alignés avec les nouveaux objectifs mondiaux. Aussi, les SPANB pourraient faire l’objet de collaboration régionale (élaboration, suivi des objectifs et indicateurs, alignement thématique, etc.) </w:t>
      </w:r>
    </w:p>
    <w:p w14:paraId="400378C1" w14:textId="77777777" w:rsidR="00F8259D" w:rsidRPr="00044923" w:rsidRDefault="00F8259D" w:rsidP="00F8259D">
      <w:pPr>
        <w:pStyle w:val="COI-Listepoint"/>
        <w:rPr>
          <w:rFonts w:ascii="Verdana" w:hAnsi="Verdana"/>
          <w:b/>
          <w:bCs/>
          <w:sz w:val="22"/>
          <w:szCs w:val="22"/>
        </w:rPr>
      </w:pPr>
      <w:r w:rsidRPr="00044923">
        <w:rPr>
          <w:rFonts w:ascii="Verdana" w:hAnsi="Verdana"/>
          <w:b/>
          <w:bCs/>
          <w:sz w:val="22"/>
          <w:szCs w:val="22"/>
        </w:rPr>
        <w:lastRenderedPageBreak/>
        <w:t xml:space="preserve">Dans le domaine de la communication, du renforcement de capacité et de sensibilisation </w:t>
      </w:r>
    </w:p>
    <w:p w14:paraId="603C690A" w14:textId="77777777" w:rsidR="00F8259D" w:rsidRPr="00044923" w:rsidRDefault="00F8259D" w:rsidP="00F8259D">
      <w:pPr>
        <w:pStyle w:val="COI-Listepoint"/>
        <w:numPr>
          <w:ilvl w:val="1"/>
          <w:numId w:val="15"/>
        </w:numPr>
        <w:ind w:left="993" w:hanging="164"/>
        <w:rPr>
          <w:rFonts w:ascii="Verdana" w:hAnsi="Verdana"/>
          <w:sz w:val="22"/>
          <w:szCs w:val="22"/>
        </w:rPr>
      </w:pPr>
      <w:r w:rsidRPr="00044923">
        <w:rPr>
          <w:rFonts w:ascii="Verdana" w:hAnsi="Verdana"/>
          <w:sz w:val="22"/>
          <w:szCs w:val="22"/>
        </w:rPr>
        <w:t>Organiser des conférences, et évènements sur différents thèmes mobilisateurs pour les acteurs de la biodiversité dans la région ;</w:t>
      </w:r>
    </w:p>
    <w:p w14:paraId="0896982D" w14:textId="77777777" w:rsidR="00F8259D" w:rsidRPr="00044923" w:rsidRDefault="00F8259D" w:rsidP="00F8259D">
      <w:pPr>
        <w:pStyle w:val="COI-Listepoint"/>
        <w:numPr>
          <w:ilvl w:val="1"/>
          <w:numId w:val="15"/>
        </w:numPr>
        <w:ind w:left="993" w:hanging="164"/>
        <w:rPr>
          <w:rFonts w:ascii="Verdana" w:hAnsi="Verdana"/>
          <w:sz w:val="22"/>
          <w:szCs w:val="22"/>
        </w:rPr>
      </w:pPr>
      <w:r w:rsidRPr="00044923">
        <w:rPr>
          <w:rFonts w:ascii="Verdana" w:hAnsi="Verdana"/>
          <w:sz w:val="22"/>
          <w:szCs w:val="22"/>
        </w:rPr>
        <w:t xml:space="preserve">Favoriser le dialogue entre les administrations, les gestionnaires, les ONG et les scientifiques </w:t>
      </w:r>
      <w:r w:rsidRPr="00044923">
        <w:rPr>
          <w:rFonts w:ascii="Verdana" w:hAnsi="Verdana"/>
          <w:i/>
          <w:sz w:val="22"/>
          <w:szCs w:val="22"/>
        </w:rPr>
        <w:t>(par exemple et sans exclusivité : via l’organisation d’un colloque annuel)</w:t>
      </w:r>
      <w:r w:rsidRPr="00044923">
        <w:rPr>
          <w:rFonts w:ascii="Verdana" w:hAnsi="Verdana"/>
          <w:sz w:val="22"/>
          <w:szCs w:val="22"/>
        </w:rPr>
        <w:t> ;</w:t>
      </w:r>
    </w:p>
    <w:p w14:paraId="1458AD46" w14:textId="77777777" w:rsidR="00F8259D" w:rsidRPr="00044923" w:rsidRDefault="00F8259D" w:rsidP="00F8259D">
      <w:pPr>
        <w:pStyle w:val="COI-Listepoint"/>
        <w:numPr>
          <w:ilvl w:val="1"/>
          <w:numId w:val="15"/>
        </w:numPr>
        <w:ind w:left="993" w:hanging="164"/>
        <w:rPr>
          <w:rFonts w:ascii="Verdana" w:hAnsi="Verdana"/>
          <w:sz w:val="22"/>
          <w:szCs w:val="22"/>
        </w:rPr>
      </w:pPr>
      <w:r w:rsidRPr="00044923">
        <w:rPr>
          <w:rFonts w:ascii="Verdana" w:hAnsi="Verdana"/>
          <w:sz w:val="22"/>
          <w:szCs w:val="22"/>
        </w:rPr>
        <w:t xml:space="preserve">Accompagner, notamment par la diffusion des actions nationales à l’échelle régionale, la mise en place d’évènements mobilisateurs pour la société civile (ex </w:t>
      </w:r>
      <w:proofErr w:type="spellStart"/>
      <w:r w:rsidRPr="00044923">
        <w:rPr>
          <w:rFonts w:ascii="Verdana" w:hAnsi="Verdana"/>
          <w:sz w:val="22"/>
          <w:szCs w:val="22"/>
        </w:rPr>
        <w:t>sea</w:t>
      </w:r>
      <w:proofErr w:type="spellEnd"/>
      <w:r w:rsidRPr="00044923">
        <w:rPr>
          <w:rFonts w:ascii="Verdana" w:hAnsi="Verdana"/>
          <w:sz w:val="22"/>
          <w:szCs w:val="22"/>
        </w:rPr>
        <w:t xml:space="preserve"> </w:t>
      </w:r>
      <w:proofErr w:type="spellStart"/>
      <w:r w:rsidRPr="00044923">
        <w:rPr>
          <w:rFonts w:ascii="Verdana" w:hAnsi="Verdana"/>
          <w:sz w:val="22"/>
          <w:szCs w:val="22"/>
        </w:rPr>
        <w:t>turtle</w:t>
      </w:r>
      <w:proofErr w:type="spellEnd"/>
      <w:r w:rsidRPr="00044923">
        <w:rPr>
          <w:rFonts w:ascii="Verdana" w:hAnsi="Verdana"/>
          <w:sz w:val="22"/>
          <w:szCs w:val="22"/>
        </w:rPr>
        <w:t xml:space="preserve"> festival des Seychelles) ;</w:t>
      </w:r>
    </w:p>
    <w:p w14:paraId="28FC0F60" w14:textId="77777777" w:rsidR="00F8259D" w:rsidRPr="00044923" w:rsidRDefault="00F8259D" w:rsidP="00F8259D">
      <w:pPr>
        <w:pStyle w:val="COI-Listepoint"/>
        <w:numPr>
          <w:ilvl w:val="1"/>
          <w:numId w:val="15"/>
        </w:numPr>
        <w:ind w:left="993" w:hanging="164"/>
        <w:rPr>
          <w:rFonts w:ascii="Verdana" w:hAnsi="Verdana"/>
          <w:sz w:val="22"/>
          <w:szCs w:val="22"/>
        </w:rPr>
      </w:pPr>
      <w:r w:rsidRPr="00044923">
        <w:rPr>
          <w:rFonts w:ascii="Verdana" w:hAnsi="Verdana"/>
          <w:sz w:val="22"/>
          <w:szCs w:val="22"/>
        </w:rPr>
        <w:t>Mettre en place des programmes de renforcement de capacité ou formation professionnelle favorisant les échanges pairs à pairs, ou entre chercheurs ou pour assurer la formation long terme de techniciens ou agents travaillant dans les espaces protégés sur des rôles clés de la gestion de la biodiversité, de l’accueil et de sensibilisation du public et d’application de la réglementation ;</w:t>
      </w:r>
    </w:p>
    <w:p w14:paraId="68E6B183" w14:textId="77777777" w:rsidR="00F8259D" w:rsidRPr="00044923" w:rsidRDefault="00F8259D" w:rsidP="00F8259D">
      <w:pPr>
        <w:pStyle w:val="COI-Listepoint"/>
        <w:numPr>
          <w:ilvl w:val="1"/>
          <w:numId w:val="15"/>
        </w:numPr>
        <w:ind w:left="993" w:hanging="164"/>
        <w:rPr>
          <w:rFonts w:ascii="Verdana" w:hAnsi="Verdana"/>
          <w:sz w:val="22"/>
          <w:szCs w:val="22"/>
        </w:rPr>
      </w:pPr>
      <w:r w:rsidRPr="00044923">
        <w:rPr>
          <w:rFonts w:ascii="Verdana" w:hAnsi="Verdana"/>
          <w:sz w:val="22"/>
          <w:szCs w:val="22"/>
        </w:rPr>
        <w:t>Favoriser la communication (voire les regroupements) entre acteurs œuvrant sur les mêmes sujets dans différents pays ;</w:t>
      </w:r>
    </w:p>
    <w:p w14:paraId="7534CE0C" w14:textId="77777777" w:rsidR="00F8259D" w:rsidRPr="00044923" w:rsidRDefault="00F8259D" w:rsidP="00F8259D">
      <w:pPr>
        <w:pStyle w:val="COI-Listepoint"/>
        <w:numPr>
          <w:ilvl w:val="1"/>
          <w:numId w:val="15"/>
        </w:numPr>
        <w:ind w:left="993" w:hanging="164"/>
        <w:rPr>
          <w:rFonts w:ascii="Verdana" w:hAnsi="Verdana"/>
          <w:sz w:val="22"/>
          <w:szCs w:val="22"/>
        </w:rPr>
      </w:pPr>
      <w:r w:rsidRPr="00044923">
        <w:rPr>
          <w:rFonts w:ascii="Verdana" w:hAnsi="Verdana"/>
          <w:sz w:val="22"/>
          <w:szCs w:val="22"/>
        </w:rPr>
        <w:t xml:space="preserve">Organiser une bibliothèque centrale des rapports d’évaluation des projets nationaux ou régionaux ; </w:t>
      </w:r>
    </w:p>
    <w:p w14:paraId="05D18BF0" w14:textId="77777777" w:rsidR="00F8259D" w:rsidRPr="00044923" w:rsidRDefault="00F8259D" w:rsidP="00F8259D">
      <w:pPr>
        <w:pStyle w:val="COI-Listepoint"/>
        <w:numPr>
          <w:ilvl w:val="1"/>
          <w:numId w:val="15"/>
        </w:numPr>
        <w:ind w:left="993" w:hanging="164"/>
        <w:rPr>
          <w:rFonts w:ascii="Verdana" w:hAnsi="Verdana"/>
          <w:sz w:val="22"/>
          <w:szCs w:val="22"/>
        </w:rPr>
      </w:pPr>
      <w:r w:rsidRPr="00044923">
        <w:rPr>
          <w:rFonts w:ascii="Verdana" w:hAnsi="Verdana"/>
          <w:sz w:val="22"/>
          <w:szCs w:val="22"/>
        </w:rPr>
        <w:t>Partager des termes de référence d’Experts ou soutenir les acteurs dans la recherche d’experts, en soutenant l’émergence d’équipes d’experts issus de la région</w:t>
      </w:r>
    </w:p>
    <w:p w14:paraId="52F2271D" w14:textId="77777777" w:rsidR="00F8259D" w:rsidRPr="00044923" w:rsidRDefault="00F8259D" w:rsidP="00F8259D">
      <w:pPr>
        <w:pStyle w:val="COI-Listepoint"/>
        <w:numPr>
          <w:ilvl w:val="1"/>
          <w:numId w:val="15"/>
        </w:numPr>
        <w:ind w:left="993" w:hanging="164"/>
        <w:rPr>
          <w:rFonts w:ascii="Verdana" w:hAnsi="Verdana"/>
          <w:sz w:val="22"/>
          <w:szCs w:val="22"/>
        </w:rPr>
      </w:pPr>
      <w:r w:rsidRPr="00044923">
        <w:rPr>
          <w:rFonts w:ascii="Verdana" w:hAnsi="Verdana"/>
          <w:sz w:val="22"/>
          <w:szCs w:val="22"/>
        </w:rPr>
        <w:t>Dissémination du concept d’aires marines/terrestres éducatives ?</w:t>
      </w:r>
    </w:p>
    <w:p w14:paraId="2ED374D4" w14:textId="77777777" w:rsidR="00F8259D" w:rsidRPr="00044923" w:rsidRDefault="00F8259D" w:rsidP="00F8259D">
      <w:pPr>
        <w:pStyle w:val="COI-Listepoint"/>
        <w:rPr>
          <w:rFonts w:ascii="Verdana" w:hAnsi="Verdana"/>
          <w:b/>
          <w:bCs/>
          <w:sz w:val="22"/>
          <w:szCs w:val="22"/>
        </w:rPr>
      </w:pPr>
      <w:r w:rsidRPr="00044923">
        <w:rPr>
          <w:rFonts w:ascii="Verdana" w:hAnsi="Verdana"/>
          <w:b/>
          <w:bCs/>
          <w:sz w:val="22"/>
          <w:szCs w:val="22"/>
        </w:rPr>
        <w:t xml:space="preserve">Dans le domaine de l’appui à l’accès aux financements : </w:t>
      </w:r>
    </w:p>
    <w:p w14:paraId="0135B512" w14:textId="77777777" w:rsidR="00F8259D" w:rsidRPr="00044923" w:rsidRDefault="00F8259D" w:rsidP="00F8259D">
      <w:pPr>
        <w:pStyle w:val="COI-Listepoint"/>
        <w:numPr>
          <w:ilvl w:val="1"/>
          <w:numId w:val="15"/>
        </w:numPr>
        <w:ind w:left="993" w:hanging="164"/>
        <w:rPr>
          <w:rFonts w:ascii="Verdana" w:hAnsi="Verdana"/>
          <w:sz w:val="22"/>
          <w:szCs w:val="22"/>
        </w:rPr>
      </w:pPr>
      <w:r w:rsidRPr="00044923">
        <w:rPr>
          <w:rFonts w:ascii="Verdana" w:hAnsi="Verdana"/>
          <w:sz w:val="22"/>
          <w:szCs w:val="22"/>
        </w:rPr>
        <w:t>Organiser sur une base bisannuelle une conférence des bailleurs de fonds pour la biodiversité dans la zone OI ;</w:t>
      </w:r>
    </w:p>
    <w:p w14:paraId="04703508" w14:textId="77777777" w:rsidR="00F8259D" w:rsidRPr="00044923" w:rsidRDefault="00F8259D" w:rsidP="00F8259D">
      <w:pPr>
        <w:pStyle w:val="COI-Listepoint"/>
        <w:numPr>
          <w:ilvl w:val="1"/>
          <w:numId w:val="15"/>
        </w:numPr>
        <w:ind w:left="993" w:hanging="164"/>
        <w:rPr>
          <w:rFonts w:ascii="Verdana" w:hAnsi="Verdana"/>
          <w:sz w:val="22"/>
          <w:szCs w:val="22"/>
        </w:rPr>
      </w:pPr>
      <w:r w:rsidRPr="00044923">
        <w:rPr>
          <w:rFonts w:ascii="Verdana" w:hAnsi="Verdana"/>
          <w:sz w:val="22"/>
          <w:szCs w:val="22"/>
        </w:rPr>
        <w:t>Promouvoir et soutenir, par l’apport d’expertise spécifique, l’identification et la préparation de projets, notamment régionaux ;</w:t>
      </w:r>
    </w:p>
    <w:p w14:paraId="5FAF1DF1" w14:textId="77777777" w:rsidR="00F8259D" w:rsidRPr="00044923" w:rsidRDefault="00F8259D" w:rsidP="00F8259D">
      <w:pPr>
        <w:pStyle w:val="COI-Listepoint"/>
        <w:numPr>
          <w:ilvl w:val="1"/>
          <w:numId w:val="15"/>
        </w:numPr>
        <w:ind w:left="993" w:hanging="164"/>
        <w:rPr>
          <w:rFonts w:ascii="Verdana" w:hAnsi="Verdana"/>
          <w:sz w:val="22"/>
          <w:szCs w:val="22"/>
        </w:rPr>
      </w:pPr>
      <w:r w:rsidRPr="00044923">
        <w:rPr>
          <w:rFonts w:ascii="Verdana" w:hAnsi="Verdana"/>
          <w:sz w:val="22"/>
          <w:szCs w:val="22"/>
        </w:rPr>
        <w:t>Soutenir financièrement ou techniquement les réseaux existants.</w:t>
      </w:r>
    </w:p>
    <w:p w14:paraId="5C1C8810" w14:textId="77777777" w:rsidR="00F8259D" w:rsidRPr="00044923" w:rsidRDefault="00F8259D" w:rsidP="00F8259D">
      <w:pPr>
        <w:pStyle w:val="COI-Listepoint"/>
        <w:numPr>
          <w:ilvl w:val="1"/>
          <w:numId w:val="15"/>
        </w:numPr>
        <w:ind w:left="993" w:hanging="164"/>
        <w:rPr>
          <w:rFonts w:ascii="Verdana" w:hAnsi="Verdana"/>
          <w:sz w:val="22"/>
          <w:szCs w:val="22"/>
        </w:rPr>
      </w:pPr>
      <w:r w:rsidRPr="00044923">
        <w:rPr>
          <w:rFonts w:ascii="Verdana" w:hAnsi="Verdana"/>
          <w:sz w:val="22"/>
          <w:szCs w:val="22"/>
        </w:rPr>
        <w:t xml:space="preserve">Dans le domaine stratégique, législatif et juridique </w:t>
      </w:r>
    </w:p>
    <w:p w14:paraId="4D9CC2C6" w14:textId="77777777" w:rsidR="00F8259D" w:rsidRPr="00044923" w:rsidRDefault="00F8259D" w:rsidP="00F8259D">
      <w:pPr>
        <w:pStyle w:val="COI-Listepoint"/>
        <w:numPr>
          <w:ilvl w:val="1"/>
          <w:numId w:val="15"/>
        </w:numPr>
        <w:ind w:left="993" w:hanging="164"/>
        <w:rPr>
          <w:rFonts w:ascii="Verdana" w:hAnsi="Verdana"/>
          <w:sz w:val="22"/>
          <w:szCs w:val="22"/>
        </w:rPr>
      </w:pPr>
      <w:r w:rsidRPr="00044923">
        <w:rPr>
          <w:rFonts w:ascii="Verdana" w:hAnsi="Verdana"/>
          <w:sz w:val="22"/>
          <w:szCs w:val="22"/>
        </w:rPr>
        <w:t xml:space="preserve">Favoriser les approches partagées et coordonnées </w:t>
      </w:r>
      <w:r w:rsidRPr="00044923">
        <w:rPr>
          <w:rFonts w:ascii="Verdana" w:hAnsi="Verdana"/>
          <w:i/>
          <w:sz w:val="22"/>
          <w:szCs w:val="22"/>
        </w:rPr>
        <w:t>(y compris pour des espèces ou des habitats naturels partagés entre plusieurs EM)</w:t>
      </w:r>
      <w:r w:rsidRPr="00044923">
        <w:rPr>
          <w:rFonts w:ascii="Verdana" w:hAnsi="Verdana"/>
          <w:sz w:val="22"/>
          <w:szCs w:val="22"/>
        </w:rPr>
        <w:t> ;</w:t>
      </w:r>
    </w:p>
    <w:p w14:paraId="11E91487" w14:textId="77777777" w:rsidR="00F8259D" w:rsidRPr="00044923" w:rsidRDefault="00F8259D" w:rsidP="00F8259D">
      <w:pPr>
        <w:pStyle w:val="COI-Listepoint"/>
        <w:numPr>
          <w:ilvl w:val="1"/>
          <w:numId w:val="15"/>
        </w:numPr>
        <w:ind w:left="993" w:hanging="164"/>
        <w:rPr>
          <w:rFonts w:ascii="Verdana" w:hAnsi="Verdana"/>
          <w:sz w:val="22"/>
          <w:szCs w:val="22"/>
        </w:rPr>
      </w:pPr>
      <w:r w:rsidRPr="00044923">
        <w:rPr>
          <w:rFonts w:ascii="Verdana" w:hAnsi="Verdana"/>
          <w:sz w:val="22"/>
          <w:szCs w:val="22"/>
        </w:rPr>
        <w:t>Mettre en place des études et des espaces d’échanges sur les manques existants en matière de législation nationale, voire régionale ;</w:t>
      </w:r>
    </w:p>
    <w:p w14:paraId="35C5366A" w14:textId="77777777" w:rsidR="00F8259D" w:rsidRPr="00044923" w:rsidRDefault="00F8259D" w:rsidP="00F8259D">
      <w:pPr>
        <w:pStyle w:val="COI-Listepoint"/>
        <w:numPr>
          <w:ilvl w:val="1"/>
          <w:numId w:val="15"/>
        </w:numPr>
        <w:ind w:left="993" w:hanging="164"/>
        <w:rPr>
          <w:rFonts w:ascii="Verdana" w:hAnsi="Verdana"/>
          <w:sz w:val="22"/>
          <w:szCs w:val="22"/>
        </w:rPr>
      </w:pPr>
      <w:r w:rsidRPr="00044923">
        <w:rPr>
          <w:rFonts w:ascii="Verdana" w:hAnsi="Verdana"/>
          <w:sz w:val="22"/>
          <w:szCs w:val="22"/>
        </w:rPr>
        <w:t>Accompagner les pays de la région pour le partage d’expérience sur les législations existantes (promotion des meilleures approches et pratiques) ;</w:t>
      </w:r>
    </w:p>
    <w:p w14:paraId="69C56343" w14:textId="77777777" w:rsidR="00F8259D" w:rsidRPr="00044923" w:rsidRDefault="00F8259D" w:rsidP="00F8259D">
      <w:pPr>
        <w:pStyle w:val="COI-Listepoint"/>
        <w:numPr>
          <w:ilvl w:val="1"/>
          <w:numId w:val="15"/>
        </w:numPr>
        <w:ind w:left="993" w:hanging="164"/>
        <w:rPr>
          <w:rFonts w:ascii="Verdana" w:hAnsi="Verdana"/>
          <w:sz w:val="22"/>
          <w:szCs w:val="22"/>
        </w:rPr>
      </w:pPr>
      <w:r w:rsidRPr="00044923">
        <w:rPr>
          <w:rFonts w:ascii="Verdana" w:hAnsi="Verdana"/>
          <w:sz w:val="22"/>
          <w:szCs w:val="22"/>
        </w:rPr>
        <w:t>Apporter une expertise aux pays pour une meilleure mise en conformité des cadres nationaux avec les directives internationales (notamment cadres post 2020, CITES, Ramsar, Protocoles de Nagoya et partage des avantages, lutte contre le braconnage et police de l’environnement</w:t>
      </w:r>
      <w:proofErr w:type="gramStart"/>
      <w:r w:rsidRPr="00044923">
        <w:rPr>
          <w:rFonts w:ascii="Verdana" w:hAnsi="Verdana"/>
          <w:sz w:val="22"/>
          <w:szCs w:val="22"/>
        </w:rPr>
        <w:t>… )</w:t>
      </w:r>
      <w:proofErr w:type="gramEnd"/>
    </w:p>
    <w:p w14:paraId="547DEA9D" w14:textId="77777777" w:rsidR="00F8259D" w:rsidRPr="00044923" w:rsidRDefault="00F8259D" w:rsidP="00F8259D">
      <w:pPr>
        <w:pStyle w:val="COI-Listepoint"/>
        <w:numPr>
          <w:ilvl w:val="1"/>
          <w:numId w:val="15"/>
        </w:numPr>
        <w:ind w:left="993" w:hanging="164"/>
        <w:rPr>
          <w:rFonts w:ascii="Verdana" w:hAnsi="Verdana"/>
          <w:sz w:val="22"/>
          <w:szCs w:val="22"/>
        </w:rPr>
      </w:pPr>
      <w:r w:rsidRPr="00044923">
        <w:rPr>
          <w:rFonts w:ascii="Verdana" w:hAnsi="Verdana"/>
          <w:sz w:val="22"/>
          <w:szCs w:val="22"/>
        </w:rPr>
        <w:lastRenderedPageBreak/>
        <w:t>Organiser une facilité d’accès aux financements (comme cela se met en place pour le climat) ;</w:t>
      </w:r>
    </w:p>
    <w:p w14:paraId="7D9E6ABD" w14:textId="77777777" w:rsidR="00F8259D" w:rsidRPr="00044923" w:rsidRDefault="00F8259D" w:rsidP="00F8259D">
      <w:pPr>
        <w:pStyle w:val="COI-Listepoint"/>
        <w:numPr>
          <w:ilvl w:val="1"/>
          <w:numId w:val="15"/>
        </w:numPr>
        <w:ind w:left="993" w:hanging="164"/>
        <w:rPr>
          <w:rFonts w:ascii="Verdana" w:hAnsi="Verdana"/>
          <w:sz w:val="22"/>
          <w:szCs w:val="22"/>
        </w:rPr>
      </w:pPr>
      <w:r w:rsidRPr="00044923">
        <w:rPr>
          <w:rFonts w:ascii="Verdana" w:hAnsi="Verdana"/>
          <w:sz w:val="22"/>
          <w:szCs w:val="22"/>
        </w:rPr>
        <w:t>Soutenir la mise en place d’études, de projets de recherche ou de projets sur les liens entre biodiversité et climat, biodiversité et santé ;</w:t>
      </w:r>
    </w:p>
    <w:p w14:paraId="4171CF78" w14:textId="77777777" w:rsidR="00F8259D" w:rsidRPr="00044923" w:rsidRDefault="00F8259D" w:rsidP="00F8259D">
      <w:pPr>
        <w:pStyle w:val="COI-Listepoint"/>
        <w:rPr>
          <w:rFonts w:ascii="Verdana" w:hAnsi="Verdana"/>
          <w:b/>
          <w:bCs/>
          <w:sz w:val="22"/>
          <w:szCs w:val="22"/>
        </w:rPr>
      </w:pPr>
      <w:r w:rsidRPr="00044923">
        <w:rPr>
          <w:rFonts w:ascii="Verdana" w:hAnsi="Verdana"/>
          <w:b/>
          <w:bCs/>
          <w:sz w:val="22"/>
          <w:szCs w:val="22"/>
        </w:rPr>
        <w:t xml:space="preserve">Dans le domaine institutionnel </w:t>
      </w:r>
    </w:p>
    <w:p w14:paraId="4630FD58" w14:textId="77777777" w:rsidR="00F8259D" w:rsidRPr="00044923" w:rsidRDefault="00F8259D" w:rsidP="00F8259D">
      <w:pPr>
        <w:pStyle w:val="COI-Listepoint"/>
        <w:numPr>
          <w:ilvl w:val="1"/>
          <w:numId w:val="15"/>
        </w:numPr>
        <w:ind w:left="993" w:hanging="164"/>
        <w:rPr>
          <w:rFonts w:ascii="Verdana" w:hAnsi="Verdana"/>
          <w:sz w:val="22"/>
          <w:szCs w:val="22"/>
        </w:rPr>
      </w:pPr>
      <w:r w:rsidRPr="00044923">
        <w:rPr>
          <w:rFonts w:ascii="Verdana" w:hAnsi="Verdana"/>
          <w:sz w:val="22"/>
          <w:szCs w:val="22"/>
        </w:rPr>
        <w:t>Accompagner, selon les demandes politique, la promotion de plaidoyers sur les enjeux de protection de la biodiversité dans les Etats et iles de la région ;</w:t>
      </w:r>
    </w:p>
    <w:p w14:paraId="6073EF22" w14:textId="77777777" w:rsidR="00F8259D" w:rsidRPr="00044923" w:rsidRDefault="00F8259D" w:rsidP="00F8259D">
      <w:pPr>
        <w:pStyle w:val="COI-Listepoint"/>
        <w:numPr>
          <w:ilvl w:val="1"/>
          <w:numId w:val="15"/>
        </w:numPr>
        <w:ind w:left="993" w:hanging="164"/>
        <w:rPr>
          <w:rFonts w:ascii="Verdana" w:hAnsi="Verdana"/>
          <w:sz w:val="22"/>
          <w:szCs w:val="22"/>
        </w:rPr>
      </w:pPr>
      <w:r w:rsidRPr="00044923">
        <w:rPr>
          <w:rFonts w:ascii="Verdana" w:hAnsi="Verdana"/>
          <w:sz w:val="22"/>
          <w:szCs w:val="22"/>
        </w:rPr>
        <w:t>Accompagner les Etats membres à être représenté et actif dans les instances et débats régionaux et internationaux ;</w:t>
      </w:r>
    </w:p>
    <w:p w14:paraId="5AA9E735" w14:textId="77777777" w:rsidR="00F8259D" w:rsidRPr="00044923" w:rsidRDefault="00F8259D" w:rsidP="00F8259D">
      <w:pPr>
        <w:pStyle w:val="COI-Listepoint"/>
        <w:numPr>
          <w:ilvl w:val="1"/>
          <w:numId w:val="15"/>
        </w:numPr>
        <w:ind w:left="993" w:hanging="164"/>
        <w:rPr>
          <w:rFonts w:ascii="Verdana" w:hAnsi="Verdana"/>
          <w:sz w:val="22"/>
          <w:szCs w:val="22"/>
        </w:rPr>
      </w:pPr>
      <w:r w:rsidRPr="00044923">
        <w:rPr>
          <w:rFonts w:ascii="Verdana" w:hAnsi="Verdana"/>
          <w:sz w:val="22"/>
          <w:szCs w:val="22"/>
        </w:rPr>
        <w:t>Favoriser les liens, pour une meilleure connaissance mais aussi pour une meilleure contribution, les Etats dans les instances et organisations régionales ou internationales.</w:t>
      </w:r>
    </w:p>
    <w:p w14:paraId="4317BFC2" w14:textId="77777777" w:rsidR="00F8259D" w:rsidRPr="00044923" w:rsidRDefault="00F8259D" w:rsidP="00F8259D">
      <w:pPr>
        <w:pStyle w:val="Corpsdetexte"/>
        <w:rPr>
          <w:rFonts w:ascii="Verdana" w:hAnsi="Verdana"/>
          <w:sz w:val="22"/>
          <w:szCs w:val="22"/>
        </w:rPr>
      </w:pPr>
      <w:r w:rsidRPr="00044923">
        <w:rPr>
          <w:rFonts w:ascii="Verdana" w:hAnsi="Verdana"/>
          <w:sz w:val="22"/>
          <w:szCs w:val="22"/>
        </w:rPr>
        <w:t xml:space="preserve">Cette liste, non exhaustive devra être mise à l’épreuve des priorités au regard des moyens, humains, techniques et financiers, de manière à engager le projet d’agence sur des actions très opérationnelles, visibles et démonstratives pour les partenaires, répondant aux besoins et s’inscrivant dans la durée.  </w:t>
      </w:r>
    </w:p>
    <w:p w14:paraId="012457B6" w14:textId="77777777" w:rsidR="00F8259D" w:rsidRPr="00044923" w:rsidRDefault="00F8259D" w:rsidP="00F8259D">
      <w:pPr>
        <w:pStyle w:val="Titre1"/>
        <w:ind w:left="0" w:firstLine="0"/>
        <w:rPr>
          <w:sz w:val="22"/>
          <w:szCs w:val="22"/>
        </w:rPr>
      </w:pPr>
      <w:r w:rsidRPr="00044923">
        <w:rPr>
          <w:sz w:val="22"/>
          <w:szCs w:val="22"/>
        </w:rPr>
        <w:t xml:space="preserve">Conclusions et suites à donner : </w:t>
      </w:r>
    </w:p>
    <w:p w14:paraId="6A45999C" w14:textId="77777777" w:rsidR="00F8259D" w:rsidRPr="00044923" w:rsidRDefault="00F8259D" w:rsidP="00F8259D">
      <w:pPr>
        <w:pStyle w:val="Corpsdetexte"/>
        <w:rPr>
          <w:rFonts w:ascii="Verdana" w:hAnsi="Verdana"/>
          <w:sz w:val="22"/>
          <w:szCs w:val="22"/>
        </w:rPr>
      </w:pPr>
      <w:r w:rsidRPr="00044923">
        <w:rPr>
          <w:rFonts w:ascii="Verdana" w:hAnsi="Verdana"/>
          <w:sz w:val="22"/>
          <w:szCs w:val="22"/>
        </w:rPr>
        <w:t xml:space="preserve">Si cette agence doit avant tout servir les intérêts des Etats membres de la COI, il convient d’acter que les enjeux ne se limitent pas à leurs frontières. Ainsi, le groupe de travail recommande, comme cela se fait pour la santé ou pour le climat, que l’Agence reste ouverte à la coopération et aux échanges avec d’autres Etats </w:t>
      </w:r>
      <w:proofErr w:type="gramStart"/>
      <w:r w:rsidRPr="00044923">
        <w:rPr>
          <w:rFonts w:ascii="Verdana" w:hAnsi="Verdana"/>
          <w:sz w:val="22"/>
          <w:szCs w:val="22"/>
        </w:rPr>
        <w:t>non membres</w:t>
      </w:r>
      <w:proofErr w:type="gramEnd"/>
      <w:r w:rsidRPr="00044923">
        <w:rPr>
          <w:rFonts w:ascii="Verdana" w:hAnsi="Verdana"/>
          <w:sz w:val="22"/>
          <w:szCs w:val="22"/>
        </w:rPr>
        <w:t xml:space="preserve"> de la COI. </w:t>
      </w:r>
    </w:p>
    <w:p w14:paraId="0B22F43B" w14:textId="77777777" w:rsidR="00F8259D" w:rsidRPr="00044923" w:rsidRDefault="00F8259D" w:rsidP="00F8259D">
      <w:pPr>
        <w:pStyle w:val="Corpsdetexte"/>
        <w:rPr>
          <w:rFonts w:ascii="Verdana" w:hAnsi="Verdana"/>
          <w:sz w:val="22"/>
          <w:szCs w:val="22"/>
        </w:rPr>
      </w:pPr>
      <w:r w:rsidRPr="00044923">
        <w:rPr>
          <w:rFonts w:ascii="Verdana" w:hAnsi="Verdana"/>
          <w:sz w:val="22"/>
          <w:szCs w:val="22"/>
        </w:rPr>
        <w:t>Il ressort également que des efforts de concertation et de mise en synergie des nombreux acteurs agissant dans ce domaine seraient déjà porteur de fruits positifs.</w:t>
      </w:r>
    </w:p>
    <w:p w14:paraId="5700325B" w14:textId="77777777" w:rsidR="00F8259D" w:rsidRPr="00044923" w:rsidRDefault="00F8259D" w:rsidP="00F8259D">
      <w:pPr>
        <w:pStyle w:val="Corpsdetexte"/>
        <w:rPr>
          <w:rFonts w:ascii="Verdana" w:hAnsi="Verdana"/>
          <w:sz w:val="22"/>
          <w:szCs w:val="22"/>
        </w:rPr>
      </w:pPr>
      <w:r w:rsidRPr="00044923">
        <w:rPr>
          <w:rFonts w:ascii="Verdana" w:hAnsi="Verdana"/>
          <w:sz w:val="22"/>
          <w:szCs w:val="22"/>
        </w:rPr>
        <w:t>Le groupe de travail recommande également une approche pragmatique, très opérationnelle et « pas à pas ». En effet, les besoins identifiés et attentes exprimées par le groupe de travail Biodiversité des Etats membres de la COI sont immenses et nécessite une équipe dédiée.</w:t>
      </w:r>
    </w:p>
    <w:p w14:paraId="3D98AC5E" w14:textId="77777777" w:rsidR="00F8259D" w:rsidRPr="00044923" w:rsidRDefault="00F8259D" w:rsidP="00F8259D">
      <w:pPr>
        <w:pStyle w:val="Corpsdetexte"/>
        <w:rPr>
          <w:rFonts w:ascii="Verdana" w:hAnsi="Verdana"/>
          <w:sz w:val="22"/>
          <w:szCs w:val="22"/>
        </w:rPr>
      </w:pPr>
      <w:r w:rsidRPr="00044923">
        <w:rPr>
          <w:rFonts w:ascii="Verdana" w:hAnsi="Verdana"/>
          <w:sz w:val="22"/>
          <w:szCs w:val="22"/>
        </w:rPr>
        <w:t xml:space="preserve">Tout en poursuivant la concertation avec ses Etats membres, la COI se propose d’ouvrir des échanges avec ses partenaires financiers pour engager, au cours de l’année 2023, une étude de faisabilité devant préciser les termes de cette agence. </w:t>
      </w:r>
    </w:p>
    <w:p w14:paraId="25196DCA" w14:textId="4C683522" w:rsidR="00F8259D" w:rsidRPr="00044923" w:rsidRDefault="00F8259D" w:rsidP="00F8259D">
      <w:pPr>
        <w:spacing w:before="0" w:after="0" w:line="240" w:lineRule="auto"/>
        <w:jc w:val="left"/>
        <w:rPr>
          <w:sz w:val="22"/>
        </w:rPr>
      </w:pPr>
    </w:p>
    <w:p w14:paraId="5B95977A" w14:textId="77777777" w:rsidR="00F8259D" w:rsidRPr="00044923" w:rsidRDefault="00F8259D" w:rsidP="00F8259D">
      <w:pPr>
        <w:pStyle w:val="Corpsdetexte"/>
        <w:rPr>
          <w:rFonts w:ascii="Verdana" w:hAnsi="Verdana"/>
          <w:sz w:val="22"/>
          <w:szCs w:val="22"/>
        </w:rPr>
      </w:pPr>
    </w:p>
    <w:sectPr w:rsidR="00F8259D" w:rsidRPr="00044923" w:rsidSect="00B507B3">
      <w:type w:val="continuous"/>
      <w:pgSz w:w="11900" w:h="16840"/>
      <w:pgMar w:top="1440" w:right="1552" w:bottom="1440" w:left="99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24808" w14:textId="77777777" w:rsidR="00055C7D" w:rsidRDefault="00055C7D">
      <w:pPr>
        <w:spacing w:after="0" w:line="240" w:lineRule="auto"/>
      </w:pPr>
      <w:r>
        <w:separator/>
      </w:r>
    </w:p>
  </w:endnote>
  <w:endnote w:type="continuationSeparator" w:id="0">
    <w:p w14:paraId="3EA5963D" w14:textId="77777777" w:rsidR="00055C7D" w:rsidRDefault="00055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A7FB8" w14:textId="77777777" w:rsidR="00055C7D" w:rsidRDefault="00055C7D">
      <w:pPr>
        <w:spacing w:after="0" w:line="240" w:lineRule="auto"/>
      </w:pPr>
      <w:r>
        <w:separator/>
      </w:r>
    </w:p>
  </w:footnote>
  <w:footnote w:type="continuationSeparator" w:id="0">
    <w:p w14:paraId="47CE7BB7" w14:textId="77777777" w:rsidR="00055C7D" w:rsidRDefault="00055C7D">
      <w:pPr>
        <w:spacing w:after="0" w:line="240" w:lineRule="auto"/>
      </w:pPr>
      <w:r>
        <w:continuationSeparator/>
      </w:r>
    </w:p>
  </w:footnote>
  <w:footnote w:id="1">
    <w:p w14:paraId="6689AD95" w14:textId="77777777" w:rsidR="00F8259D" w:rsidRDefault="00F8259D" w:rsidP="00F8259D">
      <w:pPr>
        <w:pStyle w:val="Pieddepage"/>
        <w:ind w:left="142" w:hanging="142"/>
      </w:pPr>
      <w:r>
        <w:rPr>
          <w:rStyle w:val="Appelnotedebasdep"/>
        </w:rPr>
        <w:footnoteRef/>
      </w:r>
      <w:r>
        <w:t xml:space="preserve">  </w:t>
      </w:r>
      <w:r w:rsidRPr="00A74011">
        <w:t>A noter que cela ne peut se faire qu’avec un engagement ferme des Etats membres de nommer dans la durée des personnes compétentes et de les conserver sur ces postes</w:t>
      </w:r>
    </w:p>
  </w:footnote>
  <w:footnote w:id="2">
    <w:p w14:paraId="4AD52889" w14:textId="77777777" w:rsidR="00F8259D" w:rsidRPr="00F8259D" w:rsidRDefault="00F8259D" w:rsidP="00F8259D">
      <w:pPr>
        <w:pStyle w:val="Pieddepage"/>
      </w:pPr>
      <w:r>
        <w:rPr>
          <w:rStyle w:val="Appelnotedebasdep"/>
        </w:rPr>
        <w:footnoteRef/>
      </w:r>
      <w:r>
        <w:t xml:space="preserve">  </w:t>
      </w:r>
      <w:r w:rsidRPr="00F8259D">
        <w:t xml:space="preserve">Exemple de la </w:t>
      </w:r>
      <w:r w:rsidRPr="009F2583">
        <w:rPr>
          <w:highlight w:val="yellow"/>
        </w:rPr>
        <w:t>Commission internationale pour la protection du Rhin (CIPR)</w:t>
      </w:r>
      <w:r w:rsidRPr="009F2583">
        <w:t xml:space="preserve"> entre Suisse, Allemagne, France, le Luxembourg, les Pays-Bas et la Commission européenne. Cette commission s’appuie sur des groupes de travail et d’experts, dotés d’un </w:t>
      </w:r>
      <w:r w:rsidRPr="00F8259D">
        <w:t>mandat</w:t>
      </w:r>
      <w:r w:rsidRPr="009F2583">
        <w:t xml:space="preserve"> défini, relatifs à toutes les questions techniques découlant de la mise en œuvre de la Convention pour la protection du Rhin et du droit communautaire. Une fois par an, des décisions sont prises dans le cadre de l’Assemblée plénière et d’une Conférence ministérielle prenant des décisions sur des questions politiques majeures et posant les jalons de futurs programmes d’action.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2ED535E"/>
    <w:multiLevelType w:val="hybridMultilevel"/>
    <w:tmpl w:val="949ED6EA"/>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4CE4F19"/>
    <w:multiLevelType w:val="hybridMultilevel"/>
    <w:tmpl w:val="04D47E88"/>
    <w:lvl w:ilvl="0" w:tplc="AE7C4662">
      <w:numFmt w:val="bullet"/>
      <w:lvlText w:val="•"/>
      <w:lvlJc w:val="left"/>
      <w:pPr>
        <w:ind w:left="1003" w:hanging="360"/>
      </w:pPr>
      <w:rPr>
        <w:rFonts w:hint="default"/>
        <w:lang w:val="fr-FR" w:eastAsia="en-US" w:bidi="ar-SA"/>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5" w15:restartNumberingAfterBreak="0">
    <w:nsid w:val="15051D77"/>
    <w:multiLevelType w:val="multilevel"/>
    <w:tmpl w:val="2BC8ED96"/>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BA2E03"/>
    <w:multiLevelType w:val="multilevel"/>
    <w:tmpl w:val="BE7873C0"/>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FFC40F9"/>
    <w:multiLevelType w:val="hybridMultilevel"/>
    <w:tmpl w:val="078E23E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A1A55A0"/>
    <w:multiLevelType w:val="hybridMultilevel"/>
    <w:tmpl w:val="768C46C0"/>
    <w:lvl w:ilvl="0" w:tplc="34029DA0">
      <w:start w:val="1"/>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B1F44EF"/>
    <w:multiLevelType w:val="multilevel"/>
    <w:tmpl w:val="75DCE970"/>
    <w:lvl w:ilvl="0">
      <w:start w:val="1"/>
      <w:numFmt w:val="bullet"/>
      <w:pStyle w:val="COI-Listepoin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3B2C3ADE"/>
    <w:multiLevelType w:val="multilevel"/>
    <w:tmpl w:val="51BCF30E"/>
    <w:lvl w:ilvl="0">
      <w:start w:val="1"/>
      <w:numFmt w:val="decimal"/>
      <w:lvlText w:val="%1"/>
      <w:lvlJc w:val="left"/>
      <w:pPr>
        <w:ind w:left="432" w:hanging="432"/>
      </w:pPr>
      <w:rPr>
        <w:rFonts w:hint="default"/>
        <w:lang w:bidi="ar-SA"/>
      </w:rPr>
    </w:lvl>
    <w:lvl w:ilvl="1">
      <w:start w:val="1"/>
      <w:numFmt w:val="decimal"/>
      <w:lvlText w:val="%1.%2"/>
      <w:lvlJc w:val="left"/>
      <w:pPr>
        <w:ind w:left="576" w:hanging="576"/>
      </w:pPr>
      <w:rPr>
        <w:rFonts w:hint="default"/>
        <w:b/>
        <w:bCs/>
        <w:spacing w:val="-2"/>
        <w:w w:val="99"/>
        <w:sz w:val="20"/>
        <w:szCs w:val="20"/>
        <w:lang w:val="fr-FR" w:eastAsia="en-US" w:bidi="ar-SA"/>
      </w:rPr>
    </w:lvl>
    <w:lvl w:ilvl="2">
      <w:start w:val="1"/>
      <w:numFmt w:val="lowerLetter"/>
      <w:lvlText w:val="%3)"/>
      <w:lvlJc w:val="left"/>
      <w:pPr>
        <w:ind w:left="360" w:hanging="360"/>
      </w:pPr>
    </w:lvl>
    <w:lvl w:ilvl="3">
      <w:start w:val="1"/>
      <w:numFmt w:val="decimal"/>
      <w:lvlText w:val="%1.%2.%3.%4"/>
      <w:lvlJc w:val="left"/>
      <w:pPr>
        <w:ind w:left="864" w:hanging="864"/>
      </w:pPr>
      <w:rPr>
        <w:rFonts w:hint="default"/>
        <w:lang w:val="fr-FR" w:eastAsia="en-US" w:bidi="ar-SA"/>
      </w:rPr>
    </w:lvl>
    <w:lvl w:ilvl="4">
      <w:start w:val="1"/>
      <w:numFmt w:val="decimal"/>
      <w:lvlText w:val="%1.%2.%3.%4.%5"/>
      <w:lvlJc w:val="left"/>
      <w:pPr>
        <w:ind w:left="1008" w:hanging="1008"/>
      </w:pPr>
      <w:rPr>
        <w:rFonts w:hint="default"/>
        <w:lang w:val="fr-FR" w:eastAsia="en-US" w:bidi="ar-SA"/>
      </w:rPr>
    </w:lvl>
    <w:lvl w:ilvl="5">
      <w:start w:val="1"/>
      <w:numFmt w:val="decimal"/>
      <w:lvlText w:val="%1.%2.%3.%4.%5.%6"/>
      <w:lvlJc w:val="left"/>
      <w:pPr>
        <w:ind w:left="1152" w:hanging="1152"/>
      </w:pPr>
      <w:rPr>
        <w:rFonts w:hint="default"/>
        <w:lang w:val="fr-FR" w:eastAsia="en-US" w:bidi="ar-SA"/>
      </w:rPr>
    </w:lvl>
    <w:lvl w:ilvl="6">
      <w:start w:val="1"/>
      <w:numFmt w:val="decimal"/>
      <w:lvlText w:val="%1.%2.%3.%4.%5.%6.%7"/>
      <w:lvlJc w:val="left"/>
      <w:pPr>
        <w:ind w:left="1296" w:hanging="1296"/>
      </w:pPr>
      <w:rPr>
        <w:rFonts w:hint="default"/>
        <w:lang w:val="fr-FR" w:eastAsia="en-US" w:bidi="ar-SA"/>
      </w:rPr>
    </w:lvl>
    <w:lvl w:ilvl="7">
      <w:start w:val="1"/>
      <w:numFmt w:val="decimal"/>
      <w:lvlText w:val="%1.%2.%3.%4.%5.%6.%7.%8"/>
      <w:lvlJc w:val="left"/>
      <w:pPr>
        <w:ind w:left="1440" w:hanging="1440"/>
      </w:pPr>
      <w:rPr>
        <w:rFonts w:hint="default"/>
        <w:lang w:val="fr-FR" w:eastAsia="en-US" w:bidi="ar-SA"/>
      </w:rPr>
    </w:lvl>
    <w:lvl w:ilvl="8">
      <w:start w:val="1"/>
      <w:numFmt w:val="decimal"/>
      <w:lvlText w:val="%1.%2.%3.%4.%5.%6.%7.%8.%9"/>
      <w:lvlJc w:val="left"/>
      <w:pPr>
        <w:ind w:left="1584" w:hanging="1584"/>
      </w:pPr>
      <w:rPr>
        <w:rFonts w:hint="default"/>
        <w:lang w:val="fr-FR" w:eastAsia="en-US" w:bidi="ar-SA"/>
      </w:rPr>
    </w:lvl>
  </w:abstractNum>
  <w:abstractNum w:abstractNumId="14"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E8C6396"/>
    <w:multiLevelType w:val="hybridMultilevel"/>
    <w:tmpl w:val="552CF818"/>
    <w:lvl w:ilvl="0" w:tplc="040C000F">
      <w:start w:val="1"/>
      <w:numFmt w:val="decimal"/>
      <w:lvlText w:val="%1."/>
      <w:lvlJc w:val="left"/>
      <w:pPr>
        <w:ind w:left="937" w:hanging="360"/>
      </w:pPr>
    </w:lvl>
    <w:lvl w:ilvl="1" w:tplc="040C0019" w:tentative="1">
      <w:start w:val="1"/>
      <w:numFmt w:val="lowerLetter"/>
      <w:lvlText w:val="%2."/>
      <w:lvlJc w:val="left"/>
      <w:pPr>
        <w:ind w:left="1657" w:hanging="360"/>
      </w:pPr>
    </w:lvl>
    <w:lvl w:ilvl="2" w:tplc="040C001B" w:tentative="1">
      <w:start w:val="1"/>
      <w:numFmt w:val="lowerRoman"/>
      <w:lvlText w:val="%3."/>
      <w:lvlJc w:val="right"/>
      <w:pPr>
        <w:ind w:left="2377" w:hanging="180"/>
      </w:pPr>
    </w:lvl>
    <w:lvl w:ilvl="3" w:tplc="040C000F" w:tentative="1">
      <w:start w:val="1"/>
      <w:numFmt w:val="decimal"/>
      <w:lvlText w:val="%4."/>
      <w:lvlJc w:val="left"/>
      <w:pPr>
        <w:ind w:left="3097" w:hanging="360"/>
      </w:pPr>
    </w:lvl>
    <w:lvl w:ilvl="4" w:tplc="040C0019" w:tentative="1">
      <w:start w:val="1"/>
      <w:numFmt w:val="lowerLetter"/>
      <w:lvlText w:val="%5."/>
      <w:lvlJc w:val="left"/>
      <w:pPr>
        <w:ind w:left="3817" w:hanging="360"/>
      </w:pPr>
    </w:lvl>
    <w:lvl w:ilvl="5" w:tplc="040C001B" w:tentative="1">
      <w:start w:val="1"/>
      <w:numFmt w:val="lowerRoman"/>
      <w:lvlText w:val="%6."/>
      <w:lvlJc w:val="right"/>
      <w:pPr>
        <w:ind w:left="4537" w:hanging="180"/>
      </w:pPr>
    </w:lvl>
    <w:lvl w:ilvl="6" w:tplc="040C000F" w:tentative="1">
      <w:start w:val="1"/>
      <w:numFmt w:val="decimal"/>
      <w:lvlText w:val="%7."/>
      <w:lvlJc w:val="left"/>
      <w:pPr>
        <w:ind w:left="5257" w:hanging="360"/>
      </w:pPr>
    </w:lvl>
    <w:lvl w:ilvl="7" w:tplc="040C0019" w:tentative="1">
      <w:start w:val="1"/>
      <w:numFmt w:val="lowerLetter"/>
      <w:lvlText w:val="%8."/>
      <w:lvlJc w:val="left"/>
      <w:pPr>
        <w:ind w:left="5977" w:hanging="360"/>
      </w:pPr>
    </w:lvl>
    <w:lvl w:ilvl="8" w:tplc="040C001B" w:tentative="1">
      <w:start w:val="1"/>
      <w:numFmt w:val="lowerRoman"/>
      <w:lvlText w:val="%9."/>
      <w:lvlJc w:val="right"/>
      <w:pPr>
        <w:ind w:left="6697" w:hanging="180"/>
      </w:pPr>
    </w:lvl>
  </w:abstractNum>
  <w:abstractNum w:abstractNumId="17" w15:restartNumberingAfterBreak="0">
    <w:nsid w:val="7A060A06"/>
    <w:multiLevelType w:val="multilevel"/>
    <w:tmpl w:val="65642704"/>
    <w:lvl w:ilvl="0">
      <w:start w:val="1"/>
      <w:numFmt w:val="decimal"/>
      <w:pStyle w:val="COI-Listechiffre"/>
      <w:lvlText w:val="%1."/>
      <w:lvlJc w:val="left"/>
      <w:pPr>
        <w:tabs>
          <w:tab w:val="num" w:pos="350"/>
        </w:tabs>
        <w:ind w:left="107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7A6C61CB"/>
    <w:multiLevelType w:val="hybridMultilevel"/>
    <w:tmpl w:val="F38A924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84390991">
    <w:abstractNumId w:val="8"/>
  </w:num>
  <w:num w:numId="2" w16cid:durableId="2001032902">
    <w:abstractNumId w:val="15"/>
  </w:num>
  <w:num w:numId="3" w16cid:durableId="326638622">
    <w:abstractNumId w:val="2"/>
  </w:num>
  <w:num w:numId="4" w16cid:durableId="567427041">
    <w:abstractNumId w:val="0"/>
  </w:num>
  <w:num w:numId="5" w16cid:durableId="1714963816">
    <w:abstractNumId w:val="14"/>
  </w:num>
  <w:num w:numId="6" w16cid:durableId="727612033">
    <w:abstractNumId w:val="7"/>
  </w:num>
  <w:num w:numId="7" w16cid:durableId="1973826214">
    <w:abstractNumId w:val="10"/>
  </w:num>
  <w:num w:numId="8" w16cid:durableId="179857260">
    <w:abstractNumId w:val="2"/>
    <w:lvlOverride w:ilvl="0">
      <w:startOverride w:val="1"/>
    </w:lvlOverride>
  </w:num>
  <w:num w:numId="9" w16cid:durableId="69274050">
    <w:abstractNumId w:val="1"/>
  </w:num>
  <w:num w:numId="10" w16cid:durableId="1965304698">
    <w:abstractNumId w:val="3"/>
  </w:num>
  <w:num w:numId="11" w16cid:durableId="737173588">
    <w:abstractNumId w:val="11"/>
  </w:num>
  <w:num w:numId="12" w16cid:durableId="1712455698">
    <w:abstractNumId w:val="13"/>
  </w:num>
  <w:num w:numId="13" w16cid:durableId="1940480463">
    <w:abstractNumId w:val="4"/>
  </w:num>
  <w:num w:numId="14" w16cid:durableId="1605577337">
    <w:abstractNumId w:val="16"/>
  </w:num>
  <w:num w:numId="15" w16cid:durableId="532613762">
    <w:abstractNumId w:val="12"/>
  </w:num>
  <w:num w:numId="16" w16cid:durableId="1158496173">
    <w:abstractNumId w:val="17"/>
  </w:num>
  <w:num w:numId="17" w16cid:durableId="130447496">
    <w:abstractNumId w:val="5"/>
  </w:num>
  <w:num w:numId="18" w16cid:durableId="1522352198">
    <w:abstractNumId w:val="18"/>
  </w:num>
  <w:num w:numId="19" w16cid:durableId="558904546">
    <w:abstractNumId w:val="9"/>
  </w:num>
  <w:num w:numId="20" w16cid:durableId="6072723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968408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373B2"/>
    <w:rsid w:val="00042CF5"/>
    <w:rsid w:val="00044923"/>
    <w:rsid w:val="00055C7D"/>
    <w:rsid w:val="00060CA0"/>
    <w:rsid w:val="00063A26"/>
    <w:rsid w:val="0008468B"/>
    <w:rsid w:val="000A227D"/>
    <w:rsid w:val="000A468A"/>
    <w:rsid w:val="000A7C89"/>
    <w:rsid w:val="000B0FBD"/>
    <w:rsid w:val="000F4728"/>
    <w:rsid w:val="00107D9D"/>
    <w:rsid w:val="0014360E"/>
    <w:rsid w:val="0018252D"/>
    <w:rsid w:val="00194B97"/>
    <w:rsid w:val="001A56F1"/>
    <w:rsid w:val="001B4738"/>
    <w:rsid w:val="001E0070"/>
    <w:rsid w:val="00207AF2"/>
    <w:rsid w:val="00232BDE"/>
    <w:rsid w:val="0023445A"/>
    <w:rsid w:val="00296998"/>
    <w:rsid w:val="002A0933"/>
    <w:rsid w:val="002A096E"/>
    <w:rsid w:val="002A1B8D"/>
    <w:rsid w:val="002C56ED"/>
    <w:rsid w:val="00321F89"/>
    <w:rsid w:val="00343D97"/>
    <w:rsid w:val="00346472"/>
    <w:rsid w:val="003604B9"/>
    <w:rsid w:val="003772FB"/>
    <w:rsid w:val="00391152"/>
    <w:rsid w:val="003C2538"/>
    <w:rsid w:val="003D485F"/>
    <w:rsid w:val="003D5328"/>
    <w:rsid w:val="003F439E"/>
    <w:rsid w:val="0041278C"/>
    <w:rsid w:val="00417683"/>
    <w:rsid w:val="00426673"/>
    <w:rsid w:val="004607F7"/>
    <w:rsid w:val="004A7F49"/>
    <w:rsid w:val="004E41C3"/>
    <w:rsid w:val="004F5C4B"/>
    <w:rsid w:val="00516988"/>
    <w:rsid w:val="00521F20"/>
    <w:rsid w:val="0052574A"/>
    <w:rsid w:val="0053773D"/>
    <w:rsid w:val="005910DF"/>
    <w:rsid w:val="005D5C27"/>
    <w:rsid w:val="005D7FC8"/>
    <w:rsid w:val="005F2BF3"/>
    <w:rsid w:val="00620B90"/>
    <w:rsid w:val="00623F03"/>
    <w:rsid w:val="006356AF"/>
    <w:rsid w:val="006548BF"/>
    <w:rsid w:val="00660504"/>
    <w:rsid w:val="006D1FE2"/>
    <w:rsid w:val="006D3AF2"/>
    <w:rsid w:val="006D6768"/>
    <w:rsid w:val="006E2D9E"/>
    <w:rsid w:val="00741101"/>
    <w:rsid w:val="00760F24"/>
    <w:rsid w:val="007634FE"/>
    <w:rsid w:val="007B245C"/>
    <w:rsid w:val="007B2DA8"/>
    <w:rsid w:val="007C78FC"/>
    <w:rsid w:val="00816DAC"/>
    <w:rsid w:val="0083290E"/>
    <w:rsid w:val="00843FF2"/>
    <w:rsid w:val="008453AB"/>
    <w:rsid w:val="00854EEA"/>
    <w:rsid w:val="008551DA"/>
    <w:rsid w:val="008D193F"/>
    <w:rsid w:val="008F173C"/>
    <w:rsid w:val="0095354C"/>
    <w:rsid w:val="00955BB3"/>
    <w:rsid w:val="009A38AD"/>
    <w:rsid w:val="009F2583"/>
    <w:rsid w:val="00A148A1"/>
    <w:rsid w:val="00A36C09"/>
    <w:rsid w:val="00A37C9F"/>
    <w:rsid w:val="00A621FB"/>
    <w:rsid w:val="00A70123"/>
    <w:rsid w:val="00A72147"/>
    <w:rsid w:val="00A76B07"/>
    <w:rsid w:val="00A81B98"/>
    <w:rsid w:val="00A90305"/>
    <w:rsid w:val="00AA63A3"/>
    <w:rsid w:val="00AB3CA3"/>
    <w:rsid w:val="00AB5EB7"/>
    <w:rsid w:val="00AB6F40"/>
    <w:rsid w:val="00AD4D97"/>
    <w:rsid w:val="00AE2453"/>
    <w:rsid w:val="00B020AC"/>
    <w:rsid w:val="00B05DFC"/>
    <w:rsid w:val="00B10EE7"/>
    <w:rsid w:val="00B25276"/>
    <w:rsid w:val="00B36EEA"/>
    <w:rsid w:val="00B507B3"/>
    <w:rsid w:val="00B52626"/>
    <w:rsid w:val="00BA4B55"/>
    <w:rsid w:val="00C02EA6"/>
    <w:rsid w:val="00C12C93"/>
    <w:rsid w:val="00C325F5"/>
    <w:rsid w:val="00C333D3"/>
    <w:rsid w:val="00C36C64"/>
    <w:rsid w:val="00C457E8"/>
    <w:rsid w:val="00C609B9"/>
    <w:rsid w:val="00C96775"/>
    <w:rsid w:val="00CE2386"/>
    <w:rsid w:val="00D24BF0"/>
    <w:rsid w:val="00D97367"/>
    <w:rsid w:val="00E1178A"/>
    <w:rsid w:val="00E32408"/>
    <w:rsid w:val="00E71F04"/>
    <w:rsid w:val="00E845D4"/>
    <w:rsid w:val="00E84E8F"/>
    <w:rsid w:val="00E907E9"/>
    <w:rsid w:val="00EC22CC"/>
    <w:rsid w:val="00EC751B"/>
    <w:rsid w:val="00ED6B69"/>
    <w:rsid w:val="00EE34F4"/>
    <w:rsid w:val="00EF22A4"/>
    <w:rsid w:val="00F0596C"/>
    <w:rsid w:val="00F46F38"/>
    <w:rsid w:val="00F54EA0"/>
    <w:rsid w:val="00F574CA"/>
    <w:rsid w:val="00F8259D"/>
    <w:rsid w:val="00F85B95"/>
    <w:rsid w:val="00F96EE9"/>
    <w:rsid w:val="00FE285D"/>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583"/>
    <w:pPr>
      <w:spacing w:before="120" w:after="120" w:line="250" w:lineRule="auto"/>
      <w:jc w:val="both"/>
    </w:pPr>
    <w:rPr>
      <w:rFonts w:ascii="Verdana" w:hAnsi="Verdana"/>
      <w:sz w:val="20"/>
    </w:rPr>
  </w:style>
  <w:style w:type="paragraph" w:styleId="Titre1">
    <w:name w:val="heading 1"/>
    <w:basedOn w:val="Normal"/>
    <w:link w:val="Titre1Car"/>
    <w:uiPriority w:val="9"/>
    <w:qFormat/>
    <w:rsid w:val="006D6768"/>
    <w:pPr>
      <w:widowControl w:val="0"/>
      <w:autoSpaceDE w:val="0"/>
      <w:autoSpaceDN w:val="0"/>
      <w:spacing w:before="240"/>
      <w:ind w:left="432" w:hanging="432"/>
      <w:outlineLvl w:val="0"/>
    </w:pPr>
    <w:rPr>
      <w:rFonts w:eastAsia="Verdana" w:cs="Verdana"/>
      <w:b/>
      <w:bCs/>
      <w:spacing w:val="-1"/>
      <w:w w:val="99"/>
      <w:szCs w:val="20"/>
    </w:rPr>
  </w:style>
  <w:style w:type="paragraph" w:styleId="Titre2">
    <w:name w:val="heading 2"/>
    <w:basedOn w:val="Normal"/>
    <w:next w:val="Normal"/>
    <w:link w:val="Titre2Car"/>
    <w:uiPriority w:val="9"/>
    <w:unhideWhenUsed/>
    <w:qFormat/>
    <w:rsid w:val="00D24B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6D6768"/>
    <w:pPr>
      <w:keepNext/>
      <w:keepLines/>
      <w:widowControl w:val="0"/>
      <w:autoSpaceDE w:val="0"/>
      <w:autoSpaceDN w:val="0"/>
      <w:spacing w:before="40"/>
      <w:ind w:left="360" w:hanging="360"/>
      <w:outlineLvl w:val="2"/>
    </w:pPr>
    <w:rPr>
      <w:rFonts w:ascii="Calibri" w:eastAsiaTheme="majorEastAsia" w:hAnsi="Calibri" w:cstheme="majorBidi"/>
      <w:szCs w:val="24"/>
    </w:rPr>
  </w:style>
  <w:style w:type="paragraph" w:styleId="Titre4">
    <w:name w:val="heading 4"/>
    <w:basedOn w:val="Normal"/>
    <w:next w:val="Normal"/>
    <w:link w:val="Titre4Car"/>
    <w:uiPriority w:val="9"/>
    <w:semiHidden/>
    <w:unhideWhenUsed/>
    <w:qFormat/>
    <w:rsid w:val="006D6768"/>
    <w:pPr>
      <w:keepNext/>
      <w:keepLines/>
      <w:widowControl w:val="0"/>
      <w:autoSpaceDE w:val="0"/>
      <w:autoSpaceDN w:val="0"/>
      <w:spacing w:before="40" w:after="0"/>
      <w:ind w:left="864" w:hanging="864"/>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6D6768"/>
    <w:pPr>
      <w:keepNext/>
      <w:keepLines/>
      <w:widowControl w:val="0"/>
      <w:autoSpaceDE w:val="0"/>
      <w:autoSpaceDN w:val="0"/>
      <w:spacing w:before="40" w:after="0"/>
      <w:ind w:left="1008" w:hanging="1008"/>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6D6768"/>
    <w:pPr>
      <w:keepNext/>
      <w:keepLines/>
      <w:widowControl w:val="0"/>
      <w:autoSpaceDE w:val="0"/>
      <w:autoSpaceDN w:val="0"/>
      <w:spacing w:before="40" w:after="0"/>
      <w:ind w:left="1152" w:hanging="1152"/>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6D6768"/>
    <w:pPr>
      <w:keepNext/>
      <w:keepLines/>
      <w:widowControl w:val="0"/>
      <w:autoSpaceDE w:val="0"/>
      <w:autoSpaceDN w:val="0"/>
      <w:spacing w:before="40" w:after="0"/>
      <w:ind w:left="1296" w:hanging="1296"/>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6D6768"/>
    <w:pPr>
      <w:keepNext/>
      <w:keepLines/>
      <w:widowControl w:val="0"/>
      <w:autoSpaceDE w:val="0"/>
      <w:autoSpaceDN w:val="0"/>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6D6768"/>
    <w:pPr>
      <w:keepNext/>
      <w:keepLines/>
      <w:widowControl w:val="0"/>
      <w:autoSpaceDE w:val="0"/>
      <w:autoSpaceDN w:val="0"/>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F8259D"/>
    <w:pPr>
      <w:tabs>
        <w:tab w:val="center" w:pos="4536"/>
        <w:tab w:val="right" w:pos="9072"/>
      </w:tabs>
      <w:spacing w:before="0" w:after="0" w:line="240" w:lineRule="auto"/>
    </w:pPr>
    <w:rPr>
      <w:rFonts w:ascii="Calibri" w:hAnsi="Calibri"/>
      <w:sz w:val="18"/>
    </w:rPr>
  </w:style>
  <w:style w:type="character" w:customStyle="1" w:styleId="PieddepageCar">
    <w:name w:val="Pied de page Car"/>
    <w:basedOn w:val="Policepardfaut"/>
    <w:link w:val="Pieddepage"/>
    <w:uiPriority w:val="99"/>
    <w:rsid w:val="00F8259D"/>
    <w:rPr>
      <w:rFonts w:ascii="Calibri" w:hAnsi="Calibri"/>
      <w:sz w:val="18"/>
    </w:rPr>
  </w:style>
  <w:style w:type="paragraph" w:styleId="Paragraphedeliste">
    <w:name w:val="List Paragraph"/>
    <w:basedOn w:val="Normal"/>
    <w:link w:val="ParagraphedelisteCar"/>
    <w:uiPriority w:val="1"/>
    <w:qFormat/>
    <w:rsid w:val="00207AF2"/>
    <w:pPr>
      <w:ind w:left="426" w:hanging="294"/>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rPr>
      <w:rFonts w:cs="Calibri"/>
      <w:szCs w:val="20"/>
    </w:rPr>
  </w:style>
  <w:style w:type="paragraph" w:customStyle="1" w:styleId="Titrepartie">
    <w:name w:val="Titre partie"/>
    <w:basedOn w:val="Paragraphedeliste"/>
    <w:link w:val="TitrepartieCar"/>
    <w:qFormat/>
    <w:rsid w:val="00F0596C"/>
    <w:pPr>
      <w:numPr>
        <w:numId w:val="3"/>
      </w:numPr>
      <w:spacing w:before="360"/>
      <w:ind w:left="714" w:hanging="357"/>
    </w:pPr>
    <w:rPr>
      <w:rFonts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pPr>
    <w:rPr>
      <w:rFonts w:eastAsia="Times New Roman" w:cs="Times New Roman"/>
      <w:b/>
      <w:bCs/>
      <w:i/>
      <w:szCs w:val="20"/>
    </w:rPr>
  </w:style>
  <w:style w:type="character" w:customStyle="1" w:styleId="ParagraphedelisteCar">
    <w:name w:val="Paragraphe de liste Car"/>
    <w:basedOn w:val="Policepardfaut"/>
    <w:link w:val="Paragraphedeliste"/>
    <w:uiPriority w:val="1"/>
    <w:rsid w:val="00207AF2"/>
  </w:style>
  <w:style w:type="character" w:customStyle="1" w:styleId="TitrepartieCar">
    <w:name w:val="Titre partie Car"/>
    <w:basedOn w:val="ParagraphedelisteCar"/>
    <w:link w:val="Titrepartie"/>
    <w:rsid w:val="00F0596C"/>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pPr>
    <w:rPr>
      <w:rFonts w:cs="Calibri"/>
      <w:color w:val="0070C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Rvision">
    <w:name w:val="Revision"/>
    <w:hidden/>
    <w:uiPriority w:val="99"/>
    <w:semiHidden/>
    <w:rsid w:val="00623F03"/>
    <w:pPr>
      <w:spacing w:after="0" w:line="240" w:lineRule="auto"/>
    </w:pPr>
  </w:style>
  <w:style w:type="character" w:customStyle="1" w:styleId="Titre2Car">
    <w:name w:val="Titre 2 Car"/>
    <w:basedOn w:val="Policepardfaut"/>
    <w:link w:val="Titre2"/>
    <w:uiPriority w:val="9"/>
    <w:rsid w:val="00D24BF0"/>
    <w:rPr>
      <w:rFonts w:asciiTheme="majorHAnsi" w:eastAsiaTheme="majorEastAsia" w:hAnsiTheme="majorHAnsi" w:cstheme="majorBidi"/>
      <w:color w:val="2F5496" w:themeColor="accent1" w:themeShade="BF"/>
      <w:sz w:val="26"/>
      <w:szCs w:val="26"/>
    </w:rPr>
  </w:style>
  <w:style w:type="paragraph" w:styleId="Corpsdetexte">
    <w:name w:val="Body Text"/>
    <w:basedOn w:val="Normal"/>
    <w:link w:val="CorpsdetexteCar"/>
    <w:uiPriority w:val="1"/>
    <w:qFormat/>
    <w:rsid w:val="00346472"/>
    <w:pPr>
      <w:widowControl w:val="0"/>
      <w:autoSpaceDE w:val="0"/>
      <w:autoSpaceDN w:val="0"/>
      <w:ind w:left="284" w:right="227"/>
    </w:pPr>
    <w:rPr>
      <w:rFonts w:ascii="Calibri" w:eastAsia="Verdana" w:hAnsi="Calibri" w:cs="Verdana"/>
      <w:szCs w:val="20"/>
    </w:rPr>
  </w:style>
  <w:style w:type="character" w:customStyle="1" w:styleId="CorpsdetexteCar">
    <w:name w:val="Corps de texte Car"/>
    <w:basedOn w:val="Policepardfaut"/>
    <w:link w:val="Corpsdetexte"/>
    <w:uiPriority w:val="1"/>
    <w:rsid w:val="00346472"/>
    <w:rPr>
      <w:rFonts w:ascii="Calibri" w:eastAsia="Verdana" w:hAnsi="Calibri" w:cs="Verdana"/>
      <w:szCs w:val="20"/>
    </w:rPr>
  </w:style>
  <w:style w:type="character" w:customStyle="1" w:styleId="Titre1Car">
    <w:name w:val="Titre 1 Car"/>
    <w:basedOn w:val="Policepardfaut"/>
    <w:link w:val="Titre1"/>
    <w:uiPriority w:val="9"/>
    <w:rsid w:val="006D6768"/>
    <w:rPr>
      <w:rFonts w:ascii="Verdana" w:eastAsia="Verdana" w:hAnsi="Verdana" w:cs="Verdana"/>
      <w:b/>
      <w:bCs/>
      <w:spacing w:val="-1"/>
      <w:w w:val="99"/>
      <w:sz w:val="20"/>
      <w:szCs w:val="20"/>
    </w:rPr>
  </w:style>
  <w:style w:type="character" w:customStyle="1" w:styleId="Titre3Car">
    <w:name w:val="Titre 3 Car"/>
    <w:basedOn w:val="Policepardfaut"/>
    <w:link w:val="Titre3"/>
    <w:uiPriority w:val="9"/>
    <w:rsid w:val="006D6768"/>
    <w:rPr>
      <w:rFonts w:ascii="Calibri" w:eastAsiaTheme="majorEastAsia" w:hAnsi="Calibri" w:cstheme="majorBidi"/>
      <w:szCs w:val="24"/>
    </w:rPr>
  </w:style>
  <w:style w:type="character" w:customStyle="1" w:styleId="Titre4Car">
    <w:name w:val="Titre 4 Car"/>
    <w:basedOn w:val="Policepardfaut"/>
    <w:link w:val="Titre4"/>
    <w:uiPriority w:val="9"/>
    <w:semiHidden/>
    <w:rsid w:val="006D6768"/>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6D6768"/>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6D6768"/>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6D6768"/>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6D6768"/>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6D6768"/>
    <w:rPr>
      <w:rFonts w:asciiTheme="majorHAnsi" w:eastAsiaTheme="majorEastAsia" w:hAnsiTheme="majorHAnsi" w:cstheme="majorBidi"/>
      <w:i/>
      <w:iCs/>
      <w:color w:val="272727" w:themeColor="text1" w:themeTint="D8"/>
      <w:sz w:val="21"/>
      <w:szCs w:val="21"/>
    </w:rPr>
  </w:style>
  <w:style w:type="paragraph" w:styleId="Titre">
    <w:name w:val="Title"/>
    <w:basedOn w:val="Normal"/>
    <w:link w:val="TitreCar"/>
    <w:uiPriority w:val="10"/>
    <w:qFormat/>
    <w:rsid w:val="00F8259D"/>
    <w:pPr>
      <w:widowControl w:val="0"/>
      <w:autoSpaceDE w:val="0"/>
      <w:autoSpaceDN w:val="0"/>
      <w:spacing w:before="240" w:after="240" w:line="259" w:lineRule="auto"/>
      <w:ind w:left="23"/>
      <w:jc w:val="center"/>
    </w:pPr>
    <w:rPr>
      <w:rFonts w:ascii="Calibri" w:eastAsia="Verdana" w:hAnsi="Calibri" w:cs="Verdana"/>
      <w:b/>
      <w:bCs/>
      <w:sz w:val="28"/>
      <w:szCs w:val="24"/>
    </w:rPr>
  </w:style>
  <w:style w:type="character" w:customStyle="1" w:styleId="TitreCar">
    <w:name w:val="Titre Car"/>
    <w:basedOn w:val="Policepardfaut"/>
    <w:link w:val="Titre"/>
    <w:uiPriority w:val="10"/>
    <w:rsid w:val="00F8259D"/>
    <w:rPr>
      <w:rFonts w:ascii="Calibri" w:eastAsia="Verdana" w:hAnsi="Calibri" w:cs="Verdana"/>
      <w:b/>
      <w:bCs/>
      <w:sz w:val="28"/>
      <w:szCs w:val="24"/>
    </w:rPr>
  </w:style>
  <w:style w:type="character" w:styleId="Appelnotedebasdep">
    <w:name w:val="footnote reference"/>
    <w:basedOn w:val="Policepardfaut"/>
    <w:uiPriority w:val="99"/>
    <w:semiHidden/>
    <w:unhideWhenUsed/>
    <w:rsid w:val="00F8259D"/>
    <w:rPr>
      <w:vertAlign w:val="superscript"/>
    </w:rPr>
  </w:style>
  <w:style w:type="paragraph" w:customStyle="1" w:styleId="COI-Listepoint">
    <w:name w:val="COI - Liste à point"/>
    <w:basedOn w:val="Normal"/>
    <w:qFormat/>
    <w:rsid w:val="00F8259D"/>
    <w:pPr>
      <w:numPr>
        <w:numId w:val="15"/>
      </w:numPr>
      <w:suppressAutoHyphens/>
      <w:ind w:left="851" w:hanging="284"/>
      <w:textAlignment w:val="baseline"/>
    </w:pPr>
    <w:rPr>
      <w:rFonts w:ascii="Calibri" w:eastAsia="Times New Roman" w:hAnsi="Calibri" w:cs="Times New Roman"/>
      <w:iCs/>
      <w:color w:val="00000A"/>
      <w:szCs w:val="20"/>
      <w:lang w:eastAsia="ar-SA"/>
    </w:rPr>
  </w:style>
  <w:style w:type="paragraph" w:customStyle="1" w:styleId="COI-Listechiffre">
    <w:name w:val="COI - Liste à chiffre"/>
    <w:basedOn w:val="Normal"/>
    <w:qFormat/>
    <w:rsid w:val="00F8259D"/>
    <w:pPr>
      <w:numPr>
        <w:numId w:val="16"/>
      </w:numPr>
      <w:tabs>
        <w:tab w:val="clear" w:pos="350"/>
        <w:tab w:val="num" w:pos="0"/>
      </w:tabs>
      <w:suppressAutoHyphens/>
      <w:ind w:left="851" w:hanging="284"/>
      <w:contextualSpacing/>
    </w:pPr>
    <w:rPr>
      <w:rFonts w:ascii="Calibri" w:hAnsi="Calibri" w:cs="Times New Roman"/>
      <w:color w:val="000000"/>
      <w:szCs w:val="24"/>
    </w:rPr>
  </w:style>
  <w:style w:type="character" w:customStyle="1" w:styleId="Bodytext3">
    <w:name w:val="Body text (3)_"/>
    <w:basedOn w:val="Policepardfaut"/>
    <w:link w:val="Bodytext30"/>
    <w:rsid w:val="00F8259D"/>
    <w:rPr>
      <w:rFonts w:ascii="Arial" w:eastAsia="Arial" w:hAnsi="Arial" w:cs="Arial"/>
      <w:b/>
      <w:bCs/>
      <w:shd w:val="clear" w:color="auto" w:fill="FFFFFF"/>
    </w:rPr>
  </w:style>
  <w:style w:type="character" w:customStyle="1" w:styleId="Headerorfooter11ptNotItalic">
    <w:name w:val="Header or footer + 11 pt;Not Italic"/>
    <w:basedOn w:val="Policepardfaut"/>
    <w:rsid w:val="00F8259D"/>
    <w:rPr>
      <w:rFonts w:ascii="Arial" w:eastAsia="Arial" w:hAnsi="Arial" w:cs="Arial"/>
      <w:b w:val="0"/>
      <w:bCs w:val="0"/>
      <w:i/>
      <w:iCs/>
      <w:smallCaps w:val="0"/>
      <w:strike w:val="0"/>
      <w:color w:val="000000"/>
      <w:spacing w:val="0"/>
      <w:w w:val="100"/>
      <w:position w:val="0"/>
      <w:sz w:val="22"/>
      <w:szCs w:val="22"/>
      <w:u w:val="none"/>
      <w:lang w:val="fr-FR" w:eastAsia="fr-FR" w:bidi="fr-FR"/>
    </w:rPr>
  </w:style>
  <w:style w:type="character" w:customStyle="1" w:styleId="Heading1">
    <w:name w:val="Heading #1_"/>
    <w:basedOn w:val="Policepardfaut"/>
    <w:link w:val="Heading10"/>
    <w:rsid w:val="00F8259D"/>
    <w:rPr>
      <w:rFonts w:ascii="Arial" w:eastAsia="Arial" w:hAnsi="Arial" w:cs="Arial"/>
      <w:b/>
      <w:bCs/>
      <w:shd w:val="clear" w:color="auto" w:fill="FFFFFF"/>
    </w:rPr>
  </w:style>
  <w:style w:type="character" w:customStyle="1" w:styleId="Bodytext2Italic">
    <w:name w:val="Body text (2) + Italic"/>
    <w:basedOn w:val="Policepardfaut"/>
    <w:rsid w:val="00F8259D"/>
    <w:rPr>
      <w:rFonts w:ascii="Arial" w:eastAsia="Arial" w:hAnsi="Arial" w:cs="Arial"/>
      <w:i/>
      <w:iCs/>
      <w:color w:val="000000"/>
      <w:spacing w:val="0"/>
      <w:w w:val="100"/>
      <w:position w:val="0"/>
      <w:shd w:val="clear" w:color="auto" w:fill="FFFFFF"/>
      <w:lang w:val="fr-FR" w:eastAsia="fr-FR" w:bidi="fr-FR"/>
    </w:rPr>
  </w:style>
  <w:style w:type="character" w:customStyle="1" w:styleId="Headerorfooter">
    <w:name w:val="Header or footer"/>
    <w:basedOn w:val="Policepardfaut"/>
    <w:rsid w:val="00F8259D"/>
    <w:rPr>
      <w:rFonts w:ascii="Arial" w:eastAsia="Arial" w:hAnsi="Arial" w:cs="Arial"/>
      <w:b w:val="0"/>
      <w:bCs w:val="0"/>
      <w:i/>
      <w:iCs/>
      <w:smallCaps w:val="0"/>
      <w:strike w:val="0"/>
      <w:color w:val="000000"/>
      <w:spacing w:val="0"/>
      <w:w w:val="100"/>
      <w:position w:val="0"/>
      <w:sz w:val="20"/>
      <w:szCs w:val="20"/>
      <w:u w:val="none"/>
      <w:lang w:val="fr-FR" w:eastAsia="fr-FR" w:bidi="fr-FR"/>
    </w:rPr>
  </w:style>
  <w:style w:type="character" w:customStyle="1" w:styleId="Headerorfooter95ptBold">
    <w:name w:val="Header or footer + 9.5 pt;Bold"/>
    <w:basedOn w:val="Policepardfaut"/>
    <w:rsid w:val="00F8259D"/>
    <w:rPr>
      <w:rFonts w:ascii="Arial" w:eastAsia="Arial" w:hAnsi="Arial" w:cs="Arial"/>
      <w:b/>
      <w:bCs/>
      <w:i/>
      <w:iCs/>
      <w:smallCaps w:val="0"/>
      <w:strike w:val="0"/>
      <w:color w:val="000000"/>
      <w:spacing w:val="0"/>
      <w:w w:val="100"/>
      <w:position w:val="0"/>
      <w:sz w:val="19"/>
      <w:szCs w:val="19"/>
      <w:u w:val="none"/>
      <w:lang w:val="fr-FR" w:eastAsia="fr-FR" w:bidi="fr-FR"/>
    </w:rPr>
  </w:style>
  <w:style w:type="character" w:customStyle="1" w:styleId="Bodytext2Bold">
    <w:name w:val="Body text (2) + Bold"/>
    <w:basedOn w:val="Policepardfaut"/>
    <w:rsid w:val="00F8259D"/>
    <w:rPr>
      <w:rFonts w:ascii="Arial" w:eastAsia="Arial" w:hAnsi="Arial" w:cs="Arial"/>
      <w:b/>
      <w:bCs/>
      <w:color w:val="000000"/>
      <w:spacing w:val="0"/>
      <w:w w:val="100"/>
      <w:position w:val="0"/>
      <w:shd w:val="clear" w:color="auto" w:fill="FFFFFF"/>
      <w:lang w:val="fr-FR" w:eastAsia="fr-FR" w:bidi="fr-FR"/>
    </w:rPr>
  </w:style>
  <w:style w:type="character" w:customStyle="1" w:styleId="Heading1Exact">
    <w:name w:val="Heading #1 Exact"/>
    <w:basedOn w:val="Policepardfaut"/>
    <w:rsid w:val="00F8259D"/>
    <w:rPr>
      <w:rFonts w:ascii="Arial" w:eastAsia="Arial" w:hAnsi="Arial" w:cs="Arial"/>
      <w:b/>
      <w:bCs/>
      <w:i w:val="0"/>
      <w:iCs w:val="0"/>
      <w:smallCaps w:val="0"/>
      <w:strike w:val="0"/>
      <w:sz w:val="22"/>
      <w:szCs w:val="22"/>
      <w:u w:val="none"/>
    </w:rPr>
  </w:style>
  <w:style w:type="character" w:customStyle="1" w:styleId="Bodytext5Exact">
    <w:name w:val="Body text (5) Exact"/>
    <w:basedOn w:val="Policepardfaut"/>
    <w:link w:val="Bodytext5"/>
    <w:rsid w:val="00F8259D"/>
    <w:rPr>
      <w:rFonts w:ascii="Arial" w:eastAsia="Arial" w:hAnsi="Arial" w:cs="Arial"/>
      <w:sz w:val="20"/>
      <w:szCs w:val="20"/>
      <w:shd w:val="clear" w:color="auto" w:fill="FFFFFF"/>
    </w:rPr>
  </w:style>
  <w:style w:type="character" w:customStyle="1" w:styleId="Bodytext3Exact">
    <w:name w:val="Body text (3) Exact"/>
    <w:basedOn w:val="Policepardfaut"/>
    <w:rsid w:val="00F8259D"/>
    <w:rPr>
      <w:rFonts w:ascii="Arial" w:eastAsia="Arial" w:hAnsi="Arial" w:cs="Arial"/>
      <w:b/>
      <w:bCs/>
      <w:i w:val="0"/>
      <w:iCs w:val="0"/>
      <w:smallCaps w:val="0"/>
      <w:strike w:val="0"/>
      <w:sz w:val="22"/>
      <w:szCs w:val="22"/>
      <w:u w:val="none"/>
    </w:rPr>
  </w:style>
  <w:style w:type="character" w:customStyle="1" w:styleId="Bodytext511ptBoldExact">
    <w:name w:val="Body text (5) + 11 pt;Bold Exact"/>
    <w:basedOn w:val="Bodytext5Exact"/>
    <w:rsid w:val="00F8259D"/>
    <w:rPr>
      <w:rFonts w:ascii="Arial" w:eastAsia="Arial" w:hAnsi="Arial" w:cs="Arial"/>
      <w:b/>
      <w:bCs/>
      <w:color w:val="000000"/>
      <w:spacing w:val="0"/>
      <w:w w:val="100"/>
      <w:position w:val="0"/>
      <w:sz w:val="22"/>
      <w:szCs w:val="22"/>
      <w:shd w:val="clear" w:color="auto" w:fill="FFFFFF"/>
      <w:lang w:val="fr-FR" w:eastAsia="fr-FR" w:bidi="fr-FR"/>
    </w:rPr>
  </w:style>
  <w:style w:type="paragraph" w:customStyle="1" w:styleId="Bodytext30">
    <w:name w:val="Body text (3)"/>
    <w:basedOn w:val="Normal"/>
    <w:link w:val="Bodytext3"/>
    <w:rsid w:val="00F8259D"/>
    <w:pPr>
      <w:widowControl w:val="0"/>
      <w:shd w:val="clear" w:color="auto" w:fill="FFFFFF"/>
      <w:spacing w:before="0" w:after="480" w:line="379" w:lineRule="exact"/>
    </w:pPr>
    <w:rPr>
      <w:rFonts w:ascii="Arial" w:eastAsia="Arial" w:hAnsi="Arial" w:cs="Arial"/>
      <w:b/>
      <w:bCs/>
    </w:rPr>
  </w:style>
  <w:style w:type="paragraph" w:customStyle="1" w:styleId="Heading10">
    <w:name w:val="Heading #1"/>
    <w:basedOn w:val="Normal"/>
    <w:link w:val="Heading1"/>
    <w:rsid w:val="00F8259D"/>
    <w:pPr>
      <w:widowControl w:val="0"/>
      <w:shd w:val="clear" w:color="auto" w:fill="FFFFFF"/>
      <w:spacing w:before="480" w:after="180" w:line="0" w:lineRule="atLeast"/>
      <w:outlineLvl w:val="0"/>
    </w:pPr>
    <w:rPr>
      <w:rFonts w:ascii="Arial" w:eastAsia="Arial" w:hAnsi="Arial" w:cs="Arial"/>
      <w:b/>
      <w:bCs/>
    </w:rPr>
  </w:style>
  <w:style w:type="paragraph" w:customStyle="1" w:styleId="Bodytext5">
    <w:name w:val="Body text (5)"/>
    <w:basedOn w:val="Normal"/>
    <w:link w:val="Bodytext5Exact"/>
    <w:rsid w:val="00F8259D"/>
    <w:pPr>
      <w:widowControl w:val="0"/>
      <w:shd w:val="clear" w:color="auto" w:fill="FFFFFF"/>
      <w:spacing w:before="60" w:after="60" w:line="0" w:lineRule="atLeast"/>
      <w:jc w:val="left"/>
    </w:pPr>
    <w:rPr>
      <w:rFonts w:ascii="Arial" w:eastAsia="Arial"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166292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1860</Words>
  <Characters>10235</Characters>
  <Application>Microsoft Office Word</Application>
  <DocSecurity>0</DocSecurity>
  <Lines>85</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COI</dc:creator>
  <cp:keywords/>
  <dc:description/>
  <cp:lastModifiedBy>Gilles RIBOUET</cp:lastModifiedBy>
  <cp:revision>5</cp:revision>
  <dcterms:created xsi:type="dcterms:W3CDTF">2023-04-12T07:00:00Z</dcterms:created>
  <dcterms:modified xsi:type="dcterms:W3CDTF">2023-04-12T08:04:00Z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926958849ec6115dc290db7447c05a0204fb17179f2aaf5baea12b8818f28837</vt:lpwstr>
  </property>
</Properties>
</file>