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BD368E" w14:paraId="7B275CA8" w14:textId="77777777" w:rsidTr="00D157AC">
        <w:tc>
          <w:tcPr>
            <w:tcW w:w="9062" w:type="dxa"/>
            <w:gridSpan w:val="2"/>
          </w:tcPr>
          <w:p w14:paraId="5D3CA8DF" w14:textId="51B37BC4" w:rsidR="00BD368E" w:rsidRPr="005060BF" w:rsidRDefault="001C7A98" w:rsidP="004A113C">
            <w:pPr>
              <w:pStyle w:val="Titre1"/>
              <w:jc w:val="center"/>
              <w:rPr>
                <w:rFonts w:ascii="Verdana" w:hAnsi="Verdana"/>
                <w:b/>
                <w:bCs/>
              </w:rPr>
            </w:pPr>
            <w:bookmarkStart w:id="0" w:name="_Toc117083820"/>
            <w:r>
              <w:rPr>
                <w:rFonts w:ascii="Verdana" w:hAnsi="Verdana"/>
                <w:b/>
                <w:bCs/>
                <w:color w:val="auto"/>
                <w:sz w:val="22"/>
                <w:szCs w:val="22"/>
                <w:lang w:val="fr-FR"/>
              </w:rPr>
              <w:t>Coopération économique</w:t>
            </w:r>
          </w:p>
        </w:tc>
      </w:tr>
      <w:tr w:rsidR="00BD368E" w14:paraId="39930683" w14:textId="77777777" w:rsidTr="00D157AC">
        <w:tc>
          <w:tcPr>
            <w:tcW w:w="7225" w:type="dxa"/>
          </w:tcPr>
          <w:p w14:paraId="301A9D95" w14:textId="377B123A" w:rsidR="00BD368E" w:rsidRPr="00283ECA" w:rsidRDefault="00BD368E" w:rsidP="00D157AC">
            <w:pPr>
              <w:rPr>
                <w:rFonts w:ascii="Verdana" w:hAnsi="Verdana"/>
                <w:sz w:val="20"/>
                <w:szCs w:val="20"/>
                <w:lang w:val="fr-FR"/>
              </w:rPr>
            </w:pPr>
            <w:r w:rsidRPr="00283ECA">
              <w:rPr>
                <w:rFonts w:ascii="Verdana" w:hAnsi="Verdana"/>
                <w:sz w:val="20"/>
                <w:szCs w:val="20"/>
                <w:lang w:val="fr-FR"/>
              </w:rPr>
              <w:t xml:space="preserve">Comité des OPL </w:t>
            </w:r>
            <w:r w:rsidR="00283ECA">
              <w:rPr>
                <w:rFonts w:ascii="Verdana" w:hAnsi="Verdana"/>
                <w:sz w:val="20"/>
                <w:szCs w:val="20"/>
                <w:lang w:val="fr-FR"/>
              </w:rPr>
              <w:t>01/2023</w:t>
            </w:r>
            <w:r w:rsidRPr="00283ECA">
              <w:rPr>
                <w:rFonts w:ascii="Verdana" w:hAnsi="Verdana"/>
                <w:sz w:val="20"/>
                <w:szCs w:val="20"/>
                <w:lang w:val="fr-FR"/>
              </w:rPr>
              <w:t xml:space="preserve"> | </w:t>
            </w:r>
            <w:r w:rsidR="00EB34B7" w:rsidRPr="00283ECA">
              <w:rPr>
                <w:rFonts w:ascii="Verdana" w:hAnsi="Verdana"/>
                <w:sz w:val="20"/>
                <w:szCs w:val="20"/>
                <w:lang w:val="fr-FR"/>
              </w:rPr>
              <w:t>26-27</w:t>
            </w:r>
            <w:r w:rsidRPr="00283ECA">
              <w:rPr>
                <w:rFonts w:ascii="Verdana" w:hAnsi="Verdana"/>
                <w:sz w:val="20"/>
                <w:szCs w:val="20"/>
                <w:lang w:val="fr-FR"/>
              </w:rPr>
              <w:t xml:space="preserve"> </w:t>
            </w:r>
            <w:r w:rsidR="00283ECA">
              <w:rPr>
                <w:rFonts w:ascii="Verdana" w:hAnsi="Verdana"/>
                <w:sz w:val="20"/>
                <w:szCs w:val="20"/>
                <w:lang w:val="fr-FR"/>
              </w:rPr>
              <w:t>a</w:t>
            </w:r>
            <w:r w:rsidR="00D43E30" w:rsidRPr="00283ECA">
              <w:rPr>
                <w:rFonts w:ascii="Verdana" w:hAnsi="Verdana"/>
                <w:sz w:val="20"/>
                <w:szCs w:val="20"/>
                <w:lang w:val="fr-FR"/>
              </w:rPr>
              <w:t>vril 2023</w:t>
            </w:r>
          </w:p>
        </w:tc>
        <w:tc>
          <w:tcPr>
            <w:tcW w:w="1837" w:type="dxa"/>
          </w:tcPr>
          <w:p w14:paraId="081C1D0C" w14:textId="053BAF5C" w:rsidR="00BD368E" w:rsidRPr="002A0933" w:rsidRDefault="00BD368E" w:rsidP="00D157AC">
            <w:pPr>
              <w:jc w:val="center"/>
              <w:rPr>
                <w:rFonts w:ascii="Verdana" w:hAnsi="Verdana"/>
                <w:sz w:val="20"/>
                <w:szCs w:val="20"/>
              </w:rPr>
            </w:pPr>
            <w:r w:rsidRPr="002A0933">
              <w:rPr>
                <w:rFonts w:ascii="Verdana" w:hAnsi="Verdana"/>
                <w:sz w:val="20"/>
                <w:szCs w:val="20"/>
              </w:rPr>
              <w:t xml:space="preserve">Point </w:t>
            </w:r>
            <w:r w:rsidR="00283ECA">
              <w:rPr>
                <w:rFonts w:ascii="Verdana" w:hAnsi="Verdana"/>
                <w:sz w:val="20"/>
                <w:szCs w:val="20"/>
              </w:rPr>
              <w:t>2.3.</w:t>
            </w:r>
          </w:p>
        </w:tc>
      </w:tr>
      <w:tr w:rsidR="00BD368E" w14:paraId="3F17E17F" w14:textId="77777777" w:rsidTr="00D157AC">
        <w:tc>
          <w:tcPr>
            <w:tcW w:w="7225" w:type="dxa"/>
          </w:tcPr>
          <w:p w14:paraId="586DAF6C" w14:textId="55E4E7CE" w:rsidR="00BD368E" w:rsidRPr="00283ECA" w:rsidRDefault="00BD368E" w:rsidP="00D157AC">
            <w:pPr>
              <w:rPr>
                <w:rFonts w:ascii="Verdana" w:hAnsi="Verdana"/>
                <w:sz w:val="20"/>
                <w:szCs w:val="20"/>
                <w:lang w:val="fr-FR"/>
              </w:rPr>
            </w:pPr>
            <w:r w:rsidRPr="00283ECA">
              <w:rPr>
                <w:rFonts w:ascii="Verdana" w:hAnsi="Verdana"/>
                <w:i/>
                <w:iCs/>
                <w:sz w:val="20"/>
                <w:szCs w:val="20"/>
                <w:lang w:val="fr-FR"/>
              </w:rPr>
              <w:t xml:space="preserve">Dossier suivi </w:t>
            </w:r>
            <w:r w:rsidR="004A41EE" w:rsidRPr="00283ECA">
              <w:rPr>
                <w:rFonts w:ascii="Verdana" w:hAnsi="Verdana"/>
                <w:i/>
                <w:iCs/>
                <w:sz w:val="20"/>
                <w:szCs w:val="20"/>
                <w:lang w:val="fr-FR"/>
              </w:rPr>
              <w:t>par :</w:t>
            </w:r>
            <w:r w:rsidRPr="00283ECA">
              <w:rPr>
                <w:rFonts w:ascii="Verdana" w:hAnsi="Verdana"/>
                <w:sz w:val="20"/>
                <w:szCs w:val="20"/>
                <w:lang w:val="fr-FR"/>
              </w:rPr>
              <w:t xml:space="preserve"> </w:t>
            </w:r>
            <w:r w:rsidR="00D43E30" w:rsidRPr="00283ECA">
              <w:rPr>
                <w:rFonts w:ascii="Verdana" w:hAnsi="Verdana"/>
                <w:sz w:val="20"/>
                <w:szCs w:val="20"/>
                <w:lang w:val="fr-FR"/>
              </w:rPr>
              <w:t>Raj MOHABEER</w:t>
            </w:r>
            <w:r w:rsidRPr="00283ECA">
              <w:rPr>
                <w:rFonts w:ascii="Verdana" w:hAnsi="Verdana"/>
                <w:sz w:val="20"/>
                <w:szCs w:val="20"/>
                <w:lang w:val="fr-FR"/>
              </w:rPr>
              <w:t>, chargé de mission</w:t>
            </w:r>
          </w:p>
        </w:tc>
        <w:tc>
          <w:tcPr>
            <w:tcW w:w="1837" w:type="dxa"/>
          </w:tcPr>
          <w:p w14:paraId="02EFA84A" w14:textId="77777777" w:rsidR="00BD368E" w:rsidRPr="002A0933" w:rsidRDefault="00BD368E" w:rsidP="00D157AC">
            <w:pPr>
              <w:jc w:val="center"/>
              <w:rPr>
                <w:rFonts w:ascii="Verdana" w:hAnsi="Verdana"/>
                <w:sz w:val="20"/>
                <w:szCs w:val="20"/>
              </w:rPr>
            </w:pPr>
            <w:r w:rsidRPr="00283ECA">
              <w:rPr>
                <w:rFonts w:ascii="Verdana" w:hAnsi="Verdana"/>
                <w:sz w:val="20"/>
                <w:szCs w:val="20"/>
                <w:lang w:val="fr-FR"/>
              </w:rPr>
              <w:t xml:space="preserve"> </w:t>
            </w:r>
            <w:r w:rsidRPr="002E29F0">
              <w:rPr>
                <w:rFonts w:ascii="Verdana" w:hAnsi="Verdana"/>
                <w:sz w:val="20"/>
                <w:szCs w:val="20"/>
              </w:rPr>
              <w:t>Décision</w:t>
            </w:r>
          </w:p>
        </w:tc>
      </w:tr>
      <w:tr w:rsidR="00283ECA" w14:paraId="4661DB2E" w14:textId="77777777" w:rsidTr="004A113C">
        <w:trPr>
          <w:trHeight w:val="294"/>
        </w:trPr>
        <w:tc>
          <w:tcPr>
            <w:tcW w:w="9062" w:type="dxa"/>
            <w:gridSpan w:val="2"/>
          </w:tcPr>
          <w:p w14:paraId="4AFC269B" w14:textId="429F18B7" w:rsidR="00283ECA" w:rsidRPr="00283ECA" w:rsidRDefault="00283ECA" w:rsidP="00283ECA">
            <w:pPr>
              <w:rPr>
                <w:rFonts w:ascii="Verdana" w:hAnsi="Verdana"/>
                <w:sz w:val="20"/>
                <w:szCs w:val="20"/>
                <w:lang w:val="fr-FR"/>
              </w:rPr>
            </w:pPr>
            <w:r>
              <w:rPr>
                <w:rFonts w:ascii="Verdana" w:hAnsi="Verdana"/>
                <w:sz w:val="20"/>
                <w:szCs w:val="20"/>
                <w:lang w:val="fr-FR"/>
              </w:rPr>
              <w:t>Version du 05/04/23</w:t>
            </w:r>
          </w:p>
        </w:tc>
      </w:tr>
    </w:tbl>
    <w:bookmarkEnd w:id="0"/>
    <w:p w14:paraId="66F721AF" w14:textId="284007ED" w:rsidR="00F54D73" w:rsidRPr="001722B9" w:rsidRDefault="00EB34B7" w:rsidP="001722B9">
      <w:pPr>
        <w:pStyle w:val="Titrepartie"/>
        <w:rPr>
          <w:sz w:val="22"/>
          <w:szCs w:val="22"/>
        </w:rPr>
      </w:pPr>
      <w:r>
        <w:rPr>
          <w:sz w:val="22"/>
          <w:szCs w:val="22"/>
        </w:rPr>
        <w:t>Résumé</w:t>
      </w:r>
    </w:p>
    <w:p w14:paraId="0B30D131" w14:textId="6604D0C8" w:rsidR="001C7A98" w:rsidRDefault="008F2E47" w:rsidP="00C623BB">
      <w:pPr>
        <w:jc w:val="both"/>
        <w:rPr>
          <w:rFonts w:ascii="Verdana" w:hAnsi="Verdana" w:cstheme="minorHAnsi"/>
          <w:bCs/>
          <w:sz w:val="20"/>
          <w:szCs w:val="20"/>
          <w:lang w:val="fr-FR"/>
        </w:rPr>
      </w:pPr>
      <w:r w:rsidRPr="001722B9">
        <w:rPr>
          <w:rFonts w:ascii="Verdana" w:hAnsi="Verdana" w:cstheme="minorHAnsi"/>
          <w:bCs/>
          <w:sz w:val="20"/>
          <w:szCs w:val="20"/>
          <w:lang w:val="fr-FR"/>
        </w:rPr>
        <w:t>Dans une perspective de création d’un espace</w:t>
      </w:r>
      <w:r w:rsidR="00B96AF5">
        <w:rPr>
          <w:rFonts w:ascii="Verdana" w:hAnsi="Verdana" w:cstheme="minorHAnsi"/>
          <w:bCs/>
          <w:sz w:val="20"/>
          <w:szCs w:val="20"/>
          <w:lang w:val="fr-FR"/>
        </w:rPr>
        <w:t xml:space="preserve"> d’échanges</w:t>
      </w:r>
      <w:r w:rsidRPr="001722B9">
        <w:rPr>
          <w:rFonts w:ascii="Verdana" w:hAnsi="Verdana" w:cstheme="minorHAnsi"/>
          <w:bCs/>
          <w:sz w:val="20"/>
          <w:szCs w:val="20"/>
          <w:lang w:val="fr-FR"/>
        </w:rPr>
        <w:t xml:space="preserve"> économique</w:t>
      </w:r>
      <w:r w:rsidR="00B96AF5">
        <w:rPr>
          <w:rFonts w:ascii="Verdana" w:hAnsi="Verdana" w:cstheme="minorHAnsi"/>
          <w:bCs/>
          <w:sz w:val="20"/>
          <w:szCs w:val="20"/>
          <w:lang w:val="fr-FR"/>
        </w:rPr>
        <w:t>s</w:t>
      </w:r>
      <w:r w:rsidRPr="001722B9">
        <w:rPr>
          <w:rFonts w:ascii="Verdana" w:hAnsi="Verdana" w:cstheme="minorHAnsi"/>
          <w:bCs/>
          <w:sz w:val="20"/>
          <w:szCs w:val="20"/>
          <w:lang w:val="fr-FR"/>
        </w:rPr>
        <w:t xml:space="preserve"> et commercia</w:t>
      </w:r>
      <w:r w:rsidR="00B96AF5">
        <w:rPr>
          <w:rFonts w:ascii="Verdana" w:hAnsi="Verdana" w:cstheme="minorHAnsi"/>
          <w:bCs/>
          <w:sz w:val="20"/>
          <w:szCs w:val="20"/>
          <w:lang w:val="fr-FR"/>
        </w:rPr>
        <w:t>ux renforcés</w:t>
      </w:r>
      <w:r w:rsidRPr="001722B9">
        <w:rPr>
          <w:rFonts w:ascii="Verdana" w:hAnsi="Verdana" w:cstheme="minorHAnsi"/>
          <w:bCs/>
          <w:sz w:val="20"/>
          <w:szCs w:val="20"/>
          <w:lang w:val="fr-FR"/>
        </w:rPr>
        <w:t xml:space="preserve">, </w:t>
      </w:r>
      <w:r w:rsidR="00CF1331" w:rsidRPr="001722B9">
        <w:rPr>
          <w:rFonts w:ascii="Verdana" w:hAnsi="Verdana" w:cstheme="minorHAnsi"/>
          <w:bCs/>
          <w:sz w:val="20"/>
          <w:szCs w:val="20"/>
          <w:lang w:val="fr-FR"/>
        </w:rPr>
        <w:t>l</w:t>
      </w:r>
      <w:r w:rsidR="0075135D">
        <w:rPr>
          <w:rFonts w:ascii="Verdana" w:hAnsi="Verdana" w:cstheme="minorHAnsi"/>
          <w:bCs/>
          <w:sz w:val="20"/>
          <w:szCs w:val="20"/>
          <w:lang w:val="fr-FR"/>
        </w:rPr>
        <w:t>es</w:t>
      </w:r>
      <w:r w:rsidR="00C623BB" w:rsidRPr="001722B9">
        <w:rPr>
          <w:rFonts w:ascii="Verdana" w:hAnsi="Verdana" w:cstheme="minorHAnsi"/>
          <w:bCs/>
          <w:sz w:val="20"/>
          <w:szCs w:val="20"/>
          <w:lang w:val="fr-FR"/>
        </w:rPr>
        <w:t xml:space="preserve"> douane</w:t>
      </w:r>
      <w:r w:rsidR="0075135D">
        <w:rPr>
          <w:rFonts w:ascii="Verdana" w:hAnsi="Verdana" w:cstheme="minorHAnsi"/>
          <w:bCs/>
          <w:sz w:val="20"/>
          <w:szCs w:val="20"/>
          <w:lang w:val="fr-FR"/>
        </w:rPr>
        <w:t>s</w:t>
      </w:r>
      <w:r w:rsidR="00C623BB" w:rsidRPr="001722B9">
        <w:rPr>
          <w:rFonts w:ascii="Verdana" w:hAnsi="Verdana" w:cstheme="minorHAnsi"/>
          <w:bCs/>
          <w:sz w:val="20"/>
          <w:szCs w:val="20"/>
          <w:lang w:val="fr-FR"/>
        </w:rPr>
        <w:t xml:space="preserve"> </w:t>
      </w:r>
      <w:r w:rsidR="0075135D">
        <w:rPr>
          <w:rFonts w:ascii="Verdana" w:hAnsi="Verdana" w:cstheme="minorHAnsi"/>
          <w:bCs/>
          <w:sz w:val="20"/>
          <w:szCs w:val="20"/>
          <w:lang w:val="fr-FR"/>
        </w:rPr>
        <w:t xml:space="preserve">sont des acteurs </w:t>
      </w:r>
      <w:r w:rsidR="00544BDA">
        <w:rPr>
          <w:rFonts w:ascii="Verdana" w:hAnsi="Verdana" w:cstheme="minorHAnsi"/>
          <w:bCs/>
          <w:sz w:val="20"/>
          <w:szCs w:val="20"/>
          <w:lang w:val="fr-FR"/>
        </w:rPr>
        <w:t xml:space="preserve">premiers </w:t>
      </w:r>
      <w:r w:rsidR="00C623BB" w:rsidRPr="001722B9">
        <w:rPr>
          <w:rFonts w:ascii="Verdana" w:hAnsi="Verdana" w:cstheme="minorHAnsi"/>
          <w:bCs/>
          <w:sz w:val="20"/>
          <w:szCs w:val="20"/>
          <w:lang w:val="fr-FR"/>
        </w:rPr>
        <w:t>de la sécurité de</w:t>
      </w:r>
      <w:r w:rsidR="00291002">
        <w:rPr>
          <w:rFonts w:ascii="Verdana" w:hAnsi="Verdana" w:cstheme="minorHAnsi"/>
          <w:bCs/>
          <w:sz w:val="20"/>
          <w:szCs w:val="20"/>
          <w:lang w:val="fr-FR"/>
        </w:rPr>
        <w:t>s</w:t>
      </w:r>
      <w:r w:rsidR="00C623BB" w:rsidRPr="001722B9">
        <w:rPr>
          <w:rFonts w:ascii="Verdana" w:hAnsi="Verdana" w:cstheme="minorHAnsi"/>
          <w:bCs/>
          <w:sz w:val="20"/>
          <w:szCs w:val="20"/>
          <w:lang w:val="fr-FR"/>
        </w:rPr>
        <w:t xml:space="preserve"> chaîne</w:t>
      </w:r>
      <w:r w:rsidR="00291002">
        <w:rPr>
          <w:rFonts w:ascii="Verdana" w:hAnsi="Verdana" w:cstheme="minorHAnsi"/>
          <w:bCs/>
          <w:sz w:val="20"/>
          <w:szCs w:val="20"/>
          <w:lang w:val="fr-FR"/>
        </w:rPr>
        <w:t>s</w:t>
      </w:r>
      <w:r w:rsidR="00C623BB" w:rsidRPr="001722B9">
        <w:rPr>
          <w:rFonts w:ascii="Verdana" w:hAnsi="Verdana" w:cstheme="minorHAnsi"/>
          <w:bCs/>
          <w:sz w:val="20"/>
          <w:szCs w:val="20"/>
          <w:lang w:val="fr-FR"/>
        </w:rPr>
        <w:t xml:space="preserve"> d’approvisionnement</w:t>
      </w:r>
      <w:r w:rsidR="00544BDA">
        <w:rPr>
          <w:rFonts w:ascii="Verdana" w:hAnsi="Verdana" w:cstheme="minorHAnsi"/>
          <w:bCs/>
          <w:sz w:val="20"/>
          <w:szCs w:val="20"/>
          <w:lang w:val="fr-FR"/>
        </w:rPr>
        <w:t>, de la</w:t>
      </w:r>
      <w:r w:rsidR="00C623BB" w:rsidRPr="001722B9">
        <w:rPr>
          <w:rFonts w:ascii="Verdana" w:hAnsi="Verdana" w:cstheme="minorHAnsi"/>
          <w:bCs/>
          <w:sz w:val="20"/>
          <w:szCs w:val="20"/>
          <w:lang w:val="fr-FR"/>
        </w:rPr>
        <w:t xml:space="preserve"> de facilitation des échanges commerciaux</w:t>
      </w:r>
      <w:r w:rsidR="00544BDA">
        <w:rPr>
          <w:rFonts w:ascii="Verdana" w:hAnsi="Verdana" w:cstheme="minorHAnsi"/>
          <w:bCs/>
          <w:sz w:val="20"/>
          <w:szCs w:val="20"/>
          <w:lang w:val="fr-FR"/>
        </w:rPr>
        <w:t xml:space="preserve"> et, partant, du renforcement de l’intégration régionale</w:t>
      </w:r>
      <w:r w:rsidR="00C623BB" w:rsidRPr="001722B9">
        <w:rPr>
          <w:rFonts w:ascii="Verdana" w:hAnsi="Verdana" w:cstheme="minorHAnsi"/>
          <w:bCs/>
          <w:sz w:val="20"/>
          <w:szCs w:val="20"/>
          <w:lang w:val="fr-FR"/>
        </w:rPr>
        <w:t>.</w:t>
      </w:r>
      <w:r w:rsidR="00544BDA">
        <w:rPr>
          <w:rFonts w:ascii="Verdana" w:hAnsi="Verdana" w:cstheme="minorHAnsi"/>
          <w:bCs/>
          <w:sz w:val="20"/>
          <w:szCs w:val="20"/>
          <w:lang w:val="fr-FR"/>
        </w:rPr>
        <w:t xml:space="preserve"> C’est dans ce sens que les administrations douanières des Etats membres de la COI ont indiqué leur intérêt à constituer un comité sous l’égide de la COI. </w:t>
      </w:r>
      <w:r w:rsidR="00C623BB" w:rsidRPr="001722B9">
        <w:rPr>
          <w:rFonts w:ascii="Verdana" w:hAnsi="Verdana" w:cstheme="minorHAnsi"/>
          <w:bCs/>
          <w:sz w:val="20"/>
          <w:szCs w:val="20"/>
          <w:lang w:val="fr-FR"/>
        </w:rPr>
        <w:t xml:space="preserve"> </w:t>
      </w:r>
    </w:p>
    <w:p w14:paraId="18E21009" w14:textId="52FC0E18" w:rsidR="00D23DA2" w:rsidRDefault="009024FA" w:rsidP="00D23DA2">
      <w:pPr>
        <w:jc w:val="both"/>
        <w:rPr>
          <w:rFonts w:ascii="Verdana" w:hAnsi="Verdana" w:cstheme="minorHAnsi"/>
          <w:bCs/>
          <w:sz w:val="20"/>
          <w:szCs w:val="20"/>
          <w:lang w:val="fr-FR"/>
        </w:rPr>
      </w:pPr>
      <w:r>
        <w:rPr>
          <w:rFonts w:ascii="Verdana" w:hAnsi="Verdana" w:cstheme="minorHAnsi"/>
          <w:bCs/>
          <w:sz w:val="20"/>
          <w:szCs w:val="20"/>
          <w:lang w:val="fr-FR"/>
        </w:rPr>
        <w:t xml:space="preserve">La création d’un espace économique et commercial passe aussi par une connectivité renforcée, notamment sur le plan aérien. Les instances de la COI ont d’ailleurs réitéré leur mandat au Secrétariat général pour la relance des comités </w:t>
      </w:r>
      <w:r w:rsidR="00B8166A">
        <w:rPr>
          <w:rFonts w:ascii="Verdana" w:hAnsi="Verdana" w:cstheme="minorHAnsi"/>
          <w:bCs/>
          <w:sz w:val="20"/>
          <w:szCs w:val="20"/>
          <w:lang w:val="fr-FR"/>
        </w:rPr>
        <w:t>des aviations civiles et des transporteurs aériens. A cet égard, p</w:t>
      </w:r>
      <w:r w:rsidR="00D23DA2">
        <w:rPr>
          <w:rFonts w:ascii="Verdana" w:hAnsi="Verdana" w:cstheme="minorHAnsi"/>
          <w:bCs/>
          <w:sz w:val="20"/>
          <w:szCs w:val="20"/>
          <w:lang w:val="fr-FR"/>
        </w:rPr>
        <w:t>lusieurs opportunités de coopération (U</w:t>
      </w:r>
      <w:r w:rsidR="000361D3">
        <w:rPr>
          <w:rFonts w:ascii="Verdana" w:hAnsi="Verdana" w:cstheme="minorHAnsi"/>
          <w:bCs/>
          <w:sz w:val="20"/>
          <w:szCs w:val="20"/>
          <w:lang w:val="fr-FR"/>
        </w:rPr>
        <w:t>A</w:t>
      </w:r>
      <w:r w:rsidR="00D23DA2">
        <w:rPr>
          <w:rFonts w:ascii="Verdana" w:hAnsi="Verdana" w:cstheme="minorHAnsi"/>
          <w:bCs/>
          <w:sz w:val="20"/>
          <w:szCs w:val="20"/>
          <w:lang w:val="fr-FR"/>
        </w:rPr>
        <w:t>, COMESA</w:t>
      </w:r>
      <w:r w:rsidR="00D23DA2">
        <w:rPr>
          <w:rStyle w:val="Appelnotedebasdep"/>
          <w:rFonts w:ascii="Verdana" w:hAnsi="Verdana" w:cstheme="minorHAnsi"/>
          <w:bCs/>
          <w:sz w:val="20"/>
          <w:szCs w:val="20"/>
          <w:lang w:val="fr-FR"/>
        </w:rPr>
        <w:footnoteReference w:id="1"/>
      </w:r>
      <w:r w:rsidR="00D23DA2">
        <w:rPr>
          <w:rFonts w:ascii="Verdana" w:hAnsi="Verdana" w:cstheme="minorHAnsi"/>
          <w:bCs/>
          <w:sz w:val="20"/>
          <w:szCs w:val="20"/>
          <w:lang w:val="fr-FR"/>
        </w:rPr>
        <w:t xml:space="preserve">) et des dispositifs de financement (Union </w:t>
      </w:r>
      <w:r w:rsidR="000361D3">
        <w:rPr>
          <w:rFonts w:ascii="Verdana" w:hAnsi="Verdana" w:cstheme="minorHAnsi"/>
          <w:bCs/>
          <w:sz w:val="20"/>
          <w:szCs w:val="20"/>
          <w:lang w:val="fr-FR"/>
        </w:rPr>
        <w:t>e</w:t>
      </w:r>
      <w:r w:rsidR="00D23DA2">
        <w:rPr>
          <w:rFonts w:ascii="Verdana" w:hAnsi="Verdana" w:cstheme="minorHAnsi"/>
          <w:bCs/>
          <w:sz w:val="20"/>
          <w:szCs w:val="20"/>
          <w:lang w:val="fr-FR"/>
        </w:rPr>
        <w:t>uropéenne)</w:t>
      </w:r>
      <w:r w:rsidR="007E1EAC">
        <w:rPr>
          <w:rFonts w:ascii="Verdana" w:hAnsi="Verdana" w:cstheme="minorHAnsi"/>
          <w:bCs/>
          <w:sz w:val="20"/>
          <w:szCs w:val="20"/>
          <w:lang w:val="fr-FR"/>
        </w:rPr>
        <w:t>,</w:t>
      </w:r>
      <w:r w:rsidR="00D23DA2">
        <w:rPr>
          <w:rFonts w:ascii="Verdana" w:hAnsi="Verdana" w:cstheme="minorHAnsi"/>
          <w:bCs/>
          <w:sz w:val="20"/>
          <w:szCs w:val="20"/>
          <w:lang w:val="fr-FR"/>
        </w:rPr>
        <w:t xml:space="preserve"> accompagnés d’expertises techniques conséquentes</w:t>
      </w:r>
      <w:r w:rsidR="00047CA0">
        <w:rPr>
          <w:rFonts w:ascii="Verdana" w:hAnsi="Verdana" w:cstheme="minorHAnsi"/>
          <w:bCs/>
          <w:sz w:val="20"/>
          <w:szCs w:val="20"/>
          <w:lang w:val="fr-FR"/>
        </w:rPr>
        <w:t>,</w:t>
      </w:r>
      <w:r w:rsidR="00D23DA2">
        <w:rPr>
          <w:rFonts w:ascii="Verdana" w:hAnsi="Verdana" w:cstheme="minorHAnsi"/>
          <w:bCs/>
          <w:sz w:val="20"/>
          <w:szCs w:val="20"/>
          <w:lang w:val="fr-FR"/>
        </w:rPr>
        <w:t xml:space="preserve"> se présentent pour le déploiement d’une stratégie régionale de transport aérien. </w:t>
      </w:r>
    </w:p>
    <w:p w14:paraId="63F8E699" w14:textId="5B33D9D7" w:rsidR="008C271B" w:rsidRDefault="00D849C0" w:rsidP="00D23DA2">
      <w:pPr>
        <w:jc w:val="both"/>
        <w:rPr>
          <w:rFonts w:ascii="Verdana" w:hAnsi="Verdana" w:cstheme="minorHAnsi"/>
          <w:bCs/>
          <w:sz w:val="20"/>
          <w:szCs w:val="20"/>
          <w:lang w:val="fr-FR"/>
        </w:rPr>
      </w:pPr>
      <w:r>
        <w:rPr>
          <w:rFonts w:ascii="Verdana" w:hAnsi="Verdana" w:cstheme="minorHAnsi"/>
          <w:bCs/>
          <w:sz w:val="20"/>
          <w:szCs w:val="20"/>
          <w:lang w:val="fr-FR"/>
        </w:rPr>
        <w:t>En soutien à la coopération économique, la COI mobilise des partenariats avec des communautés économiques comme le COMESA, des organisations internationales (Organisation internationale du travail), des structures sectorielles (Cap Business océan Indien, Association des ports des îles de l’océan Indien…). Il est proposé d’étendre les cadres de coopération existants ou d’en signer de nouveaux afin d</w:t>
      </w:r>
      <w:r w:rsidR="004F7131">
        <w:rPr>
          <w:rFonts w:ascii="Verdana" w:hAnsi="Verdana" w:cstheme="minorHAnsi"/>
          <w:bCs/>
          <w:sz w:val="20"/>
          <w:szCs w:val="20"/>
          <w:lang w:val="fr-FR"/>
        </w:rPr>
        <w:t xml:space="preserve">’engager les partenariats dans des activités de coopération économique et de faciliter le dialogue public-privé à l’échelle régionale. </w:t>
      </w:r>
    </w:p>
    <w:p w14:paraId="5E5FDD68" w14:textId="77777777" w:rsidR="00D04344" w:rsidRDefault="00C501BD" w:rsidP="00D23DA2">
      <w:pPr>
        <w:jc w:val="both"/>
        <w:rPr>
          <w:rFonts w:ascii="Verdana" w:hAnsi="Verdana" w:cstheme="minorHAnsi"/>
          <w:bCs/>
          <w:sz w:val="20"/>
          <w:szCs w:val="20"/>
          <w:lang w:val="fr-FR"/>
        </w:rPr>
      </w:pPr>
      <w:r>
        <w:rPr>
          <w:rFonts w:ascii="Verdana" w:hAnsi="Verdana" w:cstheme="minorHAnsi"/>
          <w:bCs/>
          <w:sz w:val="20"/>
          <w:szCs w:val="20"/>
          <w:lang w:val="fr-FR"/>
        </w:rPr>
        <w:t xml:space="preserve">Enfin, à la suite de l’adoption du Plan d’action régional sur l’économie bleue, le Secrétariat général a </w:t>
      </w:r>
      <w:r w:rsidR="00B13DEF">
        <w:rPr>
          <w:rFonts w:ascii="Verdana" w:hAnsi="Verdana" w:cstheme="minorHAnsi"/>
          <w:bCs/>
          <w:sz w:val="20"/>
          <w:szCs w:val="20"/>
          <w:lang w:val="fr-FR"/>
        </w:rPr>
        <w:t>commandité des études sur le potentiel de développement de l’économie circulaire dans le cadre de la composante AIODIS du projet SWIOFISH 2 financé par la Banque mondiale</w:t>
      </w:r>
      <w:r w:rsidR="00D04344">
        <w:rPr>
          <w:rFonts w:ascii="Verdana" w:hAnsi="Verdana" w:cstheme="minorHAnsi"/>
          <w:bCs/>
          <w:sz w:val="20"/>
          <w:szCs w:val="20"/>
          <w:lang w:val="fr-FR"/>
        </w:rPr>
        <w:t xml:space="preserve"> qui arrivera à échéance en septembre 2023. Aussi, il est proposé d’organiser une réunion ministérielle sur l’économie bleue et circulaire dans les pays insulaires d’Afrique et de l’océan Indien au mois d’août pour capitaliser sur les résultats du projet et engager les Etats sur des actions concrètes. </w:t>
      </w:r>
    </w:p>
    <w:p w14:paraId="215F1EE4" w14:textId="32360B65" w:rsidR="004F7131" w:rsidRDefault="00B13DEF" w:rsidP="00D23DA2">
      <w:pPr>
        <w:jc w:val="both"/>
        <w:rPr>
          <w:rFonts w:ascii="Verdana" w:hAnsi="Verdana" w:cstheme="minorHAnsi"/>
          <w:bCs/>
          <w:sz w:val="20"/>
          <w:szCs w:val="20"/>
          <w:lang w:val="fr-FR"/>
        </w:rPr>
      </w:pPr>
      <w:r>
        <w:rPr>
          <w:rFonts w:ascii="Verdana" w:hAnsi="Verdana" w:cstheme="minorHAnsi"/>
          <w:bCs/>
          <w:sz w:val="20"/>
          <w:szCs w:val="20"/>
          <w:lang w:val="fr-FR"/>
        </w:rPr>
        <w:t xml:space="preserve"> </w:t>
      </w:r>
    </w:p>
    <w:p w14:paraId="32696B8C" w14:textId="7DC7E01E" w:rsidR="00EB34B7" w:rsidRDefault="00EB34B7" w:rsidP="00EB34B7">
      <w:pPr>
        <w:pStyle w:val="Titrepartie"/>
        <w:rPr>
          <w:sz w:val="22"/>
          <w:szCs w:val="22"/>
        </w:rPr>
      </w:pPr>
      <w:r w:rsidRPr="00EB34B7">
        <w:rPr>
          <w:sz w:val="22"/>
          <w:szCs w:val="22"/>
        </w:rPr>
        <w:t>Etat d’avancement</w:t>
      </w:r>
    </w:p>
    <w:p w14:paraId="670FB44D" w14:textId="6C77EFB6" w:rsidR="00257764" w:rsidRDefault="00257764" w:rsidP="004A113C">
      <w:pPr>
        <w:pStyle w:val="Sous-partie2"/>
      </w:pPr>
      <w:r>
        <w:t>Connectivité régionale</w:t>
      </w:r>
    </w:p>
    <w:p w14:paraId="2BAC0304" w14:textId="14A12435" w:rsidR="00D23DA2" w:rsidRDefault="00EB34B7" w:rsidP="00EB34B7">
      <w:pPr>
        <w:jc w:val="both"/>
        <w:rPr>
          <w:rFonts w:ascii="Verdana" w:hAnsi="Verdana" w:cstheme="minorHAnsi"/>
          <w:bCs/>
          <w:sz w:val="20"/>
          <w:szCs w:val="20"/>
          <w:lang w:val="fr-FR"/>
        </w:rPr>
      </w:pPr>
      <w:r w:rsidRPr="00EB34B7">
        <w:rPr>
          <w:rFonts w:ascii="Verdana" w:hAnsi="Verdana" w:cstheme="minorHAnsi"/>
          <w:bCs/>
          <w:sz w:val="20"/>
          <w:szCs w:val="20"/>
          <w:lang w:val="fr-FR"/>
        </w:rPr>
        <w:t xml:space="preserve">Pour une Indianocéanie de développement économique intégré, durable et innovant, la </w:t>
      </w:r>
      <w:r w:rsidR="004D6E5C">
        <w:rPr>
          <w:rFonts w:ascii="Verdana" w:hAnsi="Verdana" w:cstheme="minorHAnsi"/>
          <w:bCs/>
          <w:sz w:val="20"/>
          <w:szCs w:val="20"/>
          <w:lang w:val="fr-FR"/>
        </w:rPr>
        <w:t>COI</w:t>
      </w:r>
      <w:r w:rsidRPr="00EB34B7">
        <w:rPr>
          <w:rFonts w:ascii="Verdana" w:hAnsi="Verdana" w:cstheme="minorHAnsi"/>
          <w:bCs/>
          <w:sz w:val="20"/>
          <w:szCs w:val="20"/>
          <w:lang w:val="fr-FR"/>
        </w:rPr>
        <w:t xml:space="preserve"> est mandatée par ses Etats membres à renforcer la connectivité régionale et à faciliter les échanges et la mobilité intrarégionale.  </w:t>
      </w:r>
    </w:p>
    <w:p w14:paraId="3775BD51" w14:textId="0004F007" w:rsidR="00D23DA2" w:rsidRPr="00045D93" w:rsidRDefault="00D23DA2" w:rsidP="00045D93">
      <w:pPr>
        <w:pStyle w:val="Titrepartie"/>
        <w:numPr>
          <w:ilvl w:val="0"/>
          <w:numId w:val="0"/>
        </w:numPr>
        <w:rPr>
          <w:rFonts w:eastAsiaTheme="minorHAnsi" w:cstheme="minorHAnsi"/>
          <w:b w:val="0"/>
          <w:color w:val="auto"/>
          <w:sz w:val="20"/>
          <w:lang w:eastAsia="en-US"/>
        </w:rPr>
      </w:pPr>
      <w:r>
        <w:rPr>
          <w:rFonts w:eastAsiaTheme="minorHAnsi" w:cstheme="minorHAnsi"/>
          <w:b w:val="0"/>
          <w:color w:val="auto"/>
          <w:sz w:val="20"/>
          <w:lang w:eastAsia="en-US"/>
        </w:rPr>
        <w:t>Concernant la connectivité aérienne</w:t>
      </w:r>
      <w:r w:rsidRPr="00EF09D7">
        <w:rPr>
          <w:rFonts w:eastAsiaTheme="minorHAnsi" w:cstheme="minorHAnsi"/>
          <w:b w:val="0"/>
          <w:color w:val="auto"/>
          <w:sz w:val="20"/>
          <w:lang w:eastAsia="en-US"/>
        </w:rPr>
        <w:t xml:space="preserve">, la </w:t>
      </w:r>
      <w:r w:rsidR="00D03F90">
        <w:rPr>
          <w:rFonts w:eastAsiaTheme="minorHAnsi" w:cstheme="minorHAnsi"/>
          <w:b w:val="0"/>
          <w:color w:val="auto"/>
          <w:sz w:val="20"/>
          <w:lang w:eastAsia="en-US"/>
        </w:rPr>
        <w:t>COI</w:t>
      </w:r>
      <w:r w:rsidRPr="00EF09D7">
        <w:rPr>
          <w:rFonts w:eastAsiaTheme="minorHAnsi" w:cstheme="minorHAnsi"/>
          <w:b w:val="0"/>
          <w:color w:val="auto"/>
          <w:sz w:val="20"/>
          <w:lang w:eastAsia="en-US"/>
        </w:rPr>
        <w:t xml:space="preserve"> a initié depuis, 2013, </w:t>
      </w:r>
      <w:r>
        <w:rPr>
          <w:rFonts w:eastAsiaTheme="minorHAnsi" w:cstheme="minorHAnsi"/>
          <w:b w:val="0"/>
          <w:color w:val="auto"/>
          <w:sz w:val="20"/>
          <w:lang w:eastAsia="en-US"/>
        </w:rPr>
        <w:t>un</w:t>
      </w:r>
      <w:r w:rsidRPr="00EF09D7">
        <w:rPr>
          <w:rFonts w:eastAsiaTheme="minorHAnsi" w:cstheme="minorHAnsi"/>
          <w:b w:val="0"/>
          <w:color w:val="auto"/>
          <w:sz w:val="20"/>
          <w:lang w:eastAsia="en-US"/>
        </w:rPr>
        <w:t xml:space="preserve"> processus de plaidoyer pour une stratégie régionale </w:t>
      </w:r>
      <w:r>
        <w:rPr>
          <w:rFonts w:eastAsiaTheme="minorHAnsi" w:cstheme="minorHAnsi"/>
          <w:b w:val="0"/>
          <w:color w:val="auto"/>
          <w:sz w:val="20"/>
          <w:lang w:eastAsia="en-US"/>
        </w:rPr>
        <w:t>du transport aérien au sein de l’océan Indien</w:t>
      </w:r>
      <w:r w:rsidRPr="00EF09D7">
        <w:rPr>
          <w:rFonts w:eastAsiaTheme="minorHAnsi" w:cstheme="minorHAnsi"/>
          <w:b w:val="0"/>
          <w:color w:val="auto"/>
          <w:sz w:val="20"/>
          <w:lang w:eastAsia="en-US"/>
        </w:rPr>
        <w:t xml:space="preserve">. </w:t>
      </w:r>
      <w:r w:rsidR="002E0726">
        <w:rPr>
          <w:rFonts w:eastAsiaTheme="minorHAnsi" w:cstheme="minorHAnsi"/>
          <w:b w:val="0"/>
          <w:color w:val="auto"/>
          <w:sz w:val="20"/>
          <w:lang w:eastAsia="en-US"/>
        </w:rPr>
        <w:t xml:space="preserve">Dans le cadre de la coopération avec la COMESA, la </w:t>
      </w:r>
      <w:r>
        <w:rPr>
          <w:rFonts w:eastAsiaTheme="minorHAnsi" w:cstheme="minorHAnsi"/>
          <w:b w:val="0"/>
          <w:color w:val="auto"/>
          <w:sz w:val="20"/>
          <w:lang w:eastAsia="en-US"/>
        </w:rPr>
        <w:t>COI</w:t>
      </w:r>
      <w:r w:rsidRPr="00D23DA2">
        <w:rPr>
          <w:rFonts w:eastAsiaTheme="minorHAnsi" w:cstheme="minorHAnsi"/>
          <w:b w:val="0"/>
          <w:color w:val="auto"/>
          <w:sz w:val="20"/>
          <w:lang w:eastAsia="en-US"/>
        </w:rPr>
        <w:t xml:space="preserve"> est l’une des organisations régionales </w:t>
      </w:r>
      <w:r w:rsidRPr="00D23DA2">
        <w:rPr>
          <w:rFonts w:eastAsiaTheme="minorHAnsi" w:cstheme="minorHAnsi"/>
          <w:b w:val="0"/>
          <w:color w:val="auto"/>
          <w:sz w:val="20"/>
          <w:lang w:eastAsia="en-US"/>
        </w:rPr>
        <w:lastRenderedPageBreak/>
        <w:t>partenaires</w:t>
      </w:r>
      <w:r w:rsidR="002E0726">
        <w:rPr>
          <w:rStyle w:val="Appelnotedebasdep"/>
          <w:rFonts w:eastAsiaTheme="minorHAnsi" w:cstheme="minorHAnsi"/>
          <w:b w:val="0"/>
          <w:color w:val="auto"/>
          <w:sz w:val="20"/>
          <w:lang w:eastAsia="en-US"/>
        </w:rPr>
        <w:footnoteReference w:id="2"/>
      </w:r>
      <w:r w:rsidRPr="00D23DA2">
        <w:rPr>
          <w:rFonts w:eastAsiaTheme="minorHAnsi" w:cstheme="minorHAnsi"/>
          <w:b w:val="0"/>
          <w:color w:val="auto"/>
          <w:sz w:val="20"/>
          <w:lang w:eastAsia="en-US"/>
        </w:rPr>
        <w:t xml:space="preserve"> dans la mise en œuvre du projet « Support to Air Transport Sector Development (SATSD) in Eastern Africa, Southern Africa and Indian Ocean Region », financé par l’Union </w:t>
      </w:r>
      <w:r w:rsidR="00382BA3">
        <w:rPr>
          <w:rFonts w:eastAsiaTheme="minorHAnsi" w:cstheme="minorHAnsi"/>
          <w:b w:val="0"/>
          <w:color w:val="auto"/>
          <w:sz w:val="20"/>
          <w:lang w:eastAsia="en-US"/>
        </w:rPr>
        <w:t>e</w:t>
      </w:r>
      <w:r w:rsidRPr="00D23DA2">
        <w:rPr>
          <w:rFonts w:eastAsiaTheme="minorHAnsi" w:cstheme="minorHAnsi"/>
          <w:b w:val="0"/>
          <w:color w:val="auto"/>
          <w:sz w:val="20"/>
          <w:lang w:eastAsia="en-US"/>
        </w:rPr>
        <w:t xml:space="preserve">uropéenne </w:t>
      </w:r>
      <w:r w:rsidR="00382BA3">
        <w:rPr>
          <w:rFonts w:eastAsiaTheme="minorHAnsi" w:cstheme="minorHAnsi"/>
          <w:b w:val="0"/>
          <w:color w:val="auto"/>
          <w:sz w:val="20"/>
          <w:lang w:eastAsia="en-US"/>
        </w:rPr>
        <w:t>conformément au programme indicatif régional du</w:t>
      </w:r>
      <w:r w:rsidRPr="00D23DA2">
        <w:rPr>
          <w:rFonts w:eastAsiaTheme="minorHAnsi" w:cstheme="minorHAnsi"/>
          <w:b w:val="0"/>
          <w:color w:val="auto"/>
          <w:sz w:val="20"/>
          <w:lang w:eastAsia="en-US"/>
        </w:rPr>
        <w:t xml:space="preserve"> 11ème FED. Le projet a commencé en janvier 2021 pour une durée de 4 ans. </w:t>
      </w:r>
      <w:r w:rsidRPr="00045D93">
        <w:rPr>
          <w:rFonts w:eastAsiaTheme="minorHAnsi" w:cstheme="minorHAnsi"/>
          <w:b w:val="0"/>
          <w:color w:val="auto"/>
          <w:sz w:val="20"/>
          <w:lang w:eastAsia="en-US"/>
        </w:rPr>
        <w:t>L’opportunité se présente d’inclure les besoins spécifiques de chaque région, dont l’océan Indien au sein des activités prioritaires du projet.</w:t>
      </w:r>
    </w:p>
    <w:p w14:paraId="3AECAC8F" w14:textId="66CF803B" w:rsidR="00D23DA2" w:rsidRPr="001722B9" w:rsidRDefault="00D23DA2" w:rsidP="00D23DA2">
      <w:pPr>
        <w:jc w:val="both"/>
        <w:rPr>
          <w:rFonts w:ascii="Verdana" w:hAnsi="Verdana" w:cstheme="minorHAnsi"/>
          <w:bCs/>
          <w:sz w:val="20"/>
          <w:szCs w:val="20"/>
          <w:lang w:val="fr-FR"/>
        </w:rPr>
      </w:pPr>
      <w:r>
        <w:rPr>
          <w:rFonts w:ascii="Verdana" w:hAnsi="Verdana" w:cstheme="minorHAnsi"/>
          <w:bCs/>
          <w:sz w:val="20"/>
          <w:szCs w:val="20"/>
          <w:lang w:val="fr-FR"/>
        </w:rPr>
        <w:t>L’effectivité du projet nécessite pour la région de l’océan Indien de disposer d’une stratégie régionale</w:t>
      </w:r>
      <w:r w:rsidR="005123F2">
        <w:rPr>
          <w:rFonts w:ascii="Verdana" w:hAnsi="Verdana" w:cstheme="minorHAnsi"/>
          <w:bCs/>
          <w:sz w:val="20"/>
          <w:szCs w:val="20"/>
          <w:lang w:val="fr-FR"/>
        </w:rPr>
        <w:t xml:space="preserve"> </w:t>
      </w:r>
      <w:r>
        <w:rPr>
          <w:rFonts w:ascii="Verdana" w:hAnsi="Verdana" w:cstheme="minorHAnsi"/>
          <w:bCs/>
          <w:sz w:val="20"/>
          <w:szCs w:val="20"/>
          <w:lang w:val="fr-FR"/>
        </w:rPr>
        <w:t xml:space="preserve">du transport aérien </w:t>
      </w:r>
      <w:r w:rsidR="005123F2">
        <w:rPr>
          <w:rFonts w:ascii="Verdana" w:hAnsi="Verdana" w:cstheme="minorHAnsi"/>
          <w:bCs/>
          <w:sz w:val="20"/>
          <w:szCs w:val="20"/>
          <w:lang w:val="fr-FR"/>
        </w:rPr>
        <w:t xml:space="preserve">actualisées, </w:t>
      </w:r>
      <w:r>
        <w:rPr>
          <w:rFonts w:ascii="Verdana" w:hAnsi="Verdana" w:cstheme="minorHAnsi"/>
          <w:bCs/>
          <w:sz w:val="20"/>
          <w:szCs w:val="20"/>
          <w:lang w:val="fr-FR"/>
        </w:rPr>
        <w:t>clair</w:t>
      </w:r>
      <w:r w:rsidR="005123F2">
        <w:rPr>
          <w:rFonts w:ascii="Verdana" w:hAnsi="Verdana" w:cstheme="minorHAnsi"/>
          <w:bCs/>
          <w:sz w:val="20"/>
          <w:szCs w:val="20"/>
          <w:lang w:val="fr-FR"/>
        </w:rPr>
        <w:t>e et</w:t>
      </w:r>
      <w:r>
        <w:rPr>
          <w:rFonts w:ascii="Verdana" w:hAnsi="Verdana" w:cstheme="minorHAnsi"/>
          <w:bCs/>
          <w:sz w:val="20"/>
          <w:szCs w:val="20"/>
          <w:lang w:val="fr-FR"/>
        </w:rPr>
        <w:t xml:space="preserve"> aligné</w:t>
      </w:r>
      <w:r w:rsidR="005123F2">
        <w:rPr>
          <w:rFonts w:ascii="Verdana" w:hAnsi="Verdana" w:cstheme="minorHAnsi"/>
          <w:bCs/>
          <w:sz w:val="20"/>
          <w:szCs w:val="20"/>
          <w:lang w:val="fr-FR"/>
        </w:rPr>
        <w:t>e</w:t>
      </w:r>
      <w:r>
        <w:rPr>
          <w:rFonts w:ascii="Verdana" w:hAnsi="Verdana" w:cstheme="minorHAnsi"/>
          <w:bCs/>
          <w:sz w:val="20"/>
          <w:szCs w:val="20"/>
          <w:lang w:val="fr-FR"/>
        </w:rPr>
        <w:t xml:space="preserve"> avec les objectifs de l’Agenda 2063 de l’Union </w:t>
      </w:r>
      <w:r w:rsidR="00257764">
        <w:rPr>
          <w:rFonts w:ascii="Verdana" w:hAnsi="Verdana" w:cstheme="minorHAnsi"/>
          <w:bCs/>
          <w:sz w:val="20"/>
          <w:szCs w:val="20"/>
          <w:lang w:val="fr-FR"/>
        </w:rPr>
        <w:t>a</w:t>
      </w:r>
      <w:r>
        <w:rPr>
          <w:rFonts w:ascii="Verdana" w:hAnsi="Verdana" w:cstheme="minorHAnsi"/>
          <w:bCs/>
          <w:sz w:val="20"/>
          <w:szCs w:val="20"/>
          <w:lang w:val="fr-FR"/>
        </w:rPr>
        <w:t xml:space="preserve">fricaine. </w:t>
      </w:r>
    </w:p>
    <w:p w14:paraId="0447A59C" w14:textId="02AC9ED2" w:rsidR="004F46A1" w:rsidRPr="00EB34B7" w:rsidRDefault="00047CA0" w:rsidP="00EB34B7">
      <w:pPr>
        <w:jc w:val="both"/>
        <w:rPr>
          <w:rFonts w:ascii="Verdana" w:hAnsi="Verdana" w:cstheme="minorHAnsi"/>
          <w:bCs/>
          <w:sz w:val="20"/>
          <w:szCs w:val="20"/>
          <w:lang w:val="fr-FR"/>
        </w:rPr>
      </w:pPr>
      <w:r>
        <w:rPr>
          <w:rFonts w:ascii="Verdana" w:hAnsi="Verdana" w:cstheme="minorHAnsi"/>
          <w:bCs/>
          <w:sz w:val="20"/>
          <w:szCs w:val="20"/>
          <w:lang w:val="fr-FR"/>
        </w:rPr>
        <w:t xml:space="preserve">Outre la connectivité aérienne, </w:t>
      </w:r>
      <w:r w:rsidR="002E0726">
        <w:rPr>
          <w:rFonts w:ascii="Verdana" w:hAnsi="Verdana" w:cstheme="minorHAnsi"/>
          <w:bCs/>
          <w:sz w:val="20"/>
          <w:szCs w:val="20"/>
          <w:lang w:val="fr-FR"/>
        </w:rPr>
        <w:t>une meilleure</w:t>
      </w:r>
      <w:r>
        <w:rPr>
          <w:rFonts w:ascii="Verdana" w:hAnsi="Verdana" w:cstheme="minorHAnsi"/>
          <w:bCs/>
          <w:sz w:val="20"/>
          <w:szCs w:val="20"/>
          <w:lang w:val="fr-FR"/>
        </w:rPr>
        <w:t xml:space="preserve"> connectivité maritime</w:t>
      </w:r>
      <w:r w:rsidR="002E0726">
        <w:rPr>
          <w:rFonts w:ascii="Verdana" w:hAnsi="Verdana" w:cstheme="minorHAnsi"/>
          <w:bCs/>
          <w:sz w:val="20"/>
          <w:szCs w:val="20"/>
          <w:lang w:val="fr-FR"/>
        </w:rPr>
        <w:t xml:space="preserve"> constitue une priorité pour l’Indianocéanie</w:t>
      </w:r>
      <w:r>
        <w:rPr>
          <w:rFonts w:ascii="Verdana" w:hAnsi="Verdana" w:cstheme="minorHAnsi"/>
          <w:bCs/>
          <w:sz w:val="20"/>
          <w:szCs w:val="20"/>
          <w:lang w:val="fr-FR"/>
        </w:rPr>
        <w:t xml:space="preserve">. </w:t>
      </w:r>
      <w:r w:rsidR="00E14134">
        <w:rPr>
          <w:rFonts w:ascii="Verdana" w:hAnsi="Verdana" w:cstheme="minorHAnsi"/>
          <w:bCs/>
          <w:sz w:val="20"/>
          <w:szCs w:val="20"/>
          <w:lang w:val="fr-FR"/>
        </w:rPr>
        <w:t>L’appui de la COI</w:t>
      </w:r>
      <w:r w:rsidR="00EB34B7" w:rsidRPr="00EB34B7">
        <w:rPr>
          <w:rFonts w:ascii="Verdana" w:hAnsi="Verdana" w:cstheme="minorHAnsi"/>
          <w:bCs/>
          <w:sz w:val="20"/>
          <w:szCs w:val="20"/>
          <w:lang w:val="fr-FR"/>
        </w:rPr>
        <w:t xml:space="preserve"> à la mise en place d’un comité technique régional (CTR) sur le transport maritime régional qui inclut les Etats côtiers d’Afrique orientale traduit cette priorité. Ce CTR s’est doté d’une feuille de route qui prévoit la mise en place d’un guichet unique maritime régional (GUMR). Cinq modules</w:t>
      </w:r>
      <w:r w:rsidR="00EB34B7" w:rsidRPr="00D23DA2">
        <w:rPr>
          <w:vertAlign w:val="superscript"/>
        </w:rPr>
        <w:footnoteReference w:id="3"/>
      </w:r>
      <w:r w:rsidR="00EB34B7" w:rsidRPr="00D23DA2">
        <w:rPr>
          <w:rFonts w:ascii="Verdana" w:hAnsi="Verdana" w:cstheme="minorHAnsi"/>
          <w:bCs/>
          <w:sz w:val="20"/>
          <w:szCs w:val="20"/>
          <w:vertAlign w:val="superscript"/>
          <w:lang w:val="fr-FR"/>
        </w:rPr>
        <w:t xml:space="preserve"> </w:t>
      </w:r>
      <w:r w:rsidR="00EB34B7" w:rsidRPr="00EB34B7">
        <w:rPr>
          <w:rFonts w:ascii="Verdana" w:hAnsi="Verdana" w:cstheme="minorHAnsi"/>
          <w:bCs/>
          <w:sz w:val="20"/>
          <w:szCs w:val="20"/>
          <w:lang w:val="fr-FR"/>
        </w:rPr>
        <w:t xml:space="preserve">seront englobés dans ce GUMR dont les douanes. </w:t>
      </w:r>
    </w:p>
    <w:p w14:paraId="59F979AC" w14:textId="009AD0C1" w:rsidR="004F46A1" w:rsidRDefault="004F46A1" w:rsidP="004A113C">
      <w:pPr>
        <w:pStyle w:val="Sous-partie2"/>
      </w:pPr>
      <w:r>
        <w:t>Coopération douanière</w:t>
      </w:r>
    </w:p>
    <w:p w14:paraId="1F273177" w14:textId="019649A1" w:rsidR="00572421" w:rsidRDefault="00572421" w:rsidP="000F3931">
      <w:pPr>
        <w:jc w:val="both"/>
        <w:rPr>
          <w:rFonts w:ascii="Verdana" w:hAnsi="Verdana" w:cstheme="minorHAnsi"/>
          <w:bCs/>
          <w:sz w:val="20"/>
          <w:szCs w:val="20"/>
          <w:lang w:val="fr-FR"/>
        </w:rPr>
      </w:pPr>
      <w:r w:rsidRPr="001722B9">
        <w:rPr>
          <w:rFonts w:ascii="Verdana" w:hAnsi="Verdana" w:cstheme="minorHAnsi"/>
          <w:bCs/>
          <w:sz w:val="20"/>
          <w:szCs w:val="20"/>
          <w:lang w:val="fr-FR"/>
        </w:rPr>
        <w:t xml:space="preserve">La </w:t>
      </w:r>
      <w:r w:rsidR="004F46A1">
        <w:rPr>
          <w:rFonts w:ascii="Verdana" w:hAnsi="Verdana" w:cstheme="minorHAnsi"/>
          <w:bCs/>
          <w:sz w:val="20"/>
          <w:szCs w:val="20"/>
          <w:lang w:val="fr-FR"/>
        </w:rPr>
        <w:t>r</w:t>
      </w:r>
      <w:r w:rsidRPr="001722B9">
        <w:rPr>
          <w:rFonts w:ascii="Verdana" w:hAnsi="Verdana" w:cstheme="minorHAnsi"/>
          <w:bCs/>
          <w:sz w:val="20"/>
          <w:szCs w:val="20"/>
          <w:lang w:val="fr-FR"/>
        </w:rPr>
        <w:t xml:space="preserve">éunion de coopération internationale du 24 novembre 2022 dernier, à La Réunion, </w:t>
      </w:r>
      <w:r w:rsidR="00B05F15" w:rsidRPr="001722B9">
        <w:rPr>
          <w:rFonts w:ascii="Verdana" w:hAnsi="Verdana" w:cstheme="minorHAnsi"/>
          <w:bCs/>
          <w:sz w:val="20"/>
          <w:szCs w:val="20"/>
          <w:lang w:val="fr-FR"/>
        </w:rPr>
        <w:t xml:space="preserve">entre les Directions générales des douanes des cinq Etats membres de la COI, </w:t>
      </w:r>
      <w:r w:rsidR="004F46A1">
        <w:rPr>
          <w:rFonts w:ascii="Verdana" w:hAnsi="Verdana" w:cstheme="minorHAnsi"/>
          <w:bCs/>
          <w:sz w:val="20"/>
          <w:szCs w:val="20"/>
          <w:lang w:val="fr-FR"/>
        </w:rPr>
        <w:t>a</w:t>
      </w:r>
      <w:r w:rsidR="004F46A1" w:rsidRPr="001722B9">
        <w:rPr>
          <w:rFonts w:ascii="Verdana" w:hAnsi="Verdana" w:cstheme="minorHAnsi"/>
          <w:bCs/>
          <w:sz w:val="20"/>
          <w:szCs w:val="20"/>
          <w:lang w:val="fr-FR"/>
        </w:rPr>
        <w:t xml:space="preserve"> </w:t>
      </w:r>
      <w:r w:rsidR="00B05F15" w:rsidRPr="001722B9">
        <w:rPr>
          <w:rFonts w:ascii="Verdana" w:hAnsi="Verdana" w:cstheme="minorHAnsi"/>
          <w:bCs/>
          <w:sz w:val="20"/>
          <w:szCs w:val="20"/>
          <w:lang w:val="fr-FR"/>
        </w:rPr>
        <w:t>abouti à la signature d’une lettre d’intention</w:t>
      </w:r>
      <w:r w:rsidR="004F46A1">
        <w:rPr>
          <w:rFonts w:ascii="Verdana" w:hAnsi="Verdana" w:cstheme="minorHAnsi"/>
          <w:bCs/>
          <w:sz w:val="20"/>
          <w:szCs w:val="20"/>
          <w:lang w:val="fr-FR"/>
        </w:rPr>
        <w:t xml:space="preserve"> </w:t>
      </w:r>
      <w:r w:rsidR="00B05F15" w:rsidRPr="001722B9">
        <w:rPr>
          <w:rFonts w:ascii="Verdana" w:hAnsi="Verdana" w:cstheme="minorHAnsi"/>
          <w:bCs/>
          <w:sz w:val="20"/>
          <w:szCs w:val="20"/>
          <w:lang w:val="fr-FR"/>
        </w:rPr>
        <w:t>exprimant leur volonté de contribuer au renforcement de la coopération douanière au sein de la COI, conformément aux lois et règlements nationaux de chaque douane.</w:t>
      </w:r>
    </w:p>
    <w:p w14:paraId="07D0F481" w14:textId="7D934C5F" w:rsidR="00FC6B82" w:rsidRPr="001722B9" w:rsidRDefault="00FC6B82" w:rsidP="000F3931">
      <w:pPr>
        <w:jc w:val="both"/>
        <w:rPr>
          <w:rFonts w:ascii="Verdana" w:hAnsi="Verdana" w:cstheme="minorHAnsi"/>
          <w:bCs/>
          <w:sz w:val="20"/>
          <w:szCs w:val="20"/>
          <w:lang w:val="fr-FR"/>
        </w:rPr>
      </w:pPr>
      <w:r>
        <w:rPr>
          <w:rFonts w:ascii="Verdana" w:hAnsi="Verdana" w:cstheme="minorHAnsi"/>
          <w:bCs/>
          <w:sz w:val="20"/>
          <w:szCs w:val="20"/>
          <w:lang w:val="fr-FR"/>
        </w:rPr>
        <w:t>L</w:t>
      </w:r>
      <w:r w:rsidRPr="001722B9">
        <w:rPr>
          <w:rFonts w:ascii="Verdana" w:hAnsi="Verdana" w:cstheme="minorHAnsi"/>
          <w:bCs/>
          <w:sz w:val="20"/>
          <w:szCs w:val="20"/>
          <w:lang w:val="fr-FR"/>
        </w:rPr>
        <w:t>es problématiques douanières sont insuffisamment prises en compte et que le partage des bonnes pratiques en matière de facilitation des échanges ainsi que le développement de nouveaux outils technologiques constituent des opportunités de convergence entre les directions générales des douanes des Etats membres de l’océan Indien. D’autre part, l’état de la menace douanière dans l’océan Indien a considérablement évolué au cours des dernières années avec l’apparition d’une criminalité transnationale régionale qui menace la stabilité et la sécurité des citoyens.</w:t>
      </w:r>
    </w:p>
    <w:p w14:paraId="5A930988" w14:textId="56009A6A" w:rsidR="001722B9" w:rsidRDefault="002F561C" w:rsidP="001722B9">
      <w:pPr>
        <w:spacing w:after="160" w:line="276" w:lineRule="auto"/>
        <w:jc w:val="both"/>
        <w:rPr>
          <w:rFonts w:ascii="Verdana" w:hAnsi="Verdana" w:cs="Arial"/>
          <w:sz w:val="20"/>
          <w:szCs w:val="20"/>
          <w:lang w:val="fr-FR"/>
        </w:rPr>
      </w:pPr>
      <w:r w:rsidRPr="001722B9">
        <w:rPr>
          <w:rFonts w:ascii="Verdana" w:hAnsi="Verdana" w:cstheme="minorHAnsi"/>
          <w:bCs/>
          <w:sz w:val="20"/>
          <w:szCs w:val="20"/>
          <w:lang w:val="fr-FR"/>
        </w:rPr>
        <w:t>Ce renforcement passe par la création d’une instance permanente d’échange « </w:t>
      </w:r>
      <w:r w:rsidR="003666C3">
        <w:rPr>
          <w:rFonts w:ascii="Verdana" w:hAnsi="Verdana" w:cstheme="minorHAnsi"/>
          <w:bCs/>
          <w:sz w:val="20"/>
          <w:szCs w:val="20"/>
          <w:lang w:val="fr-FR"/>
        </w:rPr>
        <w:t xml:space="preserve">le </w:t>
      </w:r>
      <w:r w:rsidRPr="001722B9">
        <w:rPr>
          <w:rFonts w:ascii="Verdana" w:hAnsi="Verdana" w:cstheme="minorHAnsi"/>
          <w:bCs/>
          <w:sz w:val="20"/>
          <w:szCs w:val="20"/>
          <w:lang w:val="fr-FR"/>
        </w:rPr>
        <w:t xml:space="preserve">comité </w:t>
      </w:r>
      <w:r w:rsidR="003666C3">
        <w:rPr>
          <w:rFonts w:ascii="Verdana" w:hAnsi="Verdana" w:cstheme="minorHAnsi"/>
          <w:bCs/>
          <w:sz w:val="20"/>
          <w:szCs w:val="20"/>
          <w:lang w:val="fr-FR"/>
        </w:rPr>
        <w:t xml:space="preserve">des </w:t>
      </w:r>
      <w:r w:rsidRPr="001722B9">
        <w:rPr>
          <w:rFonts w:ascii="Verdana" w:hAnsi="Verdana" w:cstheme="minorHAnsi"/>
          <w:bCs/>
          <w:sz w:val="20"/>
          <w:szCs w:val="20"/>
          <w:lang w:val="fr-FR"/>
        </w:rPr>
        <w:t>douan</w:t>
      </w:r>
      <w:r w:rsidR="003666C3">
        <w:rPr>
          <w:rFonts w:ascii="Verdana" w:hAnsi="Verdana" w:cstheme="minorHAnsi"/>
          <w:bCs/>
          <w:sz w:val="20"/>
          <w:szCs w:val="20"/>
          <w:lang w:val="fr-FR"/>
        </w:rPr>
        <w:t>iers</w:t>
      </w:r>
      <w:r w:rsidRPr="001722B9">
        <w:rPr>
          <w:rFonts w:ascii="Verdana" w:hAnsi="Verdana" w:cstheme="minorHAnsi"/>
          <w:bCs/>
          <w:sz w:val="20"/>
          <w:szCs w:val="20"/>
          <w:lang w:val="fr-FR"/>
        </w:rPr>
        <w:t xml:space="preserve"> » sur les questions douanières au sein de la COI susceptible de porter et coordonner les projets dans le domaine douanier. </w:t>
      </w:r>
      <w:r w:rsidR="001722B9" w:rsidRPr="001722B9">
        <w:rPr>
          <w:rFonts w:ascii="Verdana" w:hAnsi="Verdana" w:cs="Arial"/>
          <w:sz w:val="20"/>
          <w:szCs w:val="20"/>
          <w:lang w:val="fr-FR"/>
        </w:rPr>
        <w:t>Cette initiative permettra de fluidifier les échanges commerciaux entre les cinq Etats membres, promouvoir une coopération technique entre les autorités douanières, mutualiser les opportunités de formations.</w:t>
      </w:r>
    </w:p>
    <w:p w14:paraId="5BD357A1" w14:textId="1CA8261B" w:rsidR="009E57C6" w:rsidRDefault="00D04344" w:rsidP="004A113C">
      <w:pPr>
        <w:pStyle w:val="Sous-partie2"/>
      </w:pPr>
      <w:r>
        <w:t>Partenariats</w:t>
      </w:r>
    </w:p>
    <w:p w14:paraId="7030B6D0" w14:textId="60EF8A2D" w:rsidR="009E6B56" w:rsidRDefault="009E6B56" w:rsidP="003850CA">
      <w:pPr>
        <w:jc w:val="both"/>
        <w:rPr>
          <w:rFonts w:ascii="Verdana" w:hAnsi="Verdana" w:cs="Arial"/>
          <w:sz w:val="20"/>
          <w:szCs w:val="20"/>
          <w:lang w:val="fr-FR"/>
        </w:rPr>
      </w:pPr>
      <w:r>
        <w:rPr>
          <w:rFonts w:ascii="Verdana" w:hAnsi="Verdana" w:cs="Arial"/>
          <w:sz w:val="20"/>
          <w:szCs w:val="20"/>
          <w:lang w:val="fr-FR"/>
        </w:rPr>
        <w:t xml:space="preserve">Par ailleurs, concernant les </w:t>
      </w:r>
      <w:r w:rsidR="001C7E9F">
        <w:rPr>
          <w:rFonts w:ascii="Verdana" w:hAnsi="Verdana" w:cs="Arial"/>
          <w:sz w:val="20"/>
          <w:szCs w:val="20"/>
          <w:lang w:val="fr-FR"/>
        </w:rPr>
        <w:t>partenariats,</w:t>
      </w:r>
      <w:r>
        <w:rPr>
          <w:rFonts w:ascii="Verdana" w:hAnsi="Verdana" w:cs="Arial"/>
          <w:sz w:val="20"/>
          <w:szCs w:val="20"/>
          <w:lang w:val="fr-FR"/>
        </w:rPr>
        <w:t xml:space="preserve"> il est rappelé que la COI dispose d’un statut d’observateur auprès des Nations Unies depuis décembre 2006. </w:t>
      </w:r>
      <w:r w:rsidR="00B85262">
        <w:rPr>
          <w:rFonts w:ascii="Verdana" w:hAnsi="Verdana" w:cs="Arial"/>
          <w:sz w:val="20"/>
          <w:szCs w:val="20"/>
          <w:lang w:val="fr-FR"/>
        </w:rPr>
        <w:t>La COI a</w:t>
      </w:r>
      <w:r>
        <w:rPr>
          <w:rFonts w:ascii="Verdana" w:hAnsi="Verdana" w:cs="Arial"/>
          <w:sz w:val="20"/>
          <w:szCs w:val="20"/>
          <w:lang w:val="fr-FR"/>
        </w:rPr>
        <w:t xml:space="preserve"> </w:t>
      </w:r>
      <w:r w:rsidR="00045D93">
        <w:rPr>
          <w:rFonts w:ascii="Verdana" w:hAnsi="Verdana" w:cs="Arial"/>
          <w:sz w:val="20"/>
          <w:szCs w:val="20"/>
          <w:lang w:val="fr-FR"/>
        </w:rPr>
        <w:t>signé</w:t>
      </w:r>
      <w:r>
        <w:rPr>
          <w:rFonts w:ascii="Verdana" w:hAnsi="Verdana" w:cs="Arial"/>
          <w:sz w:val="20"/>
          <w:szCs w:val="20"/>
          <w:lang w:val="fr-FR"/>
        </w:rPr>
        <w:t xml:space="preserve"> un cadre de partenariat avec les Nations Unies en 2018</w:t>
      </w:r>
      <w:r w:rsidR="00B85262">
        <w:rPr>
          <w:rFonts w:ascii="Verdana" w:hAnsi="Verdana" w:cs="Arial"/>
          <w:sz w:val="20"/>
          <w:szCs w:val="20"/>
          <w:lang w:val="fr-FR"/>
        </w:rPr>
        <w:t xml:space="preserve">, ayant décliné sur </w:t>
      </w:r>
      <w:r w:rsidR="002C6729">
        <w:rPr>
          <w:rFonts w:ascii="Verdana" w:hAnsi="Verdana" w:cs="Arial"/>
          <w:sz w:val="20"/>
          <w:szCs w:val="20"/>
          <w:lang w:val="fr-FR"/>
        </w:rPr>
        <w:t xml:space="preserve">plusieurs </w:t>
      </w:r>
      <w:r w:rsidR="00B85262">
        <w:rPr>
          <w:rFonts w:ascii="Verdana" w:hAnsi="Verdana" w:cs="Arial"/>
          <w:sz w:val="20"/>
          <w:szCs w:val="20"/>
          <w:lang w:val="fr-FR"/>
        </w:rPr>
        <w:t>coopérations</w:t>
      </w:r>
      <w:r w:rsidR="00045D93">
        <w:rPr>
          <w:rFonts w:ascii="Verdana" w:hAnsi="Verdana" w:cs="Arial"/>
          <w:sz w:val="20"/>
          <w:szCs w:val="20"/>
          <w:lang w:val="fr-FR"/>
        </w:rPr>
        <w:t xml:space="preserve"> avec</w:t>
      </w:r>
      <w:r w:rsidR="00B85262">
        <w:rPr>
          <w:rFonts w:ascii="Verdana" w:hAnsi="Verdana" w:cs="Arial"/>
          <w:sz w:val="20"/>
          <w:szCs w:val="20"/>
          <w:lang w:val="fr-FR"/>
        </w:rPr>
        <w:t xml:space="preserve"> </w:t>
      </w:r>
      <w:r w:rsidR="00045D93">
        <w:rPr>
          <w:rFonts w:ascii="Verdana" w:hAnsi="Verdana" w:cs="Arial"/>
          <w:sz w:val="20"/>
          <w:szCs w:val="20"/>
          <w:lang w:val="fr-FR"/>
        </w:rPr>
        <w:t>l</w:t>
      </w:r>
      <w:r w:rsidR="00B85262">
        <w:rPr>
          <w:rFonts w:ascii="Verdana" w:hAnsi="Verdana" w:cs="Arial"/>
          <w:sz w:val="20"/>
          <w:szCs w:val="20"/>
          <w:lang w:val="fr-FR"/>
        </w:rPr>
        <w:t xml:space="preserve">es </w:t>
      </w:r>
      <w:r>
        <w:rPr>
          <w:rFonts w:ascii="Verdana" w:hAnsi="Verdana" w:cs="Arial"/>
          <w:sz w:val="20"/>
          <w:szCs w:val="20"/>
          <w:lang w:val="fr-FR"/>
        </w:rPr>
        <w:t>agences des Nations Unies</w:t>
      </w:r>
      <w:r w:rsidR="00B85262">
        <w:rPr>
          <w:rFonts w:ascii="Verdana" w:hAnsi="Verdana" w:cs="Arial"/>
          <w:sz w:val="20"/>
          <w:szCs w:val="20"/>
          <w:lang w:val="fr-FR"/>
        </w:rPr>
        <w:t xml:space="preserve"> en faveur des initiatives régionales </w:t>
      </w:r>
      <w:r>
        <w:rPr>
          <w:rFonts w:ascii="Verdana" w:hAnsi="Verdana" w:cs="Arial"/>
          <w:sz w:val="20"/>
          <w:szCs w:val="20"/>
          <w:lang w:val="fr-FR"/>
        </w:rPr>
        <w:t>(</w:t>
      </w:r>
      <w:r w:rsidR="00045D93">
        <w:rPr>
          <w:rFonts w:ascii="Verdana" w:hAnsi="Verdana" w:cs="Arial"/>
          <w:sz w:val="20"/>
          <w:szCs w:val="20"/>
          <w:lang w:val="fr-FR"/>
        </w:rPr>
        <w:t xml:space="preserve">biodiversité, </w:t>
      </w:r>
      <w:r>
        <w:rPr>
          <w:rFonts w:ascii="Verdana" w:hAnsi="Verdana" w:cs="Arial"/>
          <w:sz w:val="20"/>
          <w:szCs w:val="20"/>
          <w:lang w:val="fr-FR"/>
        </w:rPr>
        <w:t xml:space="preserve">paix et sécurité, formation professionnelle, </w:t>
      </w:r>
      <w:r w:rsidR="00045D93">
        <w:rPr>
          <w:rFonts w:ascii="Verdana" w:hAnsi="Verdana" w:cs="Arial"/>
          <w:sz w:val="20"/>
          <w:szCs w:val="20"/>
          <w:lang w:val="fr-FR"/>
        </w:rPr>
        <w:t>migration</w:t>
      </w:r>
      <w:r w:rsidR="002C6729">
        <w:rPr>
          <w:rFonts w:ascii="Verdana" w:hAnsi="Verdana" w:cs="Arial"/>
          <w:sz w:val="20"/>
          <w:szCs w:val="20"/>
          <w:lang w:val="fr-FR"/>
        </w:rPr>
        <w:t>,</w:t>
      </w:r>
      <w:r w:rsidR="00045D93">
        <w:rPr>
          <w:rFonts w:ascii="Verdana" w:hAnsi="Verdana" w:cs="Arial"/>
          <w:sz w:val="20"/>
          <w:szCs w:val="20"/>
          <w:lang w:val="fr-FR"/>
        </w:rPr>
        <w:t xml:space="preserve"> </w:t>
      </w:r>
      <w:r>
        <w:rPr>
          <w:rFonts w:ascii="Verdana" w:hAnsi="Verdana" w:cs="Arial"/>
          <w:sz w:val="20"/>
          <w:szCs w:val="20"/>
          <w:lang w:val="fr-FR"/>
        </w:rPr>
        <w:t xml:space="preserve">économie bleue…). </w:t>
      </w:r>
      <w:r w:rsidR="00BA0BA6">
        <w:rPr>
          <w:rFonts w:ascii="Verdana" w:hAnsi="Verdana" w:cs="Arial"/>
          <w:sz w:val="20"/>
          <w:szCs w:val="20"/>
          <w:lang w:val="fr-FR"/>
        </w:rPr>
        <w:t>Dans le même esprit</w:t>
      </w:r>
      <w:r>
        <w:rPr>
          <w:rFonts w:ascii="Verdana" w:hAnsi="Verdana" w:cs="Arial"/>
          <w:sz w:val="20"/>
          <w:szCs w:val="20"/>
          <w:lang w:val="fr-FR"/>
        </w:rPr>
        <w:t xml:space="preserve">, un </w:t>
      </w:r>
      <w:r w:rsidR="00045D93">
        <w:rPr>
          <w:rFonts w:ascii="Verdana" w:hAnsi="Verdana" w:cs="Arial"/>
          <w:sz w:val="20"/>
          <w:szCs w:val="20"/>
          <w:lang w:val="fr-FR"/>
        </w:rPr>
        <w:t>MoU</w:t>
      </w:r>
      <w:r>
        <w:rPr>
          <w:rFonts w:ascii="Verdana" w:hAnsi="Verdana" w:cs="Arial"/>
          <w:sz w:val="20"/>
          <w:szCs w:val="20"/>
          <w:lang w:val="fr-FR"/>
        </w:rPr>
        <w:t xml:space="preserve"> est proposé pour officialiser le partenariat entre </w:t>
      </w:r>
      <w:r w:rsidR="0014184F">
        <w:rPr>
          <w:rFonts w:ascii="Verdana" w:hAnsi="Verdana" w:cs="Arial"/>
          <w:sz w:val="20"/>
          <w:szCs w:val="20"/>
          <w:lang w:val="fr-FR"/>
        </w:rPr>
        <w:t>l’Organisation Internationale</w:t>
      </w:r>
      <w:r>
        <w:rPr>
          <w:rFonts w:ascii="Verdana" w:hAnsi="Verdana" w:cs="Arial"/>
          <w:sz w:val="20"/>
          <w:szCs w:val="20"/>
          <w:lang w:val="fr-FR"/>
        </w:rPr>
        <w:t xml:space="preserve"> d</w:t>
      </w:r>
      <w:r w:rsidR="00BA0BA6">
        <w:rPr>
          <w:rFonts w:ascii="Verdana" w:hAnsi="Verdana" w:cs="Arial"/>
          <w:sz w:val="20"/>
          <w:szCs w:val="20"/>
          <w:lang w:val="fr-FR"/>
        </w:rPr>
        <w:t>u</w:t>
      </w:r>
      <w:r>
        <w:rPr>
          <w:rFonts w:ascii="Verdana" w:hAnsi="Verdana" w:cs="Arial"/>
          <w:sz w:val="20"/>
          <w:szCs w:val="20"/>
          <w:lang w:val="fr-FR"/>
        </w:rPr>
        <w:t xml:space="preserve"> </w:t>
      </w:r>
      <w:r>
        <w:rPr>
          <w:rFonts w:ascii="Verdana" w:hAnsi="Verdana" w:cs="Arial"/>
          <w:sz w:val="20"/>
          <w:szCs w:val="20"/>
          <w:lang w:val="fr-FR"/>
        </w:rPr>
        <w:lastRenderedPageBreak/>
        <w:t>travail (</w:t>
      </w:r>
      <w:r w:rsidR="001C7E9F">
        <w:rPr>
          <w:rFonts w:ascii="Verdana" w:hAnsi="Verdana" w:cs="Arial"/>
          <w:sz w:val="20"/>
          <w:szCs w:val="20"/>
          <w:lang w:val="fr-FR"/>
        </w:rPr>
        <w:t>O</w:t>
      </w:r>
      <w:r>
        <w:rPr>
          <w:rFonts w:ascii="Verdana" w:hAnsi="Verdana" w:cs="Arial"/>
          <w:sz w:val="20"/>
          <w:szCs w:val="20"/>
          <w:lang w:val="fr-FR"/>
        </w:rPr>
        <w:t xml:space="preserve">IT) et la COI </w:t>
      </w:r>
      <w:r w:rsidR="00045D93">
        <w:rPr>
          <w:rFonts w:ascii="Verdana" w:hAnsi="Verdana" w:cs="Arial"/>
          <w:sz w:val="20"/>
          <w:szCs w:val="20"/>
          <w:lang w:val="fr-FR"/>
        </w:rPr>
        <w:t xml:space="preserve">axé sur </w:t>
      </w:r>
      <w:r>
        <w:rPr>
          <w:rFonts w:ascii="Verdana" w:hAnsi="Verdana" w:cs="Arial"/>
          <w:sz w:val="20"/>
          <w:szCs w:val="20"/>
          <w:lang w:val="fr-FR"/>
        </w:rPr>
        <w:t xml:space="preserve">la mise en œuvre des projets </w:t>
      </w:r>
      <w:r w:rsidR="008324AF">
        <w:rPr>
          <w:rFonts w:ascii="Verdana" w:hAnsi="Verdana" w:cs="Arial"/>
          <w:sz w:val="20"/>
          <w:szCs w:val="20"/>
          <w:lang w:val="fr-FR"/>
        </w:rPr>
        <w:t xml:space="preserve">axés sur </w:t>
      </w:r>
      <w:r>
        <w:rPr>
          <w:rFonts w:ascii="Verdana" w:hAnsi="Verdana" w:cs="Arial"/>
          <w:sz w:val="20"/>
          <w:szCs w:val="20"/>
          <w:lang w:val="fr-FR"/>
        </w:rPr>
        <w:t xml:space="preserve">l’économie bleue. Une des clauses proposées par </w:t>
      </w:r>
      <w:r w:rsidR="00B85262">
        <w:rPr>
          <w:rFonts w:ascii="Verdana" w:hAnsi="Verdana" w:cs="Arial"/>
          <w:sz w:val="20"/>
          <w:szCs w:val="20"/>
          <w:lang w:val="fr-FR"/>
        </w:rPr>
        <w:t>O</w:t>
      </w:r>
      <w:r>
        <w:rPr>
          <w:rFonts w:ascii="Verdana" w:hAnsi="Verdana" w:cs="Arial"/>
          <w:sz w:val="20"/>
          <w:szCs w:val="20"/>
          <w:lang w:val="fr-FR"/>
        </w:rPr>
        <w:t xml:space="preserve">IT concerne l’hébergement par la COI de son point focal Maurice. </w:t>
      </w:r>
    </w:p>
    <w:p w14:paraId="69DB5303" w14:textId="05BD47B4" w:rsidR="00F238CB" w:rsidRDefault="00F238CB" w:rsidP="003850CA">
      <w:pPr>
        <w:jc w:val="both"/>
        <w:rPr>
          <w:rFonts w:ascii="Verdana" w:hAnsi="Verdana" w:cs="Arial"/>
          <w:sz w:val="20"/>
          <w:szCs w:val="20"/>
          <w:lang w:val="fr-FR"/>
        </w:rPr>
      </w:pPr>
      <w:r>
        <w:rPr>
          <w:rFonts w:ascii="Verdana" w:hAnsi="Verdana" w:cs="Arial"/>
          <w:sz w:val="20"/>
          <w:szCs w:val="20"/>
          <w:lang w:val="fr-FR"/>
        </w:rPr>
        <w:t xml:space="preserve">Le Secrétariat général propose également à l’approbation des Etats membres d’autres MoU avec : </w:t>
      </w:r>
    </w:p>
    <w:p w14:paraId="39356298" w14:textId="3D8454A2" w:rsidR="00F238CB" w:rsidRDefault="00F238CB" w:rsidP="00F238CB">
      <w:pPr>
        <w:pStyle w:val="Paragraphedeliste"/>
        <w:numPr>
          <w:ilvl w:val="0"/>
          <w:numId w:val="16"/>
        </w:numPr>
        <w:jc w:val="both"/>
        <w:rPr>
          <w:rFonts w:ascii="Verdana" w:hAnsi="Verdana" w:cs="Arial"/>
          <w:sz w:val="20"/>
          <w:szCs w:val="20"/>
          <w:lang w:val="fr-FR"/>
        </w:rPr>
      </w:pPr>
      <w:r>
        <w:rPr>
          <w:rFonts w:ascii="Verdana" w:hAnsi="Verdana" w:cs="Arial"/>
          <w:sz w:val="20"/>
          <w:szCs w:val="20"/>
          <w:lang w:val="fr-FR"/>
        </w:rPr>
        <w:t>Le COMESA</w:t>
      </w:r>
      <w:r w:rsidR="009A5359">
        <w:rPr>
          <w:rFonts w:ascii="Verdana" w:hAnsi="Verdana" w:cs="Arial"/>
          <w:sz w:val="20"/>
          <w:szCs w:val="20"/>
          <w:lang w:val="fr-FR"/>
        </w:rPr>
        <w:t xml:space="preserve"> afin de formaliser et approfondir les relations de travail entre les deux organisations, notamment en ce qu’il s’agit de la connectivité aérienne. </w:t>
      </w:r>
      <w:r w:rsidR="00E42772">
        <w:rPr>
          <w:rFonts w:ascii="Verdana" w:hAnsi="Verdana" w:cs="Arial"/>
          <w:sz w:val="20"/>
          <w:szCs w:val="20"/>
          <w:lang w:val="fr-FR"/>
        </w:rPr>
        <w:t xml:space="preserve">A noter que les Comores, Madagascar, Maurice et les Seychelles sont membres du COMESA et que la France </w:t>
      </w:r>
      <w:r w:rsidR="00480738">
        <w:rPr>
          <w:rFonts w:ascii="Verdana" w:hAnsi="Verdana" w:cs="Arial"/>
          <w:sz w:val="20"/>
          <w:szCs w:val="20"/>
          <w:lang w:val="fr-FR"/>
        </w:rPr>
        <w:t>bénéficie d’un statut d’</w:t>
      </w:r>
      <w:r w:rsidR="00E42772">
        <w:rPr>
          <w:rFonts w:ascii="Verdana" w:hAnsi="Verdana" w:cs="Arial"/>
          <w:sz w:val="20"/>
          <w:szCs w:val="20"/>
          <w:lang w:val="fr-FR"/>
        </w:rPr>
        <w:t xml:space="preserve">observateur. </w:t>
      </w:r>
      <w:r w:rsidR="003A4670">
        <w:rPr>
          <w:rFonts w:ascii="Verdana" w:hAnsi="Verdana" w:cs="Arial"/>
          <w:sz w:val="20"/>
          <w:szCs w:val="20"/>
          <w:lang w:val="fr-FR"/>
        </w:rPr>
        <w:t xml:space="preserve">Le MoU COI-COMESA pourrait également faciliter la promotion des besoins spécifiques insulaires des Etats membres auprès du COMESA. </w:t>
      </w:r>
    </w:p>
    <w:p w14:paraId="0EAEA1EB" w14:textId="114E298D" w:rsidR="003A4670" w:rsidRDefault="003A4670" w:rsidP="00F238CB">
      <w:pPr>
        <w:pStyle w:val="Paragraphedeliste"/>
        <w:numPr>
          <w:ilvl w:val="0"/>
          <w:numId w:val="16"/>
        </w:numPr>
        <w:jc w:val="both"/>
        <w:rPr>
          <w:rFonts w:ascii="Verdana" w:hAnsi="Verdana" w:cs="Arial"/>
          <w:sz w:val="20"/>
          <w:szCs w:val="20"/>
          <w:lang w:val="fr-FR"/>
        </w:rPr>
      </w:pPr>
      <w:r w:rsidRPr="003A4670">
        <w:rPr>
          <w:rFonts w:ascii="Verdana" w:hAnsi="Verdana" w:cs="Arial"/>
          <w:sz w:val="20"/>
          <w:szCs w:val="20"/>
          <w:lang w:val="fr-FR"/>
        </w:rPr>
        <w:t>Cap Business océan Indien q</w:t>
      </w:r>
      <w:r w:rsidRPr="00267C04">
        <w:rPr>
          <w:rFonts w:ascii="Verdana" w:hAnsi="Verdana" w:cs="Arial"/>
          <w:sz w:val="20"/>
          <w:szCs w:val="20"/>
          <w:lang w:val="fr-FR"/>
        </w:rPr>
        <w:t>ui réunit l</w:t>
      </w:r>
      <w:r>
        <w:rPr>
          <w:rFonts w:ascii="Verdana" w:hAnsi="Verdana" w:cs="Arial"/>
          <w:sz w:val="20"/>
          <w:szCs w:val="20"/>
          <w:lang w:val="fr-FR"/>
        </w:rPr>
        <w:t xml:space="preserve">e secteur privé régional et avec </w:t>
      </w:r>
      <w:r w:rsidR="000241B4">
        <w:rPr>
          <w:rFonts w:ascii="Verdana" w:hAnsi="Verdana" w:cs="Arial"/>
          <w:sz w:val="20"/>
          <w:szCs w:val="20"/>
          <w:lang w:val="fr-FR"/>
        </w:rPr>
        <w:t xml:space="preserve">lequel la COI entretient une relation de longue date. Il s’agit de poursuivre la dynamique d’échanges public-privé et la mise en œuvre d’activités communes. </w:t>
      </w:r>
    </w:p>
    <w:p w14:paraId="31F51A8D" w14:textId="251E9C24" w:rsidR="000241B4" w:rsidRDefault="000241B4" w:rsidP="00F238CB">
      <w:pPr>
        <w:pStyle w:val="Paragraphedeliste"/>
        <w:numPr>
          <w:ilvl w:val="0"/>
          <w:numId w:val="16"/>
        </w:numPr>
        <w:jc w:val="both"/>
        <w:rPr>
          <w:rFonts w:ascii="Verdana" w:hAnsi="Verdana" w:cs="Arial"/>
          <w:sz w:val="20"/>
          <w:szCs w:val="20"/>
          <w:lang w:val="fr-FR"/>
        </w:rPr>
      </w:pPr>
      <w:r>
        <w:rPr>
          <w:rFonts w:ascii="Verdana" w:hAnsi="Verdana" w:cs="Arial"/>
          <w:sz w:val="20"/>
          <w:szCs w:val="20"/>
          <w:lang w:val="fr-FR"/>
        </w:rPr>
        <w:t>Association des po</w:t>
      </w:r>
      <w:r w:rsidR="00F23315">
        <w:rPr>
          <w:rFonts w:ascii="Verdana" w:hAnsi="Verdana" w:cs="Arial"/>
          <w:sz w:val="20"/>
          <w:szCs w:val="20"/>
          <w:lang w:val="fr-FR"/>
        </w:rPr>
        <w:t xml:space="preserve">rts des îles de l’océan Indien qui est un acteur régional incontournable dans la mise en œuvre d’actions en faveur de la connectivité maritime ou encore du renforcement du transport maritime marchand, ou de la sûreté en mer. </w:t>
      </w:r>
    </w:p>
    <w:p w14:paraId="6B906B2D" w14:textId="77777777" w:rsidR="00CB1B1D" w:rsidRPr="00267C04" w:rsidRDefault="00CB1B1D" w:rsidP="00267C04">
      <w:pPr>
        <w:pStyle w:val="Paragraphedeliste"/>
        <w:jc w:val="both"/>
        <w:rPr>
          <w:rFonts w:ascii="Verdana" w:hAnsi="Verdana" w:cs="Arial"/>
          <w:sz w:val="20"/>
          <w:szCs w:val="20"/>
          <w:lang w:val="fr-FR"/>
        </w:rPr>
      </w:pPr>
    </w:p>
    <w:p w14:paraId="7D9B9963" w14:textId="25C9DA60" w:rsidR="007D73F7" w:rsidRDefault="00CB1B1D" w:rsidP="00267C04">
      <w:pPr>
        <w:pStyle w:val="Sous-partie2"/>
      </w:pPr>
      <w:r>
        <w:t>Ministérielle sur l’économie bleue / circulaire</w:t>
      </w:r>
    </w:p>
    <w:p w14:paraId="24132AAC" w14:textId="77777777" w:rsidR="00CB1B1D" w:rsidRDefault="00E8327D" w:rsidP="003850CA">
      <w:pPr>
        <w:jc w:val="both"/>
        <w:rPr>
          <w:rFonts w:ascii="Verdana" w:hAnsi="Verdana" w:cs="Arial"/>
          <w:sz w:val="20"/>
          <w:szCs w:val="20"/>
          <w:lang w:val="fr-FR"/>
        </w:rPr>
      </w:pPr>
      <w:r w:rsidRPr="00E8327D">
        <w:rPr>
          <w:rFonts w:ascii="Verdana" w:hAnsi="Verdana" w:cs="Arial"/>
          <w:sz w:val="20"/>
          <w:szCs w:val="20"/>
          <w:lang w:val="fr-FR"/>
        </w:rPr>
        <w:t>La banque mondiale a financé le</w:t>
      </w:r>
      <w:r w:rsidR="00E91F17" w:rsidRPr="00E8327D">
        <w:rPr>
          <w:rFonts w:ascii="Verdana" w:hAnsi="Verdana" w:cs="Arial"/>
          <w:sz w:val="20"/>
          <w:szCs w:val="20"/>
          <w:lang w:val="fr-FR"/>
        </w:rPr>
        <w:t xml:space="preserve"> projet SWIOFish2</w:t>
      </w:r>
      <w:r w:rsidRPr="00E8327D">
        <w:rPr>
          <w:rFonts w:ascii="Verdana" w:hAnsi="Verdana" w:cs="Arial"/>
          <w:sz w:val="20"/>
          <w:szCs w:val="20"/>
          <w:lang w:val="fr-FR"/>
        </w:rPr>
        <w:t xml:space="preserve"> qui arrivera à terme en septembre 2023. Grâce à la</w:t>
      </w:r>
      <w:r w:rsidR="00E91F17" w:rsidRPr="00E8327D">
        <w:rPr>
          <w:rFonts w:ascii="Verdana" w:hAnsi="Verdana" w:cs="Arial"/>
          <w:sz w:val="20"/>
          <w:szCs w:val="20"/>
          <w:lang w:val="fr-FR"/>
        </w:rPr>
        <w:t xml:space="preserve"> sous-composante AIODIS</w:t>
      </w:r>
      <w:r w:rsidRPr="00E8327D">
        <w:rPr>
          <w:rFonts w:ascii="Verdana" w:hAnsi="Verdana" w:cs="Arial"/>
          <w:sz w:val="20"/>
          <w:szCs w:val="20"/>
          <w:lang w:val="fr-FR"/>
        </w:rPr>
        <w:t xml:space="preserve"> de SWIOFish2</w:t>
      </w:r>
      <w:r w:rsidR="00E91F17" w:rsidRPr="00E8327D">
        <w:rPr>
          <w:rFonts w:ascii="Verdana" w:hAnsi="Verdana" w:cs="Arial"/>
          <w:sz w:val="20"/>
          <w:szCs w:val="20"/>
          <w:lang w:val="fr-FR"/>
        </w:rPr>
        <w:t>, la COI soutient ses États membres ainsi que les petits États insulaires en développement (PEID) de l'Atlantique (Cabo Verde, Guinée Bissau, São Tomé et Príncipe, Comores, Madagascar, Maldives, Maurice et Seychelles)  dans la collaboration pour relever certains de leurs défis spécifiques</w:t>
      </w:r>
      <w:r w:rsidR="00F22555">
        <w:rPr>
          <w:rFonts w:ascii="Verdana" w:hAnsi="Verdana" w:cs="Arial"/>
          <w:sz w:val="20"/>
          <w:szCs w:val="20"/>
          <w:lang w:val="fr-FR"/>
        </w:rPr>
        <w:t xml:space="preserve"> collectifs</w:t>
      </w:r>
      <w:r w:rsidR="00E91F17" w:rsidRPr="00E8327D">
        <w:rPr>
          <w:rFonts w:ascii="Verdana" w:hAnsi="Verdana" w:cs="Arial"/>
          <w:sz w:val="20"/>
          <w:szCs w:val="20"/>
          <w:lang w:val="fr-FR"/>
        </w:rPr>
        <w:t>, tels que l'amélioration de la gestion durable de leur vaste territoire maritime, l'innovation et le développement de leur économie bleue dans le contexte du changement climatique, et la mobilisation conjointe de financements pour relever ces défis.</w:t>
      </w:r>
      <w:r>
        <w:rPr>
          <w:rFonts w:ascii="Verdana" w:hAnsi="Verdana" w:cs="Arial"/>
          <w:sz w:val="20"/>
          <w:szCs w:val="20"/>
          <w:lang w:val="fr-FR"/>
        </w:rPr>
        <w:t xml:space="preserve"> </w:t>
      </w:r>
    </w:p>
    <w:p w14:paraId="6EB352D4" w14:textId="2AFA634F" w:rsidR="008B56E4" w:rsidRDefault="00CA5BFB" w:rsidP="003850CA">
      <w:pPr>
        <w:jc w:val="both"/>
        <w:rPr>
          <w:rFonts w:ascii="Verdana" w:hAnsi="Verdana" w:cs="Arial"/>
          <w:sz w:val="20"/>
          <w:szCs w:val="20"/>
          <w:lang w:val="fr-FR"/>
        </w:rPr>
      </w:pPr>
      <w:r>
        <w:rPr>
          <w:rFonts w:ascii="Verdana" w:hAnsi="Verdana" w:cs="Arial"/>
          <w:sz w:val="20"/>
          <w:szCs w:val="20"/>
          <w:lang w:val="fr-FR"/>
        </w:rPr>
        <w:t>A ce titre, u</w:t>
      </w:r>
      <w:r w:rsidR="00E8327D">
        <w:rPr>
          <w:rFonts w:ascii="Verdana" w:hAnsi="Verdana" w:cs="Arial"/>
          <w:sz w:val="20"/>
          <w:szCs w:val="20"/>
          <w:lang w:val="fr-FR"/>
        </w:rPr>
        <w:t>ne conférence ministérielle est proposée la dernière semaine du mois d’août 2023</w:t>
      </w:r>
      <w:r w:rsidR="00F22555">
        <w:rPr>
          <w:rFonts w:ascii="Verdana" w:hAnsi="Verdana" w:cs="Arial"/>
          <w:sz w:val="20"/>
          <w:szCs w:val="20"/>
          <w:lang w:val="fr-FR"/>
        </w:rPr>
        <w:t xml:space="preserve"> aux Comores</w:t>
      </w:r>
      <w:r w:rsidR="00E8327D">
        <w:rPr>
          <w:rFonts w:ascii="Verdana" w:hAnsi="Verdana" w:cs="Arial"/>
          <w:sz w:val="20"/>
          <w:szCs w:val="20"/>
          <w:lang w:val="fr-FR"/>
        </w:rPr>
        <w:t>, afin d’a</w:t>
      </w:r>
      <w:r w:rsidR="00E8327D" w:rsidRPr="00E8327D">
        <w:rPr>
          <w:rFonts w:ascii="Verdana" w:hAnsi="Verdana" w:cs="Arial"/>
          <w:sz w:val="20"/>
          <w:szCs w:val="20"/>
          <w:lang w:val="fr-FR"/>
        </w:rPr>
        <w:t xml:space="preserve">dopter </w:t>
      </w:r>
      <w:r w:rsidR="00E8327D">
        <w:rPr>
          <w:rFonts w:ascii="Verdana" w:hAnsi="Verdana" w:cs="Arial"/>
          <w:sz w:val="20"/>
          <w:szCs w:val="20"/>
          <w:lang w:val="fr-FR"/>
        </w:rPr>
        <w:t>l</w:t>
      </w:r>
      <w:r w:rsidR="00E8327D" w:rsidRPr="00E8327D">
        <w:rPr>
          <w:rFonts w:ascii="Verdana" w:hAnsi="Verdana" w:cs="Arial"/>
          <w:sz w:val="20"/>
          <w:szCs w:val="20"/>
          <w:lang w:val="fr-FR"/>
        </w:rPr>
        <w:t xml:space="preserve">es propositions de décisions ministérielles et de mesures réglementaires nationales pour promouvoir l'économie circulaire sur </w:t>
      </w:r>
      <w:r w:rsidR="00E8327D">
        <w:rPr>
          <w:rFonts w:ascii="Verdana" w:hAnsi="Verdana" w:cs="Arial"/>
          <w:sz w:val="20"/>
          <w:szCs w:val="20"/>
          <w:lang w:val="fr-FR"/>
        </w:rPr>
        <w:t xml:space="preserve">les thématiques de </w:t>
      </w:r>
      <w:r w:rsidRPr="00CA5BFB">
        <w:rPr>
          <w:rFonts w:ascii="Verdana" w:hAnsi="Verdana" w:cs="Arial"/>
          <w:sz w:val="20"/>
          <w:szCs w:val="20"/>
          <w:lang w:val="fr-FR"/>
        </w:rPr>
        <w:t>la réduction des plastiques à usage unique</w:t>
      </w:r>
      <w:r w:rsidR="00F22555">
        <w:rPr>
          <w:rFonts w:ascii="Verdana" w:hAnsi="Verdana" w:cs="Arial"/>
          <w:sz w:val="20"/>
          <w:szCs w:val="20"/>
          <w:lang w:val="fr-FR"/>
        </w:rPr>
        <w:t>, incluant le volet de sensibilisation</w:t>
      </w:r>
      <w:r w:rsidRPr="00CA5BFB">
        <w:rPr>
          <w:rFonts w:ascii="Verdana" w:hAnsi="Verdana" w:cs="Arial"/>
          <w:sz w:val="20"/>
          <w:szCs w:val="20"/>
          <w:lang w:val="fr-FR"/>
        </w:rPr>
        <w:t>, les droits de propriété intellectuelle (DPI) et innovation dans l'économie circulaire, les cadres pour l'entrepreneuriat et l'innovation dans l'économie circulaire</w:t>
      </w:r>
      <w:r w:rsidR="00F22555">
        <w:rPr>
          <w:rFonts w:ascii="Verdana" w:hAnsi="Verdana" w:cs="Arial"/>
          <w:sz w:val="20"/>
          <w:szCs w:val="20"/>
          <w:lang w:val="fr-FR"/>
        </w:rPr>
        <w:t xml:space="preserve">, </w:t>
      </w:r>
      <w:r w:rsidR="00045084">
        <w:rPr>
          <w:rFonts w:ascii="Verdana" w:hAnsi="Verdana" w:cs="Arial"/>
          <w:sz w:val="20"/>
          <w:szCs w:val="20"/>
          <w:lang w:val="fr-FR"/>
        </w:rPr>
        <w:t>dont une</w:t>
      </w:r>
      <w:r w:rsidR="00F22555">
        <w:rPr>
          <w:rFonts w:ascii="Verdana" w:hAnsi="Verdana" w:cs="Arial"/>
          <w:sz w:val="20"/>
          <w:szCs w:val="20"/>
          <w:lang w:val="fr-FR"/>
        </w:rPr>
        <w:t xml:space="preserve"> plateforme d’accompagnement en ligne</w:t>
      </w:r>
      <w:r w:rsidRPr="00CA5BFB">
        <w:rPr>
          <w:rFonts w:ascii="Verdana" w:hAnsi="Verdana" w:cs="Arial"/>
          <w:sz w:val="20"/>
          <w:szCs w:val="20"/>
          <w:lang w:val="fr-FR"/>
        </w:rPr>
        <w:t xml:space="preserve">, la faisabilité de l'alimentation électrique à terre dans les ports, la </w:t>
      </w:r>
      <w:r w:rsidR="00F22555">
        <w:rPr>
          <w:rFonts w:ascii="Verdana" w:hAnsi="Verdana" w:cs="Arial"/>
          <w:sz w:val="20"/>
          <w:szCs w:val="20"/>
          <w:lang w:val="fr-FR"/>
        </w:rPr>
        <w:t>promotion de la chaîne de valeur régionale</w:t>
      </w:r>
      <w:r w:rsidRPr="00CA5BFB">
        <w:rPr>
          <w:rFonts w:ascii="Verdana" w:hAnsi="Verdana" w:cs="Arial"/>
          <w:sz w:val="20"/>
          <w:szCs w:val="20"/>
          <w:lang w:val="fr-FR"/>
        </w:rPr>
        <w:t xml:space="preserve"> des déchets de pneus et des déchets électroniques au niveau de l'AIODIS ainsi qu'au niveau </w:t>
      </w:r>
      <w:r w:rsidR="00F22555">
        <w:rPr>
          <w:rFonts w:ascii="Verdana" w:hAnsi="Verdana" w:cs="Arial"/>
          <w:sz w:val="20"/>
          <w:szCs w:val="20"/>
          <w:lang w:val="fr-FR"/>
        </w:rPr>
        <w:t xml:space="preserve">du continent </w:t>
      </w:r>
      <w:r w:rsidRPr="00CA5BFB">
        <w:rPr>
          <w:rFonts w:ascii="Verdana" w:hAnsi="Verdana" w:cs="Arial"/>
          <w:sz w:val="20"/>
          <w:szCs w:val="20"/>
          <w:lang w:val="fr-FR"/>
        </w:rPr>
        <w:t>africain</w:t>
      </w:r>
      <w:r w:rsidR="00F22555">
        <w:rPr>
          <w:rFonts w:ascii="Verdana" w:hAnsi="Verdana" w:cs="Arial"/>
          <w:sz w:val="20"/>
          <w:szCs w:val="20"/>
          <w:lang w:val="fr-FR"/>
        </w:rPr>
        <w:t xml:space="preserve">. </w:t>
      </w:r>
      <w:r w:rsidR="00991AA3">
        <w:rPr>
          <w:rFonts w:ascii="Verdana" w:hAnsi="Verdana" w:cs="Arial"/>
          <w:sz w:val="20"/>
          <w:szCs w:val="20"/>
          <w:lang w:val="fr-FR"/>
        </w:rPr>
        <w:t>Ces sujets et les décisions ministérielles qui seront prises constitueront</w:t>
      </w:r>
      <w:r w:rsidR="00F22555">
        <w:rPr>
          <w:rFonts w:ascii="Verdana" w:hAnsi="Verdana" w:cs="Arial"/>
          <w:sz w:val="20"/>
          <w:szCs w:val="20"/>
          <w:lang w:val="fr-FR"/>
        </w:rPr>
        <w:t xml:space="preserve"> le socle du prochain programme intégré régional en économie bleue pour les </w:t>
      </w:r>
      <w:r w:rsidR="00991AA3">
        <w:rPr>
          <w:rFonts w:ascii="Verdana" w:hAnsi="Verdana" w:cs="Arial"/>
          <w:sz w:val="20"/>
          <w:szCs w:val="20"/>
          <w:lang w:val="fr-FR"/>
        </w:rPr>
        <w:t>E</w:t>
      </w:r>
      <w:r w:rsidR="00F22555">
        <w:rPr>
          <w:rFonts w:ascii="Verdana" w:hAnsi="Verdana" w:cs="Arial"/>
          <w:sz w:val="20"/>
          <w:szCs w:val="20"/>
          <w:lang w:val="fr-FR"/>
        </w:rPr>
        <w:t>tats insulaires de l’Afrique, qui sera défini avec les pays et présenté aux partenaires techniques et financiers.</w:t>
      </w:r>
    </w:p>
    <w:p w14:paraId="77870FC2" w14:textId="77777777" w:rsidR="00F22555" w:rsidRPr="001722B9" w:rsidRDefault="00F22555" w:rsidP="003850CA">
      <w:pPr>
        <w:jc w:val="both"/>
        <w:rPr>
          <w:rFonts w:ascii="Verdana" w:hAnsi="Verdana" w:cs="Arial"/>
          <w:sz w:val="20"/>
          <w:szCs w:val="20"/>
          <w:lang w:val="fr-FR"/>
        </w:rPr>
      </w:pPr>
    </w:p>
    <w:p w14:paraId="2E8680E8" w14:textId="77777777" w:rsidR="001722B9" w:rsidRPr="001722B9" w:rsidRDefault="001722B9" w:rsidP="001722B9">
      <w:pPr>
        <w:pStyle w:val="Titrepartie"/>
        <w:rPr>
          <w:sz w:val="22"/>
          <w:szCs w:val="22"/>
        </w:rPr>
      </w:pPr>
      <w:r w:rsidRPr="001722B9">
        <w:rPr>
          <w:sz w:val="22"/>
          <w:szCs w:val="22"/>
        </w:rPr>
        <w:t>Proposition de décision</w:t>
      </w:r>
    </w:p>
    <w:p w14:paraId="59B0EA74" w14:textId="77777777" w:rsidR="001722B9" w:rsidRPr="001722B9" w:rsidRDefault="001722B9" w:rsidP="001722B9">
      <w:pPr>
        <w:pStyle w:val="Paragraphe"/>
      </w:pPr>
      <w:r w:rsidRPr="001722B9">
        <w:t>Le Comité des OPL recommande au Conseil des ministres de :</w:t>
      </w:r>
    </w:p>
    <w:p w14:paraId="6F7BF1A7" w14:textId="62C0AA75" w:rsidR="00047CA0" w:rsidRDefault="00047CA0" w:rsidP="009E6B56">
      <w:pPr>
        <w:pStyle w:val="Paragraphedeliste"/>
        <w:numPr>
          <w:ilvl w:val="0"/>
          <w:numId w:val="5"/>
        </w:numPr>
        <w:spacing w:after="160"/>
        <w:jc w:val="both"/>
        <w:rPr>
          <w:rFonts w:ascii="Verdana" w:hAnsi="Verdana" w:cs="Calibri"/>
          <w:sz w:val="20"/>
          <w:szCs w:val="20"/>
          <w:lang w:val="fr-FR"/>
        </w:rPr>
      </w:pPr>
      <w:r>
        <w:rPr>
          <w:rFonts w:ascii="Verdana" w:hAnsi="Verdana" w:cs="Calibri"/>
          <w:sz w:val="20"/>
          <w:szCs w:val="20"/>
          <w:lang w:val="fr-FR"/>
        </w:rPr>
        <w:t xml:space="preserve">Mandater le </w:t>
      </w:r>
      <w:r w:rsidRPr="00D92EAE">
        <w:rPr>
          <w:rFonts w:ascii="Verdana" w:hAnsi="Verdana" w:cs="Calibri"/>
          <w:sz w:val="20"/>
          <w:szCs w:val="20"/>
          <w:lang w:val="fr-FR"/>
        </w:rPr>
        <w:t xml:space="preserve">Secrétariat </w:t>
      </w:r>
      <w:r w:rsidR="000361D3">
        <w:rPr>
          <w:rFonts w:ascii="Verdana" w:hAnsi="Verdana" w:cs="Calibri"/>
          <w:sz w:val="20"/>
          <w:szCs w:val="20"/>
          <w:lang w:val="fr-FR"/>
        </w:rPr>
        <w:t>g</w:t>
      </w:r>
      <w:r w:rsidRPr="00D92EAE">
        <w:rPr>
          <w:rFonts w:ascii="Verdana" w:hAnsi="Verdana" w:cs="Calibri"/>
          <w:sz w:val="20"/>
          <w:szCs w:val="20"/>
          <w:lang w:val="fr-FR"/>
        </w:rPr>
        <w:t>énéral</w:t>
      </w:r>
      <w:r>
        <w:rPr>
          <w:rFonts w:ascii="Verdana" w:hAnsi="Verdana" w:cs="Calibri"/>
          <w:sz w:val="20"/>
          <w:szCs w:val="20"/>
          <w:lang w:val="fr-FR"/>
        </w:rPr>
        <w:t xml:space="preserve"> à mobiliser les ressources pour </w:t>
      </w:r>
      <w:r w:rsidR="002E0726">
        <w:rPr>
          <w:rFonts w:ascii="Verdana" w:hAnsi="Verdana" w:cs="Calibri"/>
          <w:sz w:val="20"/>
          <w:szCs w:val="20"/>
          <w:lang w:val="fr-FR"/>
        </w:rPr>
        <w:t>disposer</w:t>
      </w:r>
      <w:r>
        <w:rPr>
          <w:rFonts w:ascii="Verdana" w:hAnsi="Verdana" w:cs="Calibri"/>
          <w:sz w:val="20"/>
          <w:szCs w:val="20"/>
          <w:lang w:val="fr-FR"/>
        </w:rPr>
        <w:t xml:space="preserve"> d’une stratégie régionale du transport aérien </w:t>
      </w:r>
      <w:r w:rsidR="002E0726">
        <w:rPr>
          <w:rFonts w:ascii="Verdana" w:hAnsi="Verdana" w:cs="Calibri"/>
          <w:sz w:val="20"/>
          <w:szCs w:val="20"/>
          <w:lang w:val="fr-FR"/>
        </w:rPr>
        <w:t>de l’Indianocéanie</w:t>
      </w:r>
      <w:r>
        <w:rPr>
          <w:rFonts w:ascii="Verdana" w:hAnsi="Verdana" w:cs="Calibri"/>
          <w:sz w:val="20"/>
          <w:szCs w:val="20"/>
          <w:lang w:val="fr-FR"/>
        </w:rPr>
        <w:t>,</w:t>
      </w:r>
      <w:r w:rsidR="002E0726">
        <w:rPr>
          <w:rFonts w:ascii="Verdana" w:hAnsi="Verdana" w:cs="Calibri"/>
          <w:sz w:val="20"/>
          <w:szCs w:val="20"/>
          <w:lang w:val="fr-FR"/>
        </w:rPr>
        <w:t xml:space="preserve"> avec une </w:t>
      </w:r>
      <w:r w:rsidR="002E0726" w:rsidRPr="002E0726">
        <w:rPr>
          <w:rFonts w:ascii="Verdana" w:hAnsi="Verdana" w:cs="Calibri"/>
          <w:sz w:val="20"/>
          <w:szCs w:val="20"/>
          <w:lang w:val="fr-FR"/>
        </w:rPr>
        <w:t>vision globale et de</w:t>
      </w:r>
      <w:r w:rsidR="003A380A">
        <w:rPr>
          <w:rFonts w:ascii="Verdana" w:hAnsi="Verdana" w:cs="Calibri"/>
          <w:sz w:val="20"/>
          <w:szCs w:val="20"/>
          <w:lang w:val="fr-FR"/>
        </w:rPr>
        <w:t>s</w:t>
      </w:r>
      <w:r w:rsidR="002E0726" w:rsidRPr="00283ECA">
        <w:rPr>
          <w:lang w:val="fr-FR"/>
        </w:rPr>
        <w:t xml:space="preserve"> </w:t>
      </w:r>
      <w:r w:rsidR="002E0726" w:rsidRPr="002E0726">
        <w:rPr>
          <w:rFonts w:ascii="Verdana" w:hAnsi="Verdana" w:cs="Calibri"/>
          <w:sz w:val="20"/>
          <w:szCs w:val="20"/>
          <w:lang w:val="fr-FR"/>
        </w:rPr>
        <w:t>perspective</w:t>
      </w:r>
      <w:r w:rsidR="003A380A">
        <w:rPr>
          <w:rFonts w:ascii="Verdana" w:hAnsi="Verdana" w:cs="Calibri"/>
          <w:sz w:val="20"/>
          <w:szCs w:val="20"/>
          <w:lang w:val="fr-FR"/>
        </w:rPr>
        <w:t>s</w:t>
      </w:r>
      <w:r w:rsidR="002E0726" w:rsidRPr="002E0726">
        <w:rPr>
          <w:rFonts w:ascii="Verdana" w:hAnsi="Verdana" w:cs="Calibri"/>
          <w:sz w:val="20"/>
          <w:szCs w:val="20"/>
          <w:lang w:val="fr-FR"/>
        </w:rPr>
        <w:t xml:space="preserve"> partagée</w:t>
      </w:r>
      <w:r w:rsidR="003A380A">
        <w:rPr>
          <w:rFonts w:ascii="Verdana" w:hAnsi="Verdana" w:cs="Calibri"/>
          <w:sz w:val="20"/>
          <w:szCs w:val="20"/>
          <w:lang w:val="fr-FR"/>
        </w:rPr>
        <w:t>s</w:t>
      </w:r>
      <w:r w:rsidR="002E0726">
        <w:rPr>
          <w:rFonts w:ascii="Verdana" w:hAnsi="Verdana" w:cs="Calibri"/>
          <w:sz w:val="20"/>
          <w:szCs w:val="20"/>
          <w:lang w:val="fr-FR"/>
        </w:rPr>
        <w:t xml:space="preserve"> </w:t>
      </w:r>
      <w:r>
        <w:rPr>
          <w:rFonts w:ascii="Verdana" w:hAnsi="Verdana" w:cs="Calibri"/>
          <w:sz w:val="20"/>
          <w:szCs w:val="20"/>
          <w:lang w:val="fr-FR"/>
        </w:rPr>
        <w:t xml:space="preserve">d’amélioration de la connectivité aérienne. </w:t>
      </w:r>
    </w:p>
    <w:p w14:paraId="704D9694" w14:textId="2FF7FE38" w:rsidR="009E6B56" w:rsidRDefault="00F87796" w:rsidP="009E6B56">
      <w:pPr>
        <w:pStyle w:val="Paragraphedeliste"/>
        <w:numPr>
          <w:ilvl w:val="0"/>
          <w:numId w:val="5"/>
        </w:numPr>
        <w:spacing w:after="160" w:line="276" w:lineRule="auto"/>
        <w:jc w:val="both"/>
        <w:rPr>
          <w:rFonts w:ascii="Verdana" w:hAnsi="Verdana" w:cs="Calibri"/>
          <w:sz w:val="20"/>
          <w:szCs w:val="20"/>
          <w:lang w:val="fr-FR"/>
        </w:rPr>
      </w:pPr>
      <w:r w:rsidRPr="00F87796">
        <w:rPr>
          <w:rFonts w:ascii="Verdana" w:hAnsi="Verdana" w:cs="Calibri"/>
          <w:sz w:val="20"/>
          <w:szCs w:val="20"/>
          <w:lang w:val="fr-FR"/>
        </w:rPr>
        <w:t>Valider les projets de cadre de coopération avec COMESA</w:t>
      </w:r>
      <w:r w:rsidR="00DA4F24">
        <w:rPr>
          <w:rFonts w:ascii="Verdana" w:hAnsi="Verdana" w:cs="Calibri"/>
          <w:sz w:val="20"/>
          <w:szCs w:val="20"/>
          <w:lang w:val="fr-FR"/>
        </w:rPr>
        <w:t>,</w:t>
      </w:r>
      <w:r w:rsidR="002A121C">
        <w:rPr>
          <w:rFonts w:ascii="Verdana" w:hAnsi="Verdana" w:cs="Calibri"/>
          <w:sz w:val="20"/>
          <w:szCs w:val="20"/>
          <w:lang w:val="fr-FR"/>
        </w:rPr>
        <w:t xml:space="preserve"> l’Organisation internationale du travail (OIT),</w:t>
      </w:r>
      <w:r w:rsidR="00DA4F24">
        <w:rPr>
          <w:rFonts w:ascii="Verdana" w:hAnsi="Verdana" w:cs="Calibri"/>
          <w:sz w:val="20"/>
          <w:szCs w:val="20"/>
          <w:lang w:val="fr-FR"/>
        </w:rPr>
        <w:t xml:space="preserve"> </w:t>
      </w:r>
      <w:r w:rsidR="003378EF" w:rsidRPr="009E6B56">
        <w:rPr>
          <w:rFonts w:ascii="Verdana" w:hAnsi="Verdana" w:cs="Calibri"/>
          <w:sz w:val="20"/>
          <w:szCs w:val="20"/>
          <w:lang w:val="fr-FR"/>
        </w:rPr>
        <w:t xml:space="preserve">Cap Business océan Indien (CBOI) et l’Association des ports des îles de l’océan Indien (APIOI) </w:t>
      </w:r>
      <w:r w:rsidRPr="00F87796">
        <w:rPr>
          <w:rFonts w:ascii="Verdana" w:hAnsi="Verdana" w:cs="Calibri"/>
          <w:sz w:val="20"/>
          <w:szCs w:val="20"/>
          <w:lang w:val="fr-FR"/>
        </w:rPr>
        <w:t>et autorise</w:t>
      </w:r>
      <w:r w:rsidR="003378EF">
        <w:rPr>
          <w:rFonts w:ascii="Verdana" w:hAnsi="Verdana" w:cs="Calibri"/>
          <w:sz w:val="20"/>
          <w:szCs w:val="20"/>
          <w:lang w:val="fr-FR"/>
        </w:rPr>
        <w:t>r</w:t>
      </w:r>
      <w:r w:rsidRPr="00F87796">
        <w:rPr>
          <w:rFonts w:ascii="Verdana" w:hAnsi="Verdana" w:cs="Calibri"/>
          <w:sz w:val="20"/>
          <w:szCs w:val="20"/>
          <w:lang w:val="fr-FR"/>
        </w:rPr>
        <w:t xml:space="preserve"> le Secrétaire </w:t>
      </w:r>
      <w:r w:rsidR="00DA4F24">
        <w:rPr>
          <w:rFonts w:ascii="Verdana" w:hAnsi="Verdana" w:cs="Calibri"/>
          <w:sz w:val="20"/>
          <w:szCs w:val="20"/>
          <w:lang w:val="fr-FR"/>
        </w:rPr>
        <w:t>g</w:t>
      </w:r>
      <w:r w:rsidRPr="00F87796">
        <w:rPr>
          <w:rFonts w:ascii="Verdana" w:hAnsi="Verdana" w:cs="Calibri"/>
          <w:sz w:val="20"/>
          <w:szCs w:val="20"/>
          <w:lang w:val="fr-FR"/>
        </w:rPr>
        <w:t xml:space="preserve">énéral à les </w:t>
      </w:r>
      <w:r w:rsidRPr="00F87796">
        <w:rPr>
          <w:rFonts w:ascii="Verdana" w:hAnsi="Verdana" w:cs="Calibri"/>
          <w:sz w:val="20"/>
          <w:szCs w:val="20"/>
          <w:lang w:val="fr-FR"/>
        </w:rPr>
        <w:lastRenderedPageBreak/>
        <w:t>signer</w:t>
      </w:r>
      <w:r w:rsidR="009E6B56">
        <w:rPr>
          <w:rFonts w:ascii="Verdana" w:hAnsi="Verdana" w:cs="Calibri"/>
          <w:sz w:val="20"/>
          <w:szCs w:val="20"/>
          <w:lang w:val="fr-FR"/>
        </w:rPr>
        <w:t xml:space="preserve">, </w:t>
      </w:r>
      <w:r w:rsidR="003378EF">
        <w:rPr>
          <w:rFonts w:ascii="Verdana" w:hAnsi="Verdana" w:cs="Calibri"/>
          <w:sz w:val="20"/>
          <w:szCs w:val="20"/>
          <w:lang w:val="fr-FR"/>
        </w:rPr>
        <w:t>c</w:t>
      </w:r>
      <w:r w:rsidR="009E6B56" w:rsidRPr="009E6B56">
        <w:rPr>
          <w:rFonts w:ascii="Verdana" w:hAnsi="Verdana" w:cs="Calibri"/>
          <w:sz w:val="20"/>
          <w:szCs w:val="20"/>
          <w:lang w:val="fr-FR"/>
        </w:rPr>
        <w:t xml:space="preserve">onformément à la décision 3d) de la Session extraordinaire du Conseil des ministres du 22 décembre 2022. </w:t>
      </w:r>
    </w:p>
    <w:p w14:paraId="5E98B748" w14:textId="70F4B830" w:rsidR="001722B9" w:rsidRPr="001722B9" w:rsidRDefault="001722B9" w:rsidP="001722B9">
      <w:pPr>
        <w:pStyle w:val="Paragraphedeliste"/>
        <w:numPr>
          <w:ilvl w:val="0"/>
          <w:numId w:val="5"/>
        </w:numPr>
        <w:spacing w:after="160" w:line="276" w:lineRule="auto"/>
        <w:jc w:val="both"/>
        <w:rPr>
          <w:rFonts w:ascii="Verdana" w:hAnsi="Verdana" w:cs="Arial"/>
          <w:sz w:val="20"/>
          <w:szCs w:val="20"/>
          <w:lang w:val="fr-FR"/>
        </w:rPr>
      </w:pPr>
      <w:r w:rsidRPr="00283ECA">
        <w:rPr>
          <w:rFonts w:ascii="Verdana" w:hAnsi="Verdana" w:cs="Calibri"/>
          <w:sz w:val="20"/>
          <w:szCs w:val="20"/>
          <w:lang w:val="fr-FR"/>
        </w:rPr>
        <w:t xml:space="preserve">Demander à la présidence de la COI, en collaboration avec le Secrétariat </w:t>
      </w:r>
      <w:r w:rsidR="00003DD1">
        <w:rPr>
          <w:rFonts w:ascii="Verdana" w:hAnsi="Verdana" w:cs="Calibri"/>
          <w:sz w:val="20"/>
          <w:szCs w:val="20"/>
          <w:lang w:val="fr-FR"/>
        </w:rPr>
        <w:t>g</w:t>
      </w:r>
      <w:r w:rsidRPr="00283ECA">
        <w:rPr>
          <w:rFonts w:ascii="Verdana" w:hAnsi="Verdana" w:cs="Calibri"/>
          <w:sz w:val="20"/>
          <w:szCs w:val="20"/>
          <w:lang w:val="fr-FR"/>
        </w:rPr>
        <w:t>énéral</w:t>
      </w:r>
      <w:r w:rsidR="00003DD1">
        <w:rPr>
          <w:rFonts w:ascii="Verdana" w:hAnsi="Verdana" w:cs="Calibri"/>
          <w:sz w:val="20"/>
          <w:szCs w:val="20"/>
          <w:lang w:val="fr-FR"/>
        </w:rPr>
        <w:t> :</w:t>
      </w:r>
    </w:p>
    <w:p w14:paraId="2C8DD6E6" w14:textId="656B04B2" w:rsidR="001722B9" w:rsidRDefault="001722B9" w:rsidP="004A113C">
      <w:pPr>
        <w:pStyle w:val="Paragraphedeliste"/>
        <w:numPr>
          <w:ilvl w:val="1"/>
          <w:numId w:val="5"/>
        </w:numPr>
        <w:spacing w:after="160"/>
        <w:jc w:val="both"/>
        <w:rPr>
          <w:rFonts w:ascii="Verdana" w:hAnsi="Verdana" w:cs="Arial"/>
          <w:sz w:val="20"/>
          <w:szCs w:val="20"/>
          <w:lang w:val="fr-FR"/>
        </w:rPr>
      </w:pPr>
      <w:r w:rsidRPr="00283ECA">
        <w:rPr>
          <w:rFonts w:ascii="Verdana" w:hAnsi="Verdana" w:cs="Calibri"/>
          <w:sz w:val="20"/>
          <w:szCs w:val="20"/>
          <w:lang w:val="fr-FR"/>
        </w:rPr>
        <w:t>De</w:t>
      </w:r>
      <w:r w:rsidR="002F561C" w:rsidRPr="001722B9">
        <w:rPr>
          <w:rFonts w:ascii="Verdana" w:hAnsi="Verdana" w:cs="Arial"/>
          <w:sz w:val="20"/>
          <w:szCs w:val="20"/>
          <w:lang w:val="fr-FR"/>
        </w:rPr>
        <w:t xml:space="preserve"> créer </w:t>
      </w:r>
      <w:r w:rsidR="002A121C">
        <w:rPr>
          <w:rFonts w:ascii="Verdana" w:hAnsi="Verdana" w:cs="Arial"/>
          <w:sz w:val="20"/>
          <w:szCs w:val="20"/>
          <w:lang w:val="fr-FR"/>
        </w:rPr>
        <w:t>un</w:t>
      </w:r>
      <w:r w:rsidR="002F561C" w:rsidRPr="001722B9">
        <w:rPr>
          <w:rFonts w:ascii="Verdana" w:hAnsi="Verdana" w:cs="Arial"/>
          <w:sz w:val="20"/>
          <w:szCs w:val="20"/>
          <w:lang w:val="fr-FR"/>
        </w:rPr>
        <w:t xml:space="preserve"> </w:t>
      </w:r>
      <w:r w:rsidR="003666C3">
        <w:rPr>
          <w:rFonts w:ascii="Verdana" w:hAnsi="Verdana" w:cs="Arial"/>
          <w:sz w:val="20"/>
          <w:szCs w:val="20"/>
          <w:lang w:val="fr-FR"/>
        </w:rPr>
        <w:t>« </w:t>
      </w:r>
      <w:r w:rsidR="00D05868" w:rsidRPr="001722B9">
        <w:rPr>
          <w:rFonts w:ascii="Verdana" w:hAnsi="Verdana" w:cs="Arial"/>
          <w:sz w:val="20"/>
          <w:szCs w:val="20"/>
          <w:lang w:val="fr-FR"/>
        </w:rPr>
        <w:t xml:space="preserve">comité </w:t>
      </w:r>
      <w:r w:rsidR="003666C3">
        <w:rPr>
          <w:rFonts w:ascii="Verdana" w:hAnsi="Verdana" w:cs="Arial"/>
          <w:sz w:val="20"/>
          <w:szCs w:val="20"/>
          <w:lang w:val="fr-FR"/>
        </w:rPr>
        <w:t xml:space="preserve">des </w:t>
      </w:r>
      <w:r w:rsidR="00D05868" w:rsidRPr="001722B9">
        <w:rPr>
          <w:rFonts w:ascii="Verdana" w:hAnsi="Verdana" w:cs="Arial"/>
          <w:sz w:val="20"/>
          <w:szCs w:val="20"/>
          <w:lang w:val="fr-FR"/>
        </w:rPr>
        <w:t>douan</w:t>
      </w:r>
      <w:r w:rsidR="003666C3">
        <w:rPr>
          <w:rFonts w:ascii="Verdana" w:hAnsi="Verdana" w:cs="Arial"/>
          <w:sz w:val="20"/>
          <w:szCs w:val="20"/>
          <w:lang w:val="fr-FR"/>
        </w:rPr>
        <w:t>iers »</w:t>
      </w:r>
      <w:r w:rsidR="00BD368E" w:rsidRPr="001722B9">
        <w:rPr>
          <w:rFonts w:ascii="Verdana" w:hAnsi="Verdana" w:cs="Arial"/>
          <w:sz w:val="20"/>
          <w:szCs w:val="20"/>
          <w:lang w:val="fr-FR"/>
        </w:rPr>
        <w:t xml:space="preserve"> au sein de la COI, qui réunirait les 5 Etats</w:t>
      </w:r>
      <w:r w:rsidR="00BF6EF0">
        <w:rPr>
          <w:rFonts w:ascii="Verdana" w:hAnsi="Verdana" w:cs="Arial"/>
          <w:sz w:val="20"/>
          <w:szCs w:val="20"/>
          <w:lang w:val="fr-FR"/>
        </w:rPr>
        <w:t xml:space="preserve"> </w:t>
      </w:r>
      <w:r w:rsidR="00BD368E" w:rsidRPr="001722B9">
        <w:rPr>
          <w:rFonts w:ascii="Verdana" w:hAnsi="Verdana" w:cs="Arial"/>
          <w:sz w:val="20"/>
          <w:szCs w:val="20"/>
          <w:lang w:val="fr-FR"/>
        </w:rPr>
        <w:t xml:space="preserve">membres de la COI. </w:t>
      </w:r>
    </w:p>
    <w:p w14:paraId="6590968E" w14:textId="55A0164D" w:rsidR="004A41EE" w:rsidRPr="004A113C" w:rsidRDefault="004A41EE" w:rsidP="004A113C">
      <w:pPr>
        <w:pStyle w:val="Paragraphedeliste"/>
        <w:numPr>
          <w:ilvl w:val="1"/>
          <w:numId w:val="5"/>
        </w:numPr>
        <w:spacing w:after="160" w:line="276" w:lineRule="auto"/>
        <w:jc w:val="both"/>
        <w:rPr>
          <w:rFonts w:ascii="Verdana" w:hAnsi="Verdana" w:cs="Calibri"/>
          <w:sz w:val="20"/>
          <w:szCs w:val="20"/>
          <w:lang w:val="fr-FR"/>
        </w:rPr>
      </w:pPr>
      <w:r w:rsidRPr="004A113C">
        <w:rPr>
          <w:rFonts w:ascii="Verdana" w:hAnsi="Verdana" w:cs="Calibri"/>
          <w:sz w:val="20"/>
          <w:szCs w:val="20"/>
          <w:lang w:val="fr-FR"/>
        </w:rPr>
        <w:t>D'apporter les appuis nécessaires à ce comité en termes de secrétariat et de suivi des activités communes et de mobiliser les ressources nécessaires en tant que de besoin</w:t>
      </w:r>
      <w:r>
        <w:rPr>
          <w:rFonts w:ascii="Verdana" w:hAnsi="Verdana" w:cs="Calibri"/>
          <w:sz w:val="20"/>
          <w:szCs w:val="20"/>
          <w:lang w:val="fr-FR"/>
        </w:rPr>
        <w:t>.</w:t>
      </w:r>
    </w:p>
    <w:p w14:paraId="1A85DC90" w14:textId="4FD3B0BC" w:rsidR="00F22555" w:rsidRPr="00267C04" w:rsidRDefault="00600DF0" w:rsidP="00F22555">
      <w:pPr>
        <w:pStyle w:val="Paragraphedeliste"/>
        <w:numPr>
          <w:ilvl w:val="0"/>
          <w:numId w:val="5"/>
        </w:numPr>
        <w:spacing w:after="160" w:line="276" w:lineRule="auto"/>
        <w:jc w:val="both"/>
        <w:rPr>
          <w:rFonts w:ascii="Verdana" w:eastAsiaTheme="minorHAnsi" w:hAnsi="Verdana" w:cs="Arial"/>
          <w:sz w:val="20"/>
          <w:szCs w:val="20"/>
          <w:lang w:val="fr-FR"/>
        </w:rPr>
      </w:pPr>
      <w:r>
        <w:rPr>
          <w:rFonts w:ascii="Verdana" w:hAnsi="Verdana" w:cs="Arial"/>
          <w:sz w:val="20"/>
          <w:szCs w:val="20"/>
          <w:lang w:val="fr-FR"/>
        </w:rPr>
        <w:t xml:space="preserve">Prendre note de l’organisation d’une </w:t>
      </w:r>
      <w:r w:rsidR="00F22555">
        <w:rPr>
          <w:rFonts w:ascii="Verdana" w:hAnsi="Verdana" w:cs="Arial"/>
          <w:sz w:val="20"/>
          <w:szCs w:val="20"/>
          <w:lang w:val="fr-FR"/>
        </w:rPr>
        <w:t xml:space="preserve">conférence ministérielle </w:t>
      </w:r>
      <w:r>
        <w:rPr>
          <w:rFonts w:ascii="Verdana" w:hAnsi="Verdana" w:cs="Arial"/>
          <w:sz w:val="20"/>
          <w:szCs w:val="20"/>
          <w:lang w:val="fr-FR"/>
        </w:rPr>
        <w:t>sur l’économie bleue et circulaire à la fin du mois d’août 2023 aux Comores</w:t>
      </w:r>
      <w:r w:rsidR="004E5DB2">
        <w:rPr>
          <w:rFonts w:ascii="Verdana" w:hAnsi="Verdana" w:cs="Arial"/>
          <w:sz w:val="20"/>
          <w:szCs w:val="20"/>
          <w:lang w:val="fr-FR"/>
        </w:rPr>
        <w:t xml:space="preserve">, </w:t>
      </w:r>
      <w:r>
        <w:rPr>
          <w:rFonts w:ascii="Verdana" w:hAnsi="Verdana" w:cs="Arial"/>
          <w:sz w:val="20"/>
          <w:szCs w:val="20"/>
          <w:lang w:val="fr-FR"/>
        </w:rPr>
        <w:t>de</w:t>
      </w:r>
      <w:r w:rsidR="00F50AC7">
        <w:rPr>
          <w:rFonts w:ascii="Verdana" w:hAnsi="Verdana" w:cs="Arial"/>
          <w:sz w:val="20"/>
          <w:szCs w:val="20"/>
          <w:lang w:val="fr-FR"/>
        </w:rPr>
        <w:t xml:space="preserve"> soumettre aux prochaines instances les conclusions </w:t>
      </w:r>
      <w:r w:rsidR="004E5DB2">
        <w:rPr>
          <w:rFonts w:ascii="Verdana" w:hAnsi="Verdana" w:cs="Arial"/>
          <w:sz w:val="20"/>
          <w:szCs w:val="20"/>
          <w:lang w:val="fr-FR"/>
        </w:rPr>
        <w:t>et de mobiliser</w:t>
      </w:r>
      <w:r w:rsidR="00251E1A">
        <w:rPr>
          <w:rFonts w:ascii="Verdana" w:hAnsi="Verdana" w:cs="Arial"/>
          <w:sz w:val="20"/>
          <w:szCs w:val="20"/>
          <w:lang w:val="fr-FR"/>
        </w:rPr>
        <w:t>, sur cette base,</w:t>
      </w:r>
      <w:r w:rsidR="004E5DB2">
        <w:rPr>
          <w:rFonts w:ascii="Verdana" w:hAnsi="Verdana" w:cs="Arial"/>
          <w:sz w:val="20"/>
          <w:szCs w:val="20"/>
          <w:lang w:val="fr-FR"/>
        </w:rPr>
        <w:t xml:space="preserve"> les partenaires au développement pour l’élaboration d’un projet / programme</w:t>
      </w:r>
      <w:r w:rsidR="00267C04">
        <w:rPr>
          <w:rFonts w:ascii="Verdana" w:hAnsi="Verdana" w:cs="Arial"/>
          <w:sz w:val="20"/>
          <w:szCs w:val="20"/>
          <w:lang w:val="fr-FR"/>
        </w:rPr>
        <w:t xml:space="preserve"> pour le développement de l’économie bleue / circulaire. </w:t>
      </w:r>
    </w:p>
    <w:p w14:paraId="4D780F86" w14:textId="77777777" w:rsidR="00267C04" w:rsidRPr="001722B9" w:rsidRDefault="00267C04" w:rsidP="00267C04">
      <w:pPr>
        <w:pStyle w:val="Paragraphedeliste"/>
        <w:spacing w:after="160" w:line="276" w:lineRule="auto"/>
        <w:jc w:val="both"/>
        <w:rPr>
          <w:rFonts w:ascii="Verdana" w:eastAsiaTheme="minorHAnsi" w:hAnsi="Verdana" w:cs="Arial"/>
          <w:sz w:val="20"/>
          <w:szCs w:val="20"/>
          <w:lang w:val="fr-FR"/>
        </w:rPr>
      </w:pPr>
    </w:p>
    <w:p w14:paraId="770BD081" w14:textId="370EE565" w:rsidR="001722B9" w:rsidRDefault="001722B9" w:rsidP="001722B9">
      <w:pPr>
        <w:pStyle w:val="Titrepartie"/>
        <w:rPr>
          <w:sz w:val="22"/>
          <w:szCs w:val="22"/>
        </w:rPr>
      </w:pPr>
      <w:r w:rsidRPr="001722B9">
        <w:rPr>
          <w:sz w:val="22"/>
          <w:szCs w:val="22"/>
        </w:rPr>
        <w:t>Annexe</w:t>
      </w:r>
      <w:r w:rsidR="00267C04">
        <w:rPr>
          <w:sz w:val="22"/>
          <w:szCs w:val="22"/>
        </w:rPr>
        <w:t>s</w:t>
      </w:r>
      <w:r w:rsidRPr="001722B9">
        <w:rPr>
          <w:sz w:val="22"/>
          <w:szCs w:val="22"/>
        </w:rPr>
        <w:t> </w:t>
      </w:r>
    </w:p>
    <w:p w14:paraId="1C3224A8" w14:textId="10F32C45" w:rsidR="00000B34" w:rsidRDefault="00000B34" w:rsidP="00EB34B7">
      <w:pPr>
        <w:pStyle w:val="Paragraphe"/>
        <w:numPr>
          <w:ilvl w:val="0"/>
          <w:numId w:val="14"/>
        </w:numPr>
      </w:pPr>
      <w:r>
        <w:t xml:space="preserve">Annexe </w:t>
      </w:r>
      <w:r w:rsidR="009E6B56">
        <w:t>1</w:t>
      </w:r>
      <w:r>
        <w:t> : Proposition de cadre de coopération COMESA-COI</w:t>
      </w:r>
    </w:p>
    <w:p w14:paraId="2F390A49" w14:textId="0BC70D3F" w:rsidR="00000B34" w:rsidRDefault="00000B34" w:rsidP="00EB34B7">
      <w:pPr>
        <w:pStyle w:val="Paragraphe"/>
        <w:numPr>
          <w:ilvl w:val="0"/>
          <w:numId w:val="14"/>
        </w:numPr>
      </w:pPr>
      <w:r>
        <w:t xml:space="preserve">Annexe </w:t>
      </w:r>
      <w:r w:rsidR="009E6B56">
        <w:t>2</w:t>
      </w:r>
      <w:r>
        <w:t> : Proposition de cadre de coopération APIOI-COI</w:t>
      </w:r>
    </w:p>
    <w:p w14:paraId="1BEA29BF" w14:textId="2063415A" w:rsidR="00000B34" w:rsidRDefault="00000B34" w:rsidP="00EB34B7">
      <w:pPr>
        <w:pStyle w:val="Paragraphe"/>
        <w:numPr>
          <w:ilvl w:val="0"/>
          <w:numId w:val="14"/>
        </w:numPr>
      </w:pPr>
      <w:r>
        <w:t xml:space="preserve">Annexe </w:t>
      </w:r>
      <w:r w:rsidR="009E6B56">
        <w:t>3</w:t>
      </w:r>
      <w:r>
        <w:t> : Proposition de cadre de coopération CBOI-COI</w:t>
      </w:r>
    </w:p>
    <w:p w14:paraId="3F066E94" w14:textId="53CE3FE4" w:rsidR="009E6B56" w:rsidRDefault="009E6B56" w:rsidP="00EB34B7">
      <w:pPr>
        <w:pStyle w:val="Paragraphe"/>
        <w:numPr>
          <w:ilvl w:val="0"/>
          <w:numId w:val="14"/>
        </w:numPr>
      </w:pPr>
      <w:r>
        <w:t>Annexe 4 : Résolution des Nations Unies sur le statut d’observateur de la COI</w:t>
      </w:r>
    </w:p>
    <w:p w14:paraId="2A75F5AE" w14:textId="09E580E0" w:rsidR="009E6B56" w:rsidRDefault="009E6B56" w:rsidP="00EB34B7">
      <w:pPr>
        <w:pStyle w:val="Paragraphe"/>
        <w:numPr>
          <w:ilvl w:val="0"/>
          <w:numId w:val="14"/>
        </w:numPr>
      </w:pPr>
      <w:r>
        <w:t>Annexe 5 : Proposition de cadre de coopération BIT-COI</w:t>
      </w:r>
    </w:p>
    <w:p w14:paraId="2149B230" w14:textId="43BFAA55" w:rsidR="009E6B56" w:rsidRPr="00D43E30" w:rsidRDefault="009E6B56" w:rsidP="009E6B56">
      <w:pPr>
        <w:pStyle w:val="Paragraphe"/>
        <w:numPr>
          <w:ilvl w:val="0"/>
          <w:numId w:val="14"/>
        </w:numPr>
      </w:pPr>
      <w:r>
        <w:t xml:space="preserve">Annexe 6 : Mail de </w:t>
      </w:r>
      <w:r w:rsidR="001267FC">
        <w:t>l’OPL</w:t>
      </w:r>
      <w:r>
        <w:t xml:space="preserve"> de Maurice pour la présidence malgache de la COI</w:t>
      </w:r>
      <w:r w:rsidR="001267FC">
        <w:t xml:space="preserve"> </w:t>
      </w:r>
      <w:r>
        <w:t xml:space="preserve">sur </w:t>
      </w:r>
      <w:r w:rsidRPr="00D43E30">
        <w:t>« l</w:t>
      </w:r>
      <w:r>
        <w:t>a c</w:t>
      </w:r>
      <w:r w:rsidRPr="00D43E30">
        <w:t>ollaboration entre nos autorités douanières ».</w:t>
      </w:r>
    </w:p>
    <w:p w14:paraId="436DC04B" w14:textId="6ED5B745" w:rsidR="009E6B56" w:rsidRDefault="009E6B56" w:rsidP="009E6B56">
      <w:pPr>
        <w:pStyle w:val="Paragraphe"/>
        <w:numPr>
          <w:ilvl w:val="0"/>
          <w:numId w:val="14"/>
        </w:numPr>
      </w:pPr>
      <w:r w:rsidRPr="00D43E30">
        <w:t xml:space="preserve">Annexe </w:t>
      </w:r>
      <w:r>
        <w:t xml:space="preserve">7 </w:t>
      </w:r>
      <w:r w:rsidRPr="00D43E30">
        <w:t xml:space="preserve">: PV de la réunion de coopération internationale des autorités douanières de l’océan Indien, incluant la lettre d’intention signées par les directions générales des douanes des 5 Etats-membres de la COI. </w:t>
      </w:r>
    </w:p>
    <w:p w14:paraId="17E4B4AD" w14:textId="05BF09CC" w:rsidR="00F22555" w:rsidRDefault="00F22555" w:rsidP="009E6B56">
      <w:pPr>
        <w:pStyle w:val="Paragraphe"/>
        <w:numPr>
          <w:ilvl w:val="0"/>
          <w:numId w:val="14"/>
        </w:numPr>
      </w:pPr>
      <w:r>
        <w:t>Annexe 8 : Proposition de note de cadrage de la conférence ministérielle AIODIS 2023.</w:t>
      </w:r>
    </w:p>
    <w:p w14:paraId="08A0F0FC" w14:textId="77777777" w:rsidR="009E6B56" w:rsidRDefault="009E6B56" w:rsidP="009E6B56">
      <w:pPr>
        <w:pStyle w:val="Paragraphe"/>
        <w:ind w:left="360"/>
      </w:pPr>
    </w:p>
    <w:sectPr w:rsidR="009E6B5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2639" w14:textId="77777777" w:rsidR="00A5052B" w:rsidRDefault="00A5052B" w:rsidP="00B05F15">
      <w:pPr>
        <w:spacing w:before="0" w:after="0" w:line="240" w:lineRule="auto"/>
      </w:pPr>
      <w:r>
        <w:separator/>
      </w:r>
    </w:p>
  </w:endnote>
  <w:endnote w:type="continuationSeparator" w:id="0">
    <w:p w14:paraId="780C76FD" w14:textId="77777777" w:rsidR="00A5052B" w:rsidRDefault="00A5052B" w:rsidP="00B05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2C524996" w14:textId="77777777" w:rsidR="00BD368E" w:rsidRDefault="00BD368E" w:rsidP="00BD368E">
        <w:pPr>
          <w:pStyle w:val="Pieddepage"/>
          <w:pBdr>
            <w:top w:val="single" w:sz="4" w:space="1" w:color="ED7D31" w:themeColor="accent2"/>
          </w:pBdr>
          <w:jc w:val="right"/>
        </w:pPr>
        <w:r>
          <w:fldChar w:fldCharType="begin"/>
        </w:r>
        <w:r>
          <w:instrText>PAGE   \* MERGEFORMAT</w:instrText>
        </w:r>
        <w:r>
          <w:fldChar w:fldCharType="separate"/>
        </w:r>
        <w:r>
          <w:t>1</w:t>
        </w:r>
        <w:r>
          <w:fldChar w:fldCharType="end"/>
        </w:r>
      </w:p>
    </w:sdtContent>
  </w:sdt>
  <w:p w14:paraId="3376A5AD" w14:textId="77777777" w:rsidR="00BD368E" w:rsidRDefault="00BD36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392E" w14:textId="77777777" w:rsidR="00A5052B" w:rsidRDefault="00A5052B" w:rsidP="00B05F15">
      <w:pPr>
        <w:spacing w:before="0" w:after="0" w:line="240" w:lineRule="auto"/>
      </w:pPr>
      <w:r>
        <w:separator/>
      </w:r>
    </w:p>
  </w:footnote>
  <w:footnote w:type="continuationSeparator" w:id="0">
    <w:p w14:paraId="23317ABB" w14:textId="77777777" w:rsidR="00A5052B" w:rsidRDefault="00A5052B" w:rsidP="00B05F15">
      <w:pPr>
        <w:spacing w:before="0" w:after="0" w:line="240" w:lineRule="auto"/>
      </w:pPr>
      <w:r>
        <w:continuationSeparator/>
      </w:r>
    </w:p>
  </w:footnote>
  <w:footnote w:id="1">
    <w:p w14:paraId="30E652E2" w14:textId="7DD0CE05" w:rsidR="00D23DA2" w:rsidRPr="00283ECA" w:rsidRDefault="00D23DA2" w:rsidP="00DD613B">
      <w:pPr>
        <w:pStyle w:val="Notedebasdepage"/>
        <w:jc w:val="both"/>
        <w:rPr>
          <w:lang w:val="en-US"/>
        </w:rPr>
      </w:pPr>
      <w:r>
        <w:rPr>
          <w:rStyle w:val="Appelnotedebasdep"/>
        </w:rPr>
        <w:footnoteRef/>
      </w:r>
      <w:r>
        <w:t xml:space="preserve"> COMESA: </w:t>
      </w:r>
      <w:r w:rsidRPr="00D23DA2">
        <w:t>Common Market for Eastern and Southern Africa</w:t>
      </w:r>
    </w:p>
  </w:footnote>
  <w:footnote w:id="2">
    <w:p w14:paraId="1C0434CD" w14:textId="76426891" w:rsidR="002E0726" w:rsidRPr="002E0726" w:rsidRDefault="002E0726" w:rsidP="00DD613B">
      <w:pPr>
        <w:pStyle w:val="Notedebasdepage"/>
        <w:jc w:val="both"/>
        <w:rPr>
          <w:lang w:val="fr-FR"/>
        </w:rPr>
      </w:pPr>
      <w:r>
        <w:rPr>
          <w:rStyle w:val="Appelnotedebasdep"/>
        </w:rPr>
        <w:footnoteRef/>
      </w:r>
      <w:r w:rsidRPr="00283ECA">
        <w:rPr>
          <w:lang w:val="fr-FR"/>
        </w:rPr>
        <w:t xml:space="preserve"> </w:t>
      </w:r>
      <w:r>
        <w:rPr>
          <w:lang w:val="fr-FR"/>
        </w:rPr>
        <w:t xml:space="preserve">Les organisations partenaires : </w:t>
      </w:r>
      <w:r w:rsidR="00DD613B">
        <w:rPr>
          <w:lang w:val="fr-FR"/>
        </w:rPr>
        <w:t>la communauté de développement de l’Afrique australe (</w:t>
      </w:r>
      <w:r>
        <w:rPr>
          <w:lang w:val="fr-FR"/>
        </w:rPr>
        <w:t>SADC</w:t>
      </w:r>
      <w:r w:rsidR="00DD613B">
        <w:rPr>
          <w:lang w:val="fr-FR"/>
        </w:rPr>
        <w:t>)</w:t>
      </w:r>
      <w:r>
        <w:rPr>
          <w:lang w:val="fr-FR"/>
        </w:rPr>
        <w:t xml:space="preserve">, </w:t>
      </w:r>
      <w:r w:rsidR="00DD613B">
        <w:rPr>
          <w:lang w:val="fr-FR"/>
        </w:rPr>
        <w:t>l’autorité intergouvernementale pour le développement (</w:t>
      </w:r>
      <w:r>
        <w:rPr>
          <w:lang w:val="fr-FR"/>
        </w:rPr>
        <w:t>IGAD</w:t>
      </w:r>
      <w:r w:rsidR="00DD613B">
        <w:rPr>
          <w:lang w:val="fr-FR"/>
        </w:rPr>
        <w:t>)</w:t>
      </w:r>
      <w:r>
        <w:rPr>
          <w:lang w:val="fr-FR"/>
        </w:rPr>
        <w:t xml:space="preserve">, la communauté de l’Afrique de l’Est (EAC), </w:t>
      </w:r>
      <w:r w:rsidR="00DD613B">
        <w:rPr>
          <w:lang w:val="fr-FR"/>
        </w:rPr>
        <w:t>la Commission de l’océan Indien (</w:t>
      </w:r>
      <w:r>
        <w:rPr>
          <w:lang w:val="fr-FR"/>
        </w:rPr>
        <w:t>COI</w:t>
      </w:r>
      <w:r w:rsidR="00DD613B">
        <w:rPr>
          <w:lang w:val="fr-FR"/>
        </w:rPr>
        <w:t>)</w:t>
      </w:r>
    </w:p>
  </w:footnote>
  <w:footnote w:id="3">
    <w:p w14:paraId="73C6C7CC" w14:textId="77777777" w:rsidR="00EB34B7" w:rsidRPr="00DD613B" w:rsidRDefault="00EB34B7" w:rsidP="00EB34B7">
      <w:pPr>
        <w:jc w:val="both"/>
        <w:rPr>
          <w:rFonts w:cstheme="minorHAnsi"/>
          <w:bCs/>
          <w:sz w:val="20"/>
          <w:szCs w:val="20"/>
          <w:lang w:val="fr-FR"/>
        </w:rPr>
      </w:pPr>
      <w:r>
        <w:rPr>
          <w:rStyle w:val="Appelnotedebasdep"/>
        </w:rPr>
        <w:footnoteRef/>
      </w:r>
      <w:r w:rsidRPr="00283ECA">
        <w:rPr>
          <w:lang w:val="fr-FR"/>
        </w:rPr>
        <w:t xml:space="preserve"> </w:t>
      </w:r>
      <w:r w:rsidRPr="00DD613B">
        <w:rPr>
          <w:rFonts w:cstheme="minorHAnsi"/>
          <w:bCs/>
          <w:sz w:val="20"/>
          <w:szCs w:val="20"/>
          <w:lang w:val="fr-FR"/>
        </w:rPr>
        <w:t>Le contrôle des frontières, la sécurité et sûreté, la santé, les douanes, le contrôle par l'État du port et accostage des navires.</w:t>
      </w:r>
    </w:p>
    <w:p w14:paraId="2BEBD539" w14:textId="77777777" w:rsidR="00EB34B7" w:rsidRPr="00B05F15" w:rsidRDefault="00EB34B7" w:rsidP="00EB34B7">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A1D0" w14:textId="4807656B" w:rsidR="00BD368E" w:rsidRDefault="00BD368E" w:rsidP="00BD368E">
    <w:pPr>
      <w:pStyle w:val="En-tte"/>
      <w:tabs>
        <w:tab w:val="clear" w:pos="4536"/>
        <w:tab w:val="clear" w:pos="9072"/>
        <w:tab w:val="center" w:pos="0"/>
      </w:tabs>
      <w:rPr>
        <w:b/>
        <w:bCs/>
      </w:rPr>
    </w:pPr>
    <w:r>
      <w:rPr>
        <w:i/>
        <w:iCs/>
        <w:noProof/>
      </w:rPr>
      <w:drawing>
        <wp:inline distT="0" distB="0" distL="0" distR="0" wp14:anchorId="368C84E0" wp14:editId="47D256D2">
          <wp:extent cx="1090909" cy="36000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Point</w:t>
    </w:r>
    <w:r>
      <w:rPr>
        <w:rFonts w:ascii="Verdana" w:hAnsi="Verdana"/>
        <w:b/>
        <w:bCs/>
        <w:sz w:val="20"/>
        <w:szCs w:val="20"/>
      </w:rPr>
      <w:t xml:space="preserve"> </w:t>
    </w:r>
    <w:r w:rsidR="00283ECA">
      <w:rPr>
        <w:rFonts w:ascii="Verdana" w:hAnsi="Verdana"/>
        <w:b/>
        <w:bCs/>
        <w:sz w:val="20"/>
        <w:szCs w:val="20"/>
      </w:rPr>
      <w:t>2.3.</w:t>
    </w:r>
  </w:p>
  <w:p w14:paraId="66AB0A25" w14:textId="77777777" w:rsidR="00BD368E" w:rsidRDefault="00BD368E" w:rsidP="004A113C">
    <w:pPr>
      <w:pStyle w:val="En-tte"/>
      <w:pBdr>
        <w:bottom w:val="single" w:sz="4" w:space="1" w:color="0070C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0B5"/>
    <w:multiLevelType w:val="hybridMultilevel"/>
    <w:tmpl w:val="8DFC8C3C"/>
    <w:lvl w:ilvl="0" w:tplc="62F6E534">
      <w:numFmt w:val="bullet"/>
      <w:lvlText w:val="-"/>
      <w:lvlJc w:val="left"/>
      <w:pPr>
        <w:ind w:left="720" w:hanging="360"/>
      </w:pPr>
      <w:rPr>
        <w:rFonts w:ascii="Verdana" w:eastAsiaTheme="minorHAnsi" w:hAnsi="Verdana"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54433D"/>
    <w:multiLevelType w:val="hybridMultilevel"/>
    <w:tmpl w:val="7DCEC384"/>
    <w:lvl w:ilvl="0" w:tplc="040C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CAE18A6"/>
    <w:multiLevelType w:val="hybridMultilevel"/>
    <w:tmpl w:val="A11E8204"/>
    <w:lvl w:ilvl="0" w:tplc="CCBCCA18">
      <w:start w:val="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D33D26"/>
    <w:multiLevelType w:val="hybridMultilevel"/>
    <w:tmpl w:val="489CE6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4869B8"/>
    <w:multiLevelType w:val="hybridMultilevel"/>
    <w:tmpl w:val="F092C8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2DC134A"/>
    <w:multiLevelType w:val="hybridMultilevel"/>
    <w:tmpl w:val="CD642AE8"/>
    <w:lvl w:ilvl="0" w:tplc="85A223A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C4446C5"/>
    <w:multiLevelType w:val="hybridMultilevel"/>
    <w:tmpl w:val="4B5A0E0A"/>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93A0800"/>
    <w:multiLevelType w:val="hybridMultilevel"/>
    <w:tmpl w:val="352AF1CC"/>
    <w:lvl w:ilvl="0" w:tplc="DB98E134">
      <w:numFmt w:val="bullet"/>
      <w:lvlText w:val="-"/>
      <w:lvlJc w:val="left"/>
      <w:pPr>
        <w:ind w:left="360" w:hanging="360"/>
      </w:pPr>
      <w:rPr>
        <w:rFonts w:ascii="Verdana" w:eastAsiaTheme="minorHAnsi" w:hAnsi="Verdana"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35924122">
    <w:abstractNumId w:val="4"/>
  </w:num>
  <w:num w:numId="2" w16cid:durableId="534272721">
    <w:abstractNumId w:val="5"/>
  </w:num>
  <w:num w:numId="3" w16cid:durableId="1562055177">
    <w:abstractNumId w:val="2"/>
  </w:num>
  <w:num w:numId="4" w16cid:durableId="1970086569">
    <w:abstractNumId w:val="2"/>
  </w:num>
  <w:num w:numId="5" w16cid:durableId="347413761">
    <w:abstractNumId w:val="1"/>
  </w:num>
  <w:num w:numId="6" w16cid:durableId="1613634988">
    <w:abstractNumId w:val="2"/>
  </w:num>
  <w:num w:numId="7" w16cid:durableId="129251789">
    <w:abstractNumId w:val="2"/>
  </w:num>
  <w:num w:numId="8" w16cid:durableId="1365599200">
    <w:abstractNumId w:val="2"/>
  </w:num>
  <w:num w:numId="9" w16cid:durableId="2116510116">
    <w:abstractNumId w:val="2"/>
  </w:num>
  <w:num w:numId="10" w16cid:durableId="1128206892">
    <w:abstractNumId w:val="6"/>
  </w:num>
  <w:num w:numId="11" w16cid:durableId="1816024619">
    <w:abstractNumId w:val="8"/>
  </w:num>
  <w:num w:numId="12" w16cid:durableId="1967152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300189">
    <w:abstractNumId w:val="2"/>
  </w:num>
  <w:num w:numId="14" w16cid:durableId="850417950">
    <w:abstractNumId w:val="7"/>
  </w:num>
  <w:num w:numId="15" w16cid:durableId="1509635626">
    <w:abstractNumId w:val="0"/>
  </w:num>
  <w:num w:numId="16" w16cid:durableId="1000741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35"/>
    <w:rsid w:val="00000B34"/>
    <w:rsid w:val="00003DD1"/>
    <w:rsid w:val="000241B4"/>
    <w:rsid w:val="000361D3"/>
    <w:rsid w:val="00045084"/>
    <w:rsid w:val="00045D93"/>
    <w:rsid w:val="00047CA0"/>
    <w:rsid w:val="000F3931"/>
    <w:rsid w:val="000F5C2E"/>
    <w:rsid w:val="00111F06"/>
    <w:rsid w:val="00117BAE"/>
    <w:rsid w:val="001267FC"/>
    <w:rsid w:val="0014184F"/>
    <w:rsid w:val="001722B9"/>
    <w:rsid w:val="001A7E8F"/>
    <w:rsid w:val="001C7A98"/>
    <w:rsid w:val="001C7E9F"/>
    <w:rsid w:val="0022462D"/>
    <w:rsid w:val="00251E1A"/>
    <w:rsid w:val="00257764"/>
    <w:rsid w:val="00267C04"/>
    <w:rsid w:val="00283ECA"/>
    <w:rsid w:val="00291002"/>
    <w:rsid w:val="002A121C"/>
    <w:rsid w:val="002C6729"/>
    <w:rsid w:val="002E0726"/>
    <w:rsid w:val="002F561C"/>
    <w:rsid w:val="002F7E99"/>
    <w:rsid w:val="003378EF"/>
    <w:rsid w:val="003666C3"/>
    <w:rsid w:val="00382BA3"/>
    <w:rsid w:val="003850CA"/>
    <w:rsid w:val="003A380A"/>
    <w:rsid w:val="003A4670"/>
    <w:rsid w:val="004361FA"/>
    <w:rsid w:val="00471E4B"/>
    <w:rsid w:val="00480738"/>
    <w:rsid w:val="004A113C"/>
    <w:rsid w:val="004A41EE"/>
    <w:rsid w:val="004D4D2C"/>
    <w:rsid w:val="004D6E5C"/>
    <w:rsid w:val="004E5DB2"/>
    <w:rsid w:val="004F46A1"/>
    <w:rsid w:val="004F7131"/>
    <w:rsid w:val="005123F2"/>
    <w:rsid w:val="00544BDA"/>
    <w:rsid w:val="00572421"/>
    <w:rsid w:val="00580CCE"/>
    <w:rsid w:val="00600DF0"/>
    <w:rsid w:val="006212BB"/>
    <w:rsid w:val="006472B2"/>
    <w:rsid w:val="00684C2A"/>
    <w:rsid w:val="006D4835"/>
    <w:rsid w:val="0075135D"/>
    <w:rsid w:val="007D73F7"/>
    <w:rsid w:val="007E1EAC"/>
    <w:rsid w:val="008324AF"/>
    <w:rsid w:val="008B56E4"/>
    <w:rsid w:val="008C271B"/>
    <w:rsid w:val="008F2E47"/>
    <w:rsid w:val="009024FA"/>
    <w:rsid w:val="009234EF"/>
    <w:rsid w:val="00924782"/>
    <w:rsid w:val="009345AD"/>
    <w:rsid w:val="009401D7"/>
    <w:rsid w:val="00991AA3"/>
    <w:rsid w:val="009A5359"/>
    <w:rsid w:val="009E2E4C"/>
    <w:rsid w:val="009E57C6"/>
    <w:rsid w:val="009E6B56"/>
    <w:rsid w:val="00A5052B"/>
    <w:rsid w:val="00B05F15"/>
    <w:rsid w:val="00B11915"/>
    <w:rsid w:val="00B13DEF"/>
    <w:rsid w:val="00B159C6"/>
    <w:rsid w:val="00B8166A"/>
    <w:rsid w:val="00B85262"/>
    <w:rsid w:val="00B96AF5"/>
    <w:rsid w:val="00BA0BA6"/>
    <w:rsid w:val="00BB16C7"/>
    <w:rsid w:val="00BD368E"/>
    <w:rsid w:val="00BF6EF0"/>
    <w:rsid w:val="00C501BD"/>
    <w:rsid w:val="00C623BB"/>
    <w:rsid w:val="00CA5BFB"/>
    <w:rsid w:val="00CB1B1D"/>
    <w:rsid w:val="00CB5923"/>
    <w:rsid w:val="00CF1331"/>
    <w:rsid w:val="00D03F90"/>
    <w:rsid w:val="00D04344"/>
    <w:rsid w:val="00D05868"/>
    <w:rsid w:val="00D1433B"/>
    <w:rsid w:val="00D23DA2"/>
    <w:rsid w:val="00D43E30"/>
    <w:rsid w:val="00D849C0"/>
    <w:rsid w:val="00DA4F24"/>
    <w:rsid w:val="00DD613B"/>
    <w:rsid w:val="00E14134"/>
    <w:rsid w:val="00E24028"/>
    <w:rsid w:val="00E42772"/>
    <w:rsid w:val="00E75795"/>
    <w:rsid w:val="00E8327D"/>
    <w:rsid w:val="00E91F17"/>
    <w:rsid w:val="00EB34B7"/>
    <w:rsid w:val="00F22555"/>
    <w:rsid w:val="00F23315"/>
    <w:rsid w:val="00F238CB"/>
    <w:rsid w:val="00F50AC7"/>
    <w:rsid w:val="00F54D73"/>
    <w:rsid w:val="00F87796"/>
    <w:rsid w:val="00FC6B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0A2A"/>
  <w15:chartTrackingRefBased/>
  <w15:docId w15:val="{30E58E41-C46D-4691-A199-4FF460FE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73"/>
    <w:pPr>
      <w:spacing w:before="120" w:after="120"/>
    </w:pPr>
    <w:rPr>
      <w:lang w:val="en-GB"/>
    </w:rPr>
  </w:style>
  <w:style w:type="paragraph" w:styleId="Titre1">
    <w:name w:val="heading 1"/>
    <w:basedOn w:val="Normal"/>
    <w:next w:val="Normal"/>
    <w:link w:val="Titre1Car"/>
    <w:uiPriority w:val="9"/>
    <w:qFormat/>
    <w:rsid w:val="00F54D73"/>
    <w:pPr>
      <w:keepNext/>
      <w:keepLines/>
      <w:spacing w:before="24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4D73"/>
    <w:rPr>
      <w:rFonts w:asciiTheme="majorHAnsi" w:eastAsiaTheme="majorEastAsia" w:hAnsiTheme="majorHAnsi" w:cstheme="majorBidi"/>
      <w:color w:val="2F5496" w:themeColor="accent1" w:themeShade="BF"/>
      <w:sz w:val="32"/>
      <w:szCs w:val="32"/>
      <w:lang w:val="en-US"/>
    </w:rPr>
  </w:style>
  <w:style w:type="paragraph" w:styleId="Paragraphedeliste">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ParagraphedelisteCar"/>
    <w:uiPriority w:val="34"/>
    <w:qFormat/>
    <w:rsid w:val="00F54D73"/>
    <w:pPr>
      <w:spacing w:before="0" w:after="0" w:line="240" w:lineRule="auto"/>
      <w:ind w:left="720"/>
      <w:contextualSpacing/>
    </w:pPr>
    <w:rPr>
      <w:rFonts w:ascii="Times New Roman" w:eastAsia="Times New Roman" w:hAnsi="Times New Roman" w:cs="Times New Roman"/>
      <w:sz w:val="24"/>
      <w:szCs w:val="24"/>
      <w:lang w:val="en-ZA" w:eastAsia="en-ZA"/>
    </w:rPr>
  </w:style>
  <w:style w:type="character" w:customStyle="1" w:styleId="ParagraphedelisteCar">
    <w:name w:val="Paragraphe de liste Car"/>
    <w:aliases w:val="Bullets Car,References Car,Title Style 1 Car,Numbered List Paragraph Car,lp1 Car,r2 Car,Paragraphe 2 Car,Bullet Points Car,Liste Paragraf Car,Llista Nivell1 Car,Lista de nivel 1 Car,Paragraphe de liste PBLH Car,Paragraph Car"/>
    <w:basedOn w:val="Policepardfaut"/>
    <w:link w:val="Paragraphedeliste"/>
    <w:uiPriority w:val="34"/>
    <w:qFormat/>
    <w:rsid w:val="00F54D73"/>
    <w:rPr>
      <w:rFonts w:ascii="Times New Roman" w:eastAsia="Times New Roman" w:hAnsi="Times New Roman" w:cs="Times New Roman"/>
      <w:sz w:val="24"/>
      <w:szCs w:val="24"/>
      <w:lang w:val="en-ZA" w:eastAsia="en-ZA"/>
    </w:rPr>
  </w:style>
  <w:style w:type="character" w:customStyle="1" w:styleId="SansinterligneCar">
    <w:name w:val="Sans interligne Car"/>
    <w:basedOn w:val="Policepardfaut"/>
    <w:link w:val="Sansinterligne"/>
    <w:uiPriority w:val="1"/>
    <w:locked/>
    <w:rsid w:val="00D05868"/>
  </w:style>
  <w:style w:type="paragraph" w:styleId="Sansinterligne">
    <w:name w:val="No Spacing"/>
    <w:basedOn w:val="Normal"/>
    <w:link w:val="SansinterligneCar"/>
    <w:uiPriority w:val="1"/>
    <w:qFormat/>
    <w:rsid w:val="00D05868"/>
    <w:pPr>
      <w:spacing w:before="0" w:after="0" w:line="240" w:lineRule="auto"/>
    </w:pPr>
  </w:style>
  <w:style w:type="paragraph" w:styleId="Notedebasdepage">
    <w:name w:val="footnote text"/>
    <w:basedOn w:val="Normal"/>
    <w:link w:val="NotedebasdepageCar"/>
    <w:uiPriority w:val="99"/>
    <w:semiHidden/>
    <w:unhideWhenUsed/>
    <w:rsid w:val="00B05F15"/>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B05F15"/>
    <w:rPr>
      <w:sz w:val="20"/>
      <w:szCs w:val="20"/>
      <w:lang w:val="en-GB"/>
    </w:rPr>
  </w:style>
  <w:style w:type="character" w:styleId="Appelnotedebasdep">
    <w:name w:val="footnote reference"/>
    <w:basedOn w:val="Policepardfaut"/>
    <w:uiPriority w:val="99"/>
    <w:semiHidden/>
    <w:unhideWhenUsed/>
    <w:rsid w:val="00B05F15"/>
    <w:rPr>
      <w:vertAlign w:val="superscript"/>
    </w:rPr>
  </w:style>
  <w:style w:type="paragraph" w:styleId="En-tte">
    <w:name w:val="header"/>
    <w:basedOn w:val="Normal"/>
    <w:link w:val="En-tteCar"/>
    <w:uiPriority w:val="99"/>
    <w:unhideWhenUsed/>
    <w:rsid w:val="00BD368E"/>
    <w:pPr>
      <w:tabs>
        <w:tab w:val="center" w:pos="4536"/>
        <w:tab w:val="right" w:pos="9072"/>
      </w:tabs>
      <w:spacing w:before="0" w:after="0" w:line="240" w:lineRule="auto"/>
    </w:pPr>
  </w:style>
  <w:style w:type="character" w:customStyle="1" w:styleId="En-tteCar">
    <w:name w:val="En-tête Car"/>
    <w:basedOn w:val="Policepardfaut"/>
    <w:link w:val="En-tte"/>
    <w:uiPriority w:val="99"/>
    <w:rsid w:val="00BD368E"/>
    <w:rPr>
      <w:lang w:val="en-GB"/>
    </w:rPr>
  </w:style>
  <w:style w:type="paragraph" w:styleId="Pieddepage">
    <w:name w:val="footer"/>
    <w:basedOn w:val="Normal"/>
    <w:link w:val="PieddepageCar"/>
    <w:uiPriority w:val="99"/>
    <w:unhideWhenUsed/>
    <w:rsid w:val="00BD368E"/>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D368E"/>
    <w:rPr>
      <w:lang w:val="en-GB"/>
    </w:rPr>
  </w:style>
  <w:style w:type="table" w:styleId="Grilledutableau">
    <w:name w:val="Table Grid"/>
    <w:basedOn w:val="TableauNormal"/>
    <w:uiPriority w:val="39"/>
    <w:rsid w:val="00BD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artie">
    <w:name w:val="Titre partie"/>
    <w:basedOn w:val="Paragraphedeliste"/>
    <w:link w:val="TitrepartieCar"/>
    <w:qFormat/>
    <w:rsid w:val="001722B9"/>
    <w:pPr>
      <w:numPr>
        <w:numId w:val="3"/>
      </w:numPr>
      <w:spacing w:after="160" w:line="259" w:lineRule="auto"/>
      <w:jc w:val="both"/>
    </w:pPr>
    <w:rPr>
      <w:rFonts w:ascii="Verdana" w:hAnsi="Verdana" w:cs="Calibri"/>
      <w:b/>
      <w:bCs/>
      <w:color w:val="0070C0"/>
      <w:szCs w:val="20"/>
      <w:lang w:val="fr-FR"/>
    </w:rPr>
  </w:style>
  <w:style w:type="character" w:customStyle="1" w:styleId="TitrepartieCar">
    <w:name w:val="Titre partie Car"/>
    <w:basedOn w:val="ParagraphedelisteCar"/>
    <w:link w:val="Titrepartie"/>
    <w:rsid w:val="001722B9"/>
    <w:rPr>
      <w:rFonts w:ascii="Verdana" w:eastAsia="Times New Roman" w:hAnsi="Verdana" w:cs="Calibri"/>
      <w:b/>
      <w:bCs/>
      <w:color w:val="0070C0"/>
      <w:sz w:val="24"/>
      <w:szCs w:val="20"/>
      <w:lang w:val="fr-FR" w:eastAsia="en-ZA"/>
    </w:rPr>
  </w:style>
  <w:style w:type="paragraph" w:customStyle="1" w:styleId="Sous-partie2">
    <w:name w:val="Sous-partie 2"/>
    <w:basedOn w:val="Paragraphedeliste"/>
    <w:qFormat/>
    <w:rsid w:val="001722B9"/>
    <w:pPr>
      <w:numPr>
        <w:ilvl w:val="1"/>
        <w:numId w:val="3"/>
      </w:numPr>
      <w:tabs>
        <w:tab w:val="num" w:pos="360"/>
      </w:tabs>
      <w:spacing w:after="160" w:line="259" w:lineRule="auto"/>
      <w:ind w:left="720" w:firstLine="0"/>
      <w:jc w:val="both"/>
    </w:pPr>
    <w:rPr>
      <w:rFonts w:ascii="Verdana" w:eastAsiaTheme="minorHAnsi" w:hAnsi="Verdana" w:cs="Calibri"/>
      <w:color w:val="0070C0"/>
      <w:sz w:val="20"/>
      <w:szCs w:val="20"/>
      <w:lang w:val="fr-FR" w:eastAsia="en-US"/>
    </w:rPr>
  </w:style>
  <w:style w:type="paragraph" w:customStyle="1" w:styleId="Paragraphe">
    <w:name w:val="Paragraphe"/>
    <w:basedOn w:val="Normal"/>
    <w:link w:val="ParagrapheCar"/>
    <w:qFormat/>
    <w:rsid w:val="001722B9"/>
    <w:pPr>
      <w:spacing w:before="0" w:after="160"/>
      <w:jc w:val="both"/>
    </w:pPr>
    <w:rPr>
      <w:rFonts w:ascii="Verdana" w:hAnsi="Verdana" w:cs="Calibri"/>
      <w:sz w:val="20"/>
      <w:szCs w:val="20"/>
      <w:lang w:val="fr-FR"/>
    </w:rPr>
  </w:style>
  <w:style w:type="character" w:customStyle="1" w:styleId="ParagrapheCar">
    <w:name w:val="Paragraphe Car"/>
    <w:basedOn w:val="Policepardfaut"/>
    <w:link w:val="Paragraphe"/>
    <w:rsid w:val="001722B9"/>
    <w:rPr>
      <w:rFonts w:ascii="Verdana" w:hAnsi="Verdana" w:cs="Calibri"/>
      <w:sz w:val="20"/>
      <w:szCs w:val="20"/>
      <w:lang w:val="fr-FR"/>
    </w:rPr>
  </w:style>
  <w:style w:type="paragraph" w:styleId="Rvision">
    <w:name w:val="Revision"/>
    <w:hidden/>
    <w:uiPriority w:val="99"/>
    <w:semiHidden/>
    <w:rsid w:val="00B11915"/>
    <w:pPr>
      <w:spacing w:after="0" w:line="240" w:lineRule="auto"/>
    </w:pPr>
    <w:rPr>
      <w:lang w:val="en-GB"/>
    </w:rPr>
  </w:style>
  <w:style w:type="character" w:styleId="Marquedecommentaire">
    <w:name w:val="annotation reference"/>
    <w:basedOn w:val="Policepardfaut"/>
    <w:uiPriority w:val="99"/>
    <w:semiHidden/>
    <w:unhideWhenUsed/>
    <w:rsid w:val="009401D7"/>
    <w:rPr>
      <w:sz w:val="16"/>
      <w:szCs w:val="16"/>
    </w:rPr>
  </w:style>
  <w:style w:type="paragraph" w:styleId="Commentaire">
    <w:name w:val="annotation text"/>
    <w:basedOn w:val="Normal"/>
    <w:link w:val="CommentaireCar"/>
    <w:uiPriority w:val="99"/>
    <w:unhideWhenUsed/>
    <w:rsid w:val="009401D7"/>
    <w:pPr>
      <w:spacing w:line="240" w:lineRule="auto"/>
    </w:pPr>
    <w:rPr>
      <w:sz w:val="20"/>
      <w:szCs w:val="20"/>
    </w:rPr>
  </w:style>
  <w:style w:type="character" w:customStyle="1" w:styleId="CommentaireCar">
    <w:name w:val="Commentaire Car"/>
    <w:basedOn w:val="Policepardfaut"/>
    <w:link w:val="Commentaire"/>
    <w:uiPriority w:val="99"/>
    <w:rsid w:val="009401D7"/>
    <w:rPr>
      <w:sz w:val="20"/>
      <w:szCs w:val="20"/>
      <w:lang w:val="en-GB"/>
    </w:rPr>
  </w:style>
  <w:style w:type="paragraph" w:styleId="Objetducommentaire">
    <w:name w:val="annotation subject"/>
    <w:basedOn w:val="Commentaire"/>
    <w:next w:val="Commentaire"/>
    <w:link w:val="ObjetducommentaireCar"/>
    <w:uiPriority w:val="99"/>
    <w:semiHidden/>
    <w:unhideWhenUsed/>
    <w:rsid w:val="009401D7"/>
    <w:rPr>
      <w:b/>
      <w:bCs/>
    </w:rPr>
  </w:style>
  <w:style w:type="character" w:customStyle="1" w:styleId="ObjetducommentaireCar">
    <w:name w:val="Objet du commentaire Car"/>
    <w:basedOn w:val="CommentaireCar"/>
    <w:link w:val="Objetducommentaire"/>
    <w:uiPriority w:val="99"/>
    <w:semiHidden/>
    <w:rsid w:val="009401D7"/>
    <w:rPr>
      <w:b/>
      <w:bCs/>
      <w:sz w:val="20"/>
      <w:szCs w:val="20"/>
      <w:lang w:val="en-GB"/>
    </w:rPr>
  </w:style>
  <w:style w:type="paragraph" w:customStyle="1" w:styleId="pf0">
    <w:name w:val="pf0"/>
    <w:basedOn w:val="Normal"/>
    <w:rsid w:val="004A4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4A41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90787">
      <w:bodyDiv w:val="1"/>
      <w:marLeft w:val="0"/>
      <w:marRight w:val="0"/>
      <w:marTop w:val="0"/>
      <w:marBottom w:val="0"/>
      <w:divBdr>
        <w:top w:val="none" w:sz="0" w:space="0" w:color="auto"/>
        <w:left w:val="none" w:sz="0" w:space="0" w:color="auto"/>
        <w:bottom w:val="none" w:sz="0" w:space="0" w:color="auto"/>
        <w:right w:val="none" w:sz="0" w:space="0" w:color="auto"/>
      </w:divBdr>
    </w:div>
    <w:div w:id="10270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10C8D-BD35-416C-8202-EC42DA55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9298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Razafindrakoto Tiana Eva</dc:creator>
  <cp:keywords/>
  <dc:description/>
  <cp:lastModifiedBy>Gilles RIBOUET</cp:lastModifiedBy>
  <cp:revision>4</cp:revision>
  <dcterms:created xsi:type="dcterms:W3CDTF">2023-04-10T15:03:00Z</dcterms:created>
  <dcterms:modified xsi:type="dcterms:W3CDTF">2023-04-11T08:41:00Z</dcterms:modified>
</cp:coreProperties>
</file>