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E039" w14:textId="585D7C18" w:rsidR="002B446B" w:rsidRDefault="002B446B" w:rsidP="002B446B">
      <w:pPr>
        <w:spacing w:after="0"/>
        <w:ind w:left="720"/>
        <w:jc w:val="right"/>
        <w:rPr>
          <w:rFonts w:ascii="Verdana" w:hAnsi="Verdana"/>
          <w:b/>
          <w:bCs/>
        </w:rPr>
      </w:pPr>
      <w:r w:rsidRPr="002B446B">
        <w:rPr>
          <w:rFonts w:ascii="Verdana" w:hAnsi="Verdana"/>
          <w:b/>
          <w:bCs/>
          <w:highlight w:val="yellow"/>
        </w:rPr>
        <w:t>2.3. – Annexe 8</w:t>
      </w:r>
    </w:p>
    <w:p w14:paraId="24F522BF" w14:textId="77777777" w:rsidR="002B446B" w:rsidRDefault="002B446B" w:rsidP="00A977A5">
      <w:pPr>
        <w:spacing w:after="0"/>
        <w:ind w:left="720"/>
        <w:jc w:val="center"/>
        <w:rPr>
          <w:rFonts w:ascii="Verdana" w:hAnsi="Verdana"/>
          <w:b/>
          <w:bCs/>
        </w:rPr>
      </w:pPr>
    </w:p>
    <w:p w14:paraId="334E97FF" w14:textId="11C3F0AF" w:rsidR="003B02BC" w:rsidRDefault="00BA4AF5" w:rsidP="00A977A5">
      <w:pPr>
        <w:spacing w:after="0"/>
        <w:ind w:left="720"/>
        <w:jc w:val="center"/>
        <w:rPr>
          <w:rFonts w:ascii="Verdana" w:hAnsi="Verdana"/>
          <w:b/>
          <w:bCs/>
        </w:rPr>
      </w:pPr>
      <w:r>
        <w:rPr>
          <w:rFonts w:ascii="Verdana" w:hAnsi="Verdana"/>
          <w:b/>
          <w:bCs/>
        </w:rPr>
        <w:t>CONFERENC</w:t>
      </w:r>
      <w:r w:rsidR="00610865">
        <w:rPr>
          <w:rFonts w:ascii="Verdana" w:hAnsi="Verdana"/>
          <w:b/>
          <w:bCs/>
        </w:rPr>
        <w:t xml:space="preserve">E </w:t>
      </w:r>
      <w:r w:rsidR="003B02BC" w:rsidRPr="003B02BC">
        <w:rPr>
          <w:rFonts w:ascii="Verdana" w:hAnsi="Verdana"/>
          <w:b/>
          <w:bCs/>
        </w:rPr>
        <w:t>MINISTERIELLE</w:t>
      </w:r>
      <w:r>
        <w:rPr>
          <w:rFonts w:ascii="Verdana" w:hAnsi="Verdana"/>
          <w:b/>
          <w:bCs/>
        </w:rPr>
        <w:t xml:space="preserve"> </w:t>
      </w:r>
      <w:r w:rsidR="00610865">
        <w:rPr>
          <w:rFonts w:ascii="Verdana" w:hAnsi="Verdana"/>
          <w:b/>
          <w:bCs/>
        </w:rPr>
        <w:t>SUR L’ECONOMIE CIRCULAIRE ET L’ECONOMIE BLEUE</w:t>
      </w:r>
      <w:r w:rsidR="00A972DD" w:rsidRPr="00A972DD">
        <w:rPr>
          <w:rFonts w:ascii="Verdana" w:hAnsi="Verdana"/>
          <w:b/>
          <w:bCs/>
        </w:rPr>
        <w:t xml:space="preserve"> </w:t>
      </w:r>
      <w:r w:rsidR="00A972DD">
        <w:rPr>
          <w:rFonts w:ascii="Verdana" w:hAnsi="Verdana"/>
          <w:b/>
          <w:bCs/>
        </w:rPr>
        <w:t xml:space="preserve">DES PAYS </w:t>
      </w:r>
      <w:r w:rsidR="00A972DD" w:rsidRPr="003B02BC">
        <w:rPr>
          <w:rFonts w:ascii="Verdana" w:hAnsi="Verdana"/>
          <w:b/>
          <w:bCs/>
        </w:rPr>
        <w:t>AIODIS</w:t>
      </w:r>
    </w:p>
    <w:p w14:paraId="593FF589" w14:textId="77777777" w:rsidR="00610865" w:rsidRDefault="00610865" w:rsidP="00A977A5">
      <w:pPr>
        <w:spacing w:after="0"/>
        <w:ind w:left="720"/>
        <w:jc w:val="center"/>
        <w:rPr>
          <w:rFonts w:ascii="Verdana" w:hAnsi="Verdana"/>
          <w:b/>
          <w:bCs/>
        </w:rPr>
      </w:pPr>
    </w:p>
    <w:p w14:paraId="6F7B0663" w14:textId="55262857" w:rsidR="003B02BC" w:rsidRDefault="00A972DD" w:rsidP="00A977A5">
      <w:pPr>
        <w:spacing w:after="0"/>
        <w:ind w:left="720" w:hanging="360"/>
        <w:jc w:val="center"/>
        <w:rPr>
          <w:rFonts w:ascii="Verdana" w:hAnsi="Verdana"/>
          <w:b/>
          <w:bCs/>
        </w:rPr>
      </w:pPr>
      <w:r>
        <w:rPr>
          <w:rFonts w:ascii="Verdana" w:hAnsi="Verdana"/>
          <w:b/>
          <w:bCs/>
        </w:rPr>
        <w:t>30-31 août</w:t>
      </w:r>
      <w:r w:rsidR="003B02BC" w:rsidRPr="003B02BC">
        <w:rPr>
          <w:rFonts w:ascii="Verdana" w:hAnsi="Verdana"/>
          <w:b/>
          <w:bCs/>
        </w:rPr>
        <w:t xml:space="preserve"> 2023- C</w:t>
      </w:r>
      <w:r w:rsidR="00610865">
        <w:rPr>
          <w:rFonts w:ascii="Verdana" w:hAnsi="Verdana"/>
          <w:b/>
          <w:bCs/>
        </w:rPr>
        <w:t>omores</w:t>
      </w:r>
    </w:p>
    <w:p w14:paraId="33E6714A" w14:textId="77777777" w:rsidR="00A972DD" w:rsidRDefault="00A972DD" w:rsidP="00A977A5">
      <w:pPr>
        <w:spacing w:after="0"/>
        <w:ind w:left="720" w:hanging="360"/>
        <w:jc w:val="center"/>
        <w:rPr>
          <w:rFonts w:ascii="Verdana" w:hAnsi="Verdana"/>
          <w:b/>
          <w:bCs/>
        </w:rPr>
      </w:pPr>
    </w:p>
    <w:p w14:paraId="7DF5AE21" w14:textId="7498FC95" w:rsidR="00A972DD" w:rsidRDefault="00B02ED0" w:rsidP="00A977A5">
      <w:pPr>
        <w:spacing w:after="0"/>
        <w:ind w:left="720" w:hanging="360"/>
        <w:jc w:val="center"/>
        <w:rPr>
          <w:rFonts w:ascii="Verdana" w:hAnsi="Verdana"/>
          <w:b/>
          <w:bCs/>
        </w:rPr>
      </w:pPr>
      <w:r>
        <w:rPr>
          <w:rFonts w:ascii="Verdana" w:hAnsi="Verdana"/>
          <w:b/>
          <w:bCs/>
        </w:rPr>
        <w:t>Proposition de n</w:t>
      </w:r>
      <w:r w:rsidR="00A972DD">
        <w:rPr>
          <w:rFonts w:ascii="Verdana" w:hAnsi="Verdana"/>
          <w:b/>
          <w:bCs/>
        </w:rPr>
        <w:t>ote de cadrage</w:t>
      </w:r>
    </w:p>
    <w:p w14:paraId="5079568A" w14:textId="77777777" w:rsidR="00A977A5" w:rsidRPr="003B02BC" w:rsidRDefault="00A977A5" w:rsidP="00A977A5">
      <w:pPr>
        <w:spacing w:after="0"/>
        <w:ind w:left="720" w:hanging="360"/>
        <w:jc w:val="center"/>
        <w:rPr>
          <w:rFonts w:ascii="Verdana" w:hAnsi="Verdana"/>
          <w:b/>
          <w:bCs/>
        </w:rPr>
      </w:pPr>
    </w:p>
    <w:p w14:paraId="7607E7AB" w14:textId="77777777" w:rsidR="00A73392" w:rsidRPr="00A73392" w:rsidRDefault="00A73392" w:rsidP="00A73392">
      <w:pPr>
        <w:pStyle w:val="Paragraphedeliste"/>
        <w:numPr>
          <w:ilvl w:val="0"/>
          <w:numId w:val="1"/>
        </w:numPr>
        <w:jc w:val="both"/>
        <w:rPr>
          <w:rFonts w:ascii="Verdana" w:hAnsi="Verdana"/>
          <w:b/>
          <w:bCs/>
        </w:rPr>
      </w:pPr>
      <w:r w:rsidRPr="00A73392">
        <w:rPr>
          <w:rFonts w:ascii="Verdana" w:hAnsi="Verdana"/>
          <w:b/>
          <w:bCs/>
        </w:rPr>
        <w:t>Contexte</w:t>
      </w:r>
    </w:p>
    <w:p w14:paraId="25B79378" w14:textId="19E595ED" w:rsidR="009C03A7" w:rsidRPr="00A73392" w:rsidRDefault="00A73392" w:rsidP="00A73392">
      <w:pPr>
        <w:jc w:val="both"/>
        <w:rPr>
          <w:rFonts w:ascii="Verdana" w:hAnsi="Verdana"/>
        </w:rPr>
      </w:pPr>
      <w:r w:rsidRPr="00A73392">
        <w:rPr>
          <w:rFonts w:ascii="Verdana" w:hAnsi="Verdana"/>
        </w:rPr>
        <w:t xml:space="preserve">Le continent africain est doté d'énormes ressources aquatiques et marines, notamment des océans, des mers, des rivières et des lacs, qui offrent un potentiel de croissance socio-économique associé à une durabilité environnementale. En tant que continent doté d'un littoral de plus de 30 000 kilomètres, 38 des 55 États membres de l'Union africaine sont des États côtiers ou insulaires, et plus de 60 % de sa masse terrestre est couverte par un réseau de ressources en eau douce. En reconnaissance de ces ressources, les chefs d'État et de gouvernement de l'Union africaine ont pris la décision d'inscrire l'économie bleue dans le processus de réforme institutionnelle de l'Union africaine. </w:t>
      </w:r>
      <w:r w:rsidR="009C03A7">
        <w:rPr>
          <w:rFonts w:ascii="Verdana" w:hAnsi="Verdana"/>
        </w:rPr>
        <w:t xml:space="preserve">C’est la première que cette année, un Etat insulaire, en l’occurrence de l’Union des Comores, prend la présidence de l’Union Africaine. </w:t>
      </w:r>
      <w:r w:rsidR="00767438">
        <w:rPr>
          <w:rFonts w:ascii="Verdana" w:hAnsi="Verdana"/>
        </w:rPr>
        <w:t xml:space="preserve">L’impulsion est donnée par la présidence comorienne de l’UA d’inclure les spécificités insulaires dans l’écriture de la prochaine décennie de l’agenda 2063 de l’Union Africaine, </w:t>
      </w:r>
      <w:r w:rsidR="00034E3D">
        <w:rPr>
          <w:rFonts w:ascii="Verdana" w:hAnsi="Verdana"/>
        </w:rPr>
        <w:t xml:space="preserve">et de </w:t>
      </w:r>
      <w:proofErr w:type="spellStart"/>
      <w:r w:rsidR="00034E3D">
        <w:rPr>
          <w:rFonts w:ascii="Verdana" w:hAnsi="Verdana"/>
        </w:rPr>
        <w:t>co-construire</w:t>
      </w:r>
      <w:proofErr w:type="spellEnd"/>
      <w:r w:rsidR="00034E3D">
        <w:rPr>
          <w:rFonts w:ascii="Verdana" w:hAnsi="Verdana"/>
        </w:rPr>
        <w:t xml:space="preserve"> un programme régional intégré d</w:t>
      </w:r>
      <w:r w:rsidR="00767438">
        <w:rPr>
          <w:rFonts w:ascii="Verdana" w:hAnsi="Verdana"/>
        </w:rPr>
        <w:t>’économie bleue.</w:t>
      </w:r>
    </w:p>
    <w:p w14:paraId="367C55C0" w14:textId="033BBF43" w:rsidR="000F5C2E" w:rsidRDefault="00A73392" w:rsidP="00A73392">
      <w:pPr>
        <w:jc w:val="both"/>
        <w:rPr>
          <w:rFonts w:ascii="Verdana" w:hAnsi="Verdana"/>
        </w:rPr>
      </w:pPr>
      <w:r w:rsidRPr="00A73392">
        <w:rPr>
          <w:rFonts w:ascii="Verdana" w:hAnsi="Verdana"/>
        </w:rPr>
        <w:t>L'économie bleue est un terme évolutif qui englobe la protection, la compréhension, la gestion durable et l'utilisation des ressources aquatiques. Les océans, les mers et les rivières, les lacs et les estuaires fournissent d'importants services écosystémiques et offrent un énorme potentiel en termes de capital naturel, notamment par le biais d'initiatives liées au carbone bleu. Les secteurs traditionnels tels que la pêche, la production de fruits de mer, le tourisme côtier et la navigation sont au cœur des économies et des moyens de subsistance de nombreux membres de l'Union africaine. Les secteurs émergents tels que la biotechnologie, la bioprospection, l'innovation océanique, l'application des technologies 4IR, l'exploration des fonds marins, les énergies marines renouvelables, entre autres, offrent aux États membres une occasion importante de diversifier leurs économies tout en encourageant l'innovation, les solutions climatiques et la promotion de la science océanique.</w:t>
      </w:r>
    </w:p>
    <w:p w14:paraId="4EDDA679" w14:textId="77777777" w:rsidR="00E056CD" w:rsidRDefault="00A73392" w:rsidP="00A73392">
      <w:pPr>
        <w:jc w:val="both"/>
        <w:rPr>
          <w:rFonts w:ascii="Verdana" w:hAnsi="Verdana"/>
        </w:rPr>
      </w:pPr>
      <w:r>
        <w:rPr>
          <w:rFonts w:ascii="Verdana" w:hAnsi="Verdana"/>
        </w:rPr>
        <w:t xml:space="preserve">Pour sa part, la </w:t>
      </w:r>
      <w:r w:rsidRPr="00A73392">
        <w:rPr>
          <w:rFonts w:ascii="Verdana" w:hAnsi="Verdana"/>
        </w:rPr>
        <w:t>Commission de l'océan Indien (COI) est la seule organisation intergouvernementale</w:t>
      </w:r>
      <w:r w:rsidR="00816E0F">
        <w:rPr>
          <w:rFonts w:ascii="Verdana" w:hAnsi="Verdana"/>
        </w:rPr>
        <w:t xml:space="preserve"> des Etats insulaires, en Afrique,</w:t>
      </w:r>
      <w:r w:rsidRPr="00A73392">
        <w:rPr>
          <w:rFonts w:ascii="Verdana" w:hAnsi="Verdana"/>
        </w:rPr>
        <w:t xml:space="preserve"> qui promeut la coopération régionale pour le développement durable. </w:t>
      </w:r>
      <w:r w:rsidR="00816E0F">
        <w:rPr>
          <w:rFonts w:ascii="Verdana" w:hAnsi="Verdana"/>
        </w:rPr>
        <w:t>Elle s’est dotée de son plan d’action</w:t>
      </w:r>
      <w:r w:rsidR="00E056CD">
        <w:rPr>
          <w:rFonts w:ascii="Verdana" w:hAnsi="Verdana"/>
        </w:rPr>
        <w:t xml:space="preserve"> régional sur l’économie bleue (PAREB) en 2021. </w:t>
      </w:r>
    </w:p>
    <w:p w14:paraId="52CCAFDF" w14:textId="719FC458" w:rsidR="00BF5FB6" w:rsidRDefault="00E056CD" w:rsidP="00BF5FB6">
      <w:pPr>
        <w:jc w:val="both"/>
        <w:rPr>
          <w:rFonts w:ascii="Verdana" w:hAnsi="Verdana"/>
        </w:rPr>
      </w:pPr>
      <w:r>
        <w:rPr>
          <w:rFonts w:ascii="Verdana" w:hAnsi="Verdana"/>
        </w:rPr>
        <w:t>Le pro</w:t>
      </w:r>
      <w:r w:rsidR="00BF5FB6">
        <w:rPr>
          <w:rFonts w:ascii="Verdana" w:hAnsi="Verdana"/>
        </w:rPr>
        <w:t>jet</w:t>
      </w:r>
      <w:r>
        <w:rPr>
          <w:rFonts w:ascii="Verdana" w:hAnsi="Verdana"/>
        </w:rPr>
        <w:t xml:space="preserve"> SWIOF</w:t>
      </w:r>
      <w:r w:rsidR="00BD22A4">
        <w:rPr>
          <w:rFonts w:ascii="Verdana" w:hAnsi="Verdana"/>
        </w:rPr>
        <w:t>ish</w:t>
      </w:r>
      <w:r>
        <w:rPr>
          <w:rFonts w:ascii="Verdana" w:hAnsi="Verdana"/>
        </w:rPr>
        <w:t>2</w:t>
      </w:r>
      <w:r w:rsidR="00BD22A4">
        <w:rPr>
          <w:rStyle w:val="Appelnotedebasdep"/>
          <w:rFonts w:ascii="Verdana" w:hAnsi="Verdana"/>
        </w:rPr>
        <w:footnoteReference w:id="1"/>
      </w:r>
      <w:r>
        <w:rPr>
          <w:rFonts w:ascii="Verdana" w:hAnsi="Verdana"/>
        </w:rPr>
        <w:t>, à travers la sous-composante AIODIS, constitue une des initiatives fédératrices régionales qui a contribué à la mise en œuvre d</w:t>
      </w:r>
      <w:r w:rsidR="00BF5FB6">
        <w:rPr>
          <w:rFonts w:ascii="Verdana" w:hAnsi="Verdana"/>
        </w:rPr>
        <w:t>u</w:t>
      </w:r>
      <w:r>
        <w:rPr>
          <w:rFonts w:ascii="Verdana" w:hAnsi="Verdana"/>
        </w:rPr>
        <w:t xml:space="preserve"> PAREB</w:t>
      </w:r>
      <w:r w:rsidR="00BF5FB6">
        <w:rPr>
          <w:rFonts w:ascii="Verdana" w:hAnsi="Verdana"/>
        </w:rPr>
        <w:t xml:space="preserve">. </w:t>
      </w:r>
      <w:r w:rsidR="00BF5FB6">
        <w:rPr>
          <w:rFonts w:ascii="Verdana" w:hAnsi="Verdana"/>
        </w:rPr>
        <w:lastRenderedPageBreak/>
        <w:t xml:space="preserve">Grâce au projet, la COI soutient </w:t>
      </w:r>
      <w:r w:rsidR="00BF5FB6" w:rsidRPr="00BF5FB6">
        <w:rPr>
          <w:rFonts w:ascii="Verdana" w:hAnsi="Verdana"/>
        </w:rPr>
        <w:t xml:space="preserve">ses États membres ainsi que les petits États insulaires en développement (PEID) de l'Atlantique </w:t>
      </w:r>
      <w:r w:rsidR="00BF5FB6" w:rsidRPr="00E056CD">
        <w:rPr>
          <w:rFonts w:ascii="Verdana" w:hAnsi="Verdana"/>
        </w:rPr>
        <w:t xml:space="preserve">(Cabo Verde, Guinée Bissau, São Tomé et Príncipe, Comores, Madagascar, Maldives, Maurice et </w:t>
      </w:r>
      <w:proofErr w:type="gramStart"/>
      <w:r w:rsidR="00BF5FB6" w:rsidRPr="00E056CD">
        <w:rPr>
          <w:rFonts w:ascii="Verdana" w:hAnsi="Verdana"/>
        </w:rPr>
        <w:t>Seychelles)</w:t>
      </w:r>
      <w:r w:rsidR="00BF5FB6" w:rsidRPr="00BF5FB6">
        <w:rPr>
          <w:rFonts w:ascii="Verdana" w:hAnsi="Verdana"/>
        </w:rPr>
        <w:t xml:space="preserve"> </w:t>
      </w:r>
      <w:r w:rsidR="00BF5FB6" w:rsidRPr="00E056CD">
        <w:rPr>
          <w:rFonts w:ascii="Verdana" w:hAnsi="Verdana"/>
        </w:rPr>
        <w:t xml:space="preserve"> </w:t>
      </w:r>
      <w:r w:rsidR="00BF5FB6" w:rsidRPr="00BF5FB6">
        <w:rPr>
          <w:rFonts w:ascii="Verdana" w:hAnsi="Verdana"/>
        </w:rPr>
        <w:t>dans</w:t>
      </w:r>
      <w:proofErr w:type="gramEnd"/>
      <w:r w:rsidR="00BF5FB6" w:rsidRPr="00BF5FB6">
        <w:rPr>
          <w:rFonts w:ascii="Verdana" w:hAnsi="Verdana"/>
        </w:rPr>
        <w:t xml:space="preserve"> leur marche vers le développement durable.</w:t>
      </w:r>
      <w:r w:rsidR="00BF5FB6">
        <w:rPr>
          <w:rFonts w:ascii="Verdana" w:hAnsi="Verdana"/>
        </w:rPr>
        <w:t xml:space="preserve"> Concrètement, l</w:t>
      </w:r>
      <w:r w:rsidRPr="00E056CD">
        <w:rPr>
          <w:rFonts w:ascii="Verdana" w:hAnsi="Verdana"/>
        </w:rPr>
        <w:t xml:space="preserve">a sous-composante </w:t>
      </w:r>
      <w:r w:rsidR="00BD22A4">
        <w:rPr>
          <w:rFonts w:ascii="Verdana" w:hAnsi="Verdana"/>
        </w:rPr>
        <w:t xml:space="preserve">AIODIS </w:t>
      </w:r>
      <w:r w:rsidRPr="00E056CD">
        <w:rPr>
          <w:rFonts w:ascii="Verdana" w:hAnsi="Verdana"/>
        </w:rPr>
        <w:t>soutien</w:t>
      </w:r>
      <w:r w:rsidR="00BD22A4">
        <w:rPr>
          <w:rFonts w:ascii="Verdana" w:hAnsi="Verdana"/>
        </w:rPr>
        <w:t>t</w:t>
      </w:r>
      <w:r w:rsidRPr="00E056CD">
        <w:rPr>
          <w:rFonts w:ascii="Verdana" w:hAnsi="Verdana"/>
        </w:rPr>
        <w:t xml:space="preserve"> le</w:t>
      </w:r>
      <w:r w:rsidR="00034E3D">
        <w:rPr>
          <w:rFonts w:ascii="Verdana" w:hAnsi="Verdana"/>
        </w:rPr>
        <w:t>s</w:t>
      </w:r>
      <w:r w:rsidRPr="00E056CD">
        <w:rPr>
          <w:rFonts w:ascii="Verdana" w:hAnsi="Verdana"/>
        </w:rPr>
        <w:t xml:space="preserve"> États insulaires dans la collaboration et le partage de leurs propres expériences pour relever certains de leurs défis spécifiques, tels que l'amélioration de la gestion durable de leur vaste territoire maritime, l'innovation et le développement de leur économie bleue dans le contexte du changement climatique, et la mobilisation conjointe de financements pour relever ces défis.</w:t>
      </w:r>
      <w:r w:rsidR="00BF5FB6">
        <w:rPr>
          <w:rFonts w:ascii="Verdana" w:hAnsi="Verdana"/>
        </w:rPr>
        <w:t xml:space="preserve"> </w:t>
      </w:r>
    </w:p>
    <w:p w14:paraId="0DA5979B" w14:textId="2DBAE292" w:rsidR="00A576B0" w:rsidRDefault="00BF5FB6" w:rsidP="00BF5FB6">
      <w:pPr>
        <w:jc w:val="both"/>
        <w:rPr>
          <w:rFonts w:ascii="Verdana" w:hAnsi="Verdana"/>
        </w:rPr>
      </w:pPr>
      <w:r>
        <w:rPr>
          <w:rFonts w:ascii="Verdana" w:hAnsi="Verdana"/>
        </w:rPr>
        <w:t>Dans ce sens, elle soutient</w:t>
      </w:r>
      <w:r w:rsidRPr="00BF5FB6">
        <w:rPr>
          <w:rFonts w:ascii="Verdana" w:hAnsi="Verdana"/>
        </w:rPr>
        <w:t xml:space="preserve"> le développement de l'économie circulaire en offrant des opportunités d'échanges sud-sud et un meilleur accès à l'expertise nécessaire à la formulation d'actions dans ce sens. Le développement des secteurs économiques doit se faire dans des océans sains, où la pollution marine est évitée. La transition vers une économie </w:t>
      </w:r>
      <w:proofErr w:type="gramStart"/>
      <w:r w:rsidRPr="00BF5FB6">
        <w:rPr>
          <w:rFonts w:ascii="Verdana" w:hAnsi="Verdana"/>
        </w:rPr>
        <w:t>plus circulaire</w:t>
      </w:r>
      <w:proofErr w:type="gramEnd"/>
      <w:r w:rsidRPr="00BF5FB6">
        <w:rPr>
          <w:rFonts w:ascii="Verdana" w:hAnsi="Verdana"/>
        </w:rPr>
        <w:t xml:space="preserve"> est la pierre angulaire de la prévention des polluants, y compris les déchets plastiques marins, qui atteignent les océans, en s'attaquant au problème à la source même. Une meilleure utilisation des ressources, le passage d'un modèle linéaire à un modèle </w:t>
      </w:r>
      <w:r w:rsidR="00A576B0" w:rsidRPr="00BF5FB6">
        <w:rPr>
          <w:rFonts w:ascii="Verdana" w:hAnsi="Verdana"/>
        </w:rPr>
        <w:t>circulaire</w:t>
      </w:r>
      <w:r w:rsidRPr="00BF5FB6">
        <w:rPr>
          <w:rFonts w:ascii="Verdana" w:hAnsi="Verdana"/>
        </w:rPr>
        <w:t xml:space="preserve"> et un changement de perception, des déchets à la valeur, permettront de lutter contre les sources terrestres et marines de pollution qui finissent dans la mer et contribueront à créer des opportunités d'emploi, à réduire la pauvreté et à améliorer l'équité. </w:t>
      </w:r>
    </w:p>
    <w:p w14:paraId="57487A5F" w14:textId="6D0FB6C0" w:rsidR="00BA4AF5" w:rsidRPr="00BA4AF5" w:rsidRDefault="00601B14" w:rsidP="00BA4AF5">
      <w:pPr>
        <w:jc w:val="both"/>
        <w:rPr>
          <w:rFonts w:ascii="Verdana" w:hAnsi="Verdana"/>
        </w:rPr>
      </w:pPr>
      <w:r w:rsidRPr="00601B14">
        <w:rPr>
          <w:rFonts w:ascii="Verdana" w:hAnsi="Verdana"/>
        </w:rPr>
        <w:t>La COI a lancé trois études sur la pollution marine par les plastiques et l'économie circulaire dans les huit pays AIODIS.</w:t>
      </w:r>
      <w:r w:rsidR="00A576B0">
        <w:rPr>
          <w:rFonts w:ascii="Verdana" w:hAnsi="Verdana"/>
        </w:rPr>
        <w:t xml:space="preserve"> </w:t>
      </w:r>
      <w:r w:rsidR="00BA4AF5" w:rsidRPr="00BA4AF5">
        <w:rPr>
          <w:rFonts w:ascii="Verdana" w:hAnsi="Verdana"/>
        </w:rPr>
        <w:t xml:space="preserve">Ces études fournissent, respectivement, des recommandations spécifiques, aidant les pays concernés dans la mise en place de leurs plans d'action. Il s'agit d'un pas en avant dans le respect de l'un des trois </w:t>
      </w:r>
      <w:proofErr w:type="gramStart"/>
      <w:r w:rsidR="00BA4AF5" w:rsidRPr="00BA4AF5">
        <w:rPr>
          <w:rFonts w:ascii="Verdana" w:hAnsi="Verdana"/>
        </w:rPr>
        <w:t>grands</w:t>
      </w:r>
      <w:proofErr w:type="gramEnd"/>
      <w:r w:rsidR="00BA4AF5" w:rsidRPr="00BA4AF5">
        <w:rPr>
          <w:rFonts w:ascii="Verdana" w:hAnsi="Verdana"/>
        </w:rPr>
        <w:t xml:space="preserve"> principes qui sous-tendent la mise en œuvre de l'économie bleue dans </w:t>
      </w:r>
      <w:r w:rsidR="00BA4AF5">
        <w:rPr>
          <w:rFonts w:ascii="Verdana" w:hAnsi="Verdana"/>
        </w:rPr>
        <w:t>les pays AIODIS, particulièrement dans l’océan Indien,</w:t>
      </w:r>
      <w:r w:rsidR="00BA4AF5" w:rsidRPr="00BA4AF5">
        <w:rPr>
          <w:rFonts w:ascii="Verdana" w:hAnsi="Verdana"/>
        </w:rPr>
        <w:t xml:space="preserve"> tels que définis par le </w:t>
      </w:r>
      <w:r w:rsidR="00BA4AF5">
        <w:rPr>
          <w:rFonts w:ascii="Verdana" w:hAnsi="Verdana"/>
        </w:rPr>
        <w:t>PAREB</w:t>
      </w:r>
      <w:r w:rsidR="00BA4AF5" w:rsidRPr="00BA4AF5">
        <w:rPr>
          <w:rFonts w:ascii="Verdana" w:hAnsi="Verdana"/>
        </w:rPr>
        <w:t xml:space="preserve"> de la région OI. Elle</w:t>
      </w:r>
      <w:r w:rsidR="00BA4AF5">
        <w:rPr>
          <w:rFonts w:ascii="Verdana" w:hAnsi="Verdana"/>
        </w:rPr>
        <w:t>s</w:t>
      </w:r>
      <w:r w:rsidR="00BA4AF5" w:rsidRPr="00BA4AF5">
        <w:rPr>
          <w:rFonts w:ascii="Verdana" w:hAnsi="Verdana"/>
        </w:rPr>
        <w:t xml:space="preserve"> pourrai</w:t>
      </w:r>
      <w:r w:rsidR="00BA4AF5">
        <w:rPr>
          <w:rFonts w:ascii="Verdana" w:hAnsi="Verdana"/>
        </w:rPr>
        <w:t>en</w:t>
      </w:r>
      <w:r w:rsidR="00BA4AF5" w:rsidRPr="00BA4AF5">
        <w:rPr>
          <w:rFonts w:ascii="Verdana" w:hAnsi="Verdana"/>
        </w:rPr>
        <w:t>t apporter une nouvelle perspective vers une économie durable</w:t>
      </w:r>
      <w:r w:rsidR="00BA4AF5">
        <w:rPr>
          <w:rFonts w:ascii="Verdana" w:hAnsi="Verdana"/>
        </w:rPr>
        <w:t>,</w:t>
      </w:r>
      <w:r w:rsidR="00BA4AF5" w:rsidRPr="00BA4AF5">
        <w:rPr>
          <w:rFonts w:ascii="Verdana" w:hAnsi="Verdana"/>
        </w:rPr>
        <w:t xml:space="preserve"> en appliquant le principe de l'économie circulaire à tous les secteurs productifs</w:t>
      </w:r>
      <w:r w:rsidR="00BA4AF5">
        <w:rPr>
          <w:rFonts w:ascii="Verdana" w:hAnsi="Verdana"/>
        </w:rPr>
        <w:t xml:space="preserve"> et d’une manière intersectorielle, pour </w:t>
      </w:r>
      <w:r w:rsidR="00BA4AF5" w:rsidRPr="00BA4AF5">
        <w:rPr>
          <w:rFonts w:ascii="Verdana" w:hAnsi="Verdana"/>
        </w:rPr>
        <w:t xml:space="preserve">élargir l'éventail des possibilités de recyclage. </w:t>
      </w:r>
    </w:p>
    <w:p w14:paraId="261EA903" w14:textId="496EF20E" w:rsidR="00BA4AF5" w:rsidRDefault="001930BB" w:rsidP="00BA4AF5">
      <w:pPr>
        <w:jc w:val="both"/>
        <w:rPr>
          <w:rFonts w:ascii="Verdana" w:hAnsi="Verdana"/>
        </w:rPr>
      </w:pPr>
      <w:r>
        <w:rPr>
          <w:rFonts w:ascii="Verdana" w:hAnsi="Verdana"/>
        </w:rPr>
        <w:t>Par ailleurs, c</w:t>
      </w:r>
      <w:r w:rsidRPr="0048593A">
        <w:rPr>
          <w:rFonts w:ascii="Verdana" w:hAnsi="Verdana"/>
        </w:rPr>
        <w:t>es dernières années ont été marquées par une prise de conscience croissante de la nécessité de passer d'une économie basée sur l'extraction et la consommation à une économie de régénération et de restauration, qui est devenue une priorité de plus en plus importante pour les décideurs politiques du monde entier.</w:t>
      </w:r>
      <w:r>
        <w:rPr>
          <w:rFonts w:ascii="Verdana" w:hAnsi="Verdana"/>
        </w:rPr>
        <w:t xml:space="preserve"> </w:t>
      </w:r>
      <w:r w:rsidR="00BA4AF5">
        <w:rPr>
          <w:rFonts w:ascii="Verdana" w:hAnsi="Verdana"/>
        </w:rPr>
        <w:t xml:space="preserve">Le projet SWIOFish2 touchera à sa fin en septembre 2023. C’est dans ce contexte que </w:t>
      </w:r>
      <w:r w:rsidR="00BA4AF5" w:rsidRPr="00BA4AF5">
        <w:rPr>
          <w:rFonts w:ascii="Verdana" w:hAnsi="Verdana"/>
        </w:rPr>
        <w:t xml:space="preserve">la dernière réunion de haut niveau de l'AIODIS, qui s'est tenue à Maurice en décembre 2022, a décidé d'organiser une </w:t>
      </w:r>
      <w:r w:rsidR="00BA4AF5">
        <w:rPr>
          <w:rFonts w:ascii="Verdana" w:hAnsi="Verdana"/>
        </w:rPr>
        <w:t>conférence</w:t>
      </w:r>
      <w:r w:rsidR="00BA4AF5" w:rsidRPr="00BA4AF5">
        <w:rPr>
          <w:rFonts w:ascii="Verdana" w:hAnsi="Verdana"/>
        </w:rPr>
        <w:t xml:space="preserve"> ministérielle de l'AIODIS </w:t>
      </w:r>
      <w:r w:rsidR="00BA4AF5">
        <w:rPr>
          <w:rFonts w:ascii="Verdana" w:hAnsi="Verdana"/>
        </w:rPr>
        <w:t>en</w:t>
      </w:r>
      <w:r w:rsidR="00BA4AF5" w:rsidRPr="00BA4AF5">
        <w:rPr>
          <w:rFonts w:ascii="Verdana" w:hAnsi="Verdana"/>
        </w:rPr>
        <w:t xml:space="preserve"> 2023. </w:t>
      </w:r>
      <w:r w:rsidR="00767438">
        <w:rPr>
          <w:rFonts w:ascii="Verdana" w:hAnsi="Verdana"/>
        </w:rPr>
        <w:t xml:space="preserve">Sous le </w:t>
      </w:r>
      <w:r w:rsidR="00034E3D">
        <w:rPr>
          <w:rFonts w:ascii="Verdana" w:hAnsi="Verdana"/>
        </w:rPr>
        <w:t>patronage</w:t>
      </w:r>
      <w:r w:rsidR="00767438">
        <w:rPr>
          <w:rFonts w:ascii="Verdana" w:hAnsi="Verdana"/>
        </w:rPr>
        <w:t xml:space="preserve"> de la présidence comorienne de l’UA, la conférence ministérielle de l’AIODIS se tiendra aux Comores en septembre 2023.</w:t>
      </w:r>
    </w:p>
    <w:p w14:paraId="0D2B124F" w14:textId="77777777" w:rsidR="00BA4AF5" w:rsidRDefault="00BA4AF5" w:rsidP="00BA4AF5">
      <w:pPr>
        <w:jc w:val="both"/>
        <w:rPr>
          <w:rFonts w:ascii="Verdana" w:hAnsi="Verdana"/>
        </w:rPr>
      </w:pPr>
    </w:p>
    <w:p w14:paraId="324C1ED5" w14:textId="06E8AA6C" w:rsidR="00BA4AF5" w:rsidRPr="00BA4AF5" w:rsidRDefault="00BA4AF5" w:rsidP="00BA4AF5">
      <w:pPr>
        <w:pStyle w:val="Paragraphedeliste"/>
        <w:numPr>
          <w:ilvl w:val="0"/>
          <w:numId w:val="1"/>
        </w:numPr>
        <w:jc w:val="both"/>
        <w:rPr>
          <w:rFonts w:ascii="Verdana" w:hAnsi="Verdana"/>
          <w:b/>
          <w:bCs/>
        </w:rPr>
      </w:pPr>
      <w:r w:rsidRPr="00BA4AF5">
        <w:rPr>
          <w:rFonts w:ascii="Verdana" w:hAnsi="Verdana"/>
          <w:b/>
          <w:bCs/>
        </w:rPr>
        <w:lastRenderedPageBreak/>
        <w:t xml:space="preserve">Objectif </w:t>
      </w:r>
    </w:p>
    <w:p w14:paraId="091B2EE5" w14:textId="77777777" w:rsidR="009C03A7" w:rsidRDefault="009C03A7" w:rsidP="00BA4AF5">
      <w:pPr>
        <w:jc w:val="both"/>
        <w:rPr>
          <w:rFonts w:ascii="Verdana" w:hAnsi="Verdana"/>
        </w:rPr>
      </w:pPr>
      <w:r>
        <w:rPr>
          <w:rFonts w:ascii="Verdana" w:hAnsi="Verdana"/>
        </w:rPr>
        <w:t xml:space="preserve">La conférence ministérielle de l’AIODIS </w:t>
      </w:r>
      <w:r w:rsidR="00BA4AF5" w:rsidRPr="00BA4AF5">
        <w:rPr>
          <w:rFonts w:ascii="Verdana" w:hAnsi="Verdana"/>
        </w:rPr>
        <w:t>vise à</w:t>
      </w:r>
      <w:r>
        <w:rPr>
          <w:rFonts w:ascii="Verdana" w:hAnsi="Verdana"/>
        </w:rPr>
        <w:t> :</w:t>
      </w:r>
    </w:p>
    <w:p w14:paraId="2BB99336" w14:textId="25F51A16" w:rsidR="006F72E8" w:rsidRDefault="006F72E8" w:rsidP="009C03A7">
      <w:pPr>
        <w:pStyle w:val="Paragraphedeliste"/>
        <w:numPr>
          <w:ilvl w:val="0"/>
          <w:numId w:val="3"/>
        </w:numPr>
        <w:jc w:val="both"/>
        <w:rPr>
          <w:rFonts w:ascii="Verdana" w:hAnsi="Verdana"/>
        </w:rPr>
      </w:pPr>
      <w:r>
        <w:rPr>
          <w:rFonts w:ascii="Verdana" w:hAnsi="Verdana"/>
        </w:rPr>
        <w:t>Présenter</w:t>
      </w:r>
      <w:r w:rsidR="00767438">
        <w:rPr>
          <w:rFonts w:ascii="Verdana" w:hAnsi="Verdana"/>
        </w:rPr>
        <w:t xml:space="preserve"> l</w:t>
      </w:r>
      <w:r>
        <w:rPr>
          <w:rFonts w:ascii="Verdana" w:hAnsi="Verdana"/>
        </w:rPr>
        <w:t xml:space="preserve">es réalisations </w:t>
      </w:r>
      <w:r w:rsidR="00A1752D">
        <w:rPr>
          <w:rFonts w:ascii="Verdana" w:hAnsi="Verdana"/>
        </w:rPr>
        <w:t xml:space="preserve">finales </w:t>
      </w:r>
      <w:r>
        <w:rPr>
          <w:rFonts w:ascii="Verdana" w:hAnsi="Verdana"/>
        </w:rPr>
        <w:t xml:space="preserve">de </w:t>
      </w:r>
      <w:r w:rsidR="00A1752D">
        <w:rPr>
          <w:rFonts w:ascii="Verdana" w:hAnsi="Verdana"/>
        </w:rPr>
        <w:t>la sous-composante AIODIS</w:t>
      </w:r>
      <w:r>
        <w:rPr>
          <w:rFonts w:ascii="Verdana" w:hAnsi="Verdana"/>
        </w:rPr>
        <w:t xml:space="preserve"> aux parties prenantes. </w:t>
      </w:r>
    </w:p>
    <w:p w14:paraId="2939883F" w14:textId="58B43F10" w:rsidR="00A972DD" w:rsidRDefault="00A972DD" w:rsidP="00A972DD">
      <w:pPr>
        <w:pStyle w:val="Paragraphedeliste"/>
        <w:numPr>
          <w:ilvl w:val="0"/>
          <w:numId w:val="3"/>
        </w:numPr>
        <w:jc w:val="both"/>
        <w:rPr>
          <w:rFonts w:ascii="Verdana" w:hAnsi="Verdana"/>
        </w:rPr>
      </w:pPr>
      <w:r w:rsidRPr="009C03A7">
        <w:rPr>
          <w:rFonts w:ascii="Verdana" w:hAnsi="Verdana"/>
        </w:rPr>
        <w:t>Adopter des propositions de décisions ministérielles et de mesures réglementaires nationales pour promouvoir l'économie circulaire</w:t>
      </w:r>
      <w:r w:rsidR="00DA57A9">
        <w:rPr>
          <w:rFonts w:ascii="Verdana" w:hAnsi="Verdana"/>
        </w:rPr>
        <w:t xml:space="preserve"> sur</w:t>
      </w:r>
      <w:r w:rsidR="00A1752D">
        <w:rPr>
          <w:rFonts w:ascii="Verdana" w:hAnsi="Verdana"/>
        </w:rPr>
        <w:t xml:space="preserve"> les thématiques</w:t>
      </w:r>
      <w:r>
        <w:rPr>
          <w:rFonts w:ascii="Verdana" w:hAnsi="Verdana"/>
        </w:rPr>
        <w:t>, telles que soutenues dans le cadre de SWIOfish2</w:t>
      </w:r>
      <w:r w:rsidRPr="009C03A7">
        <w:rPr>
          <w:rFonts w:ascii="Verdana" w:hAnsi="Verdana"/>
        </w:rPr>
        <w:t>.</w:t>
      </w:r>
    </w:p>
    <w:p w14:paraId="5E37837D" w14:textId="6B3A5206" w:rsidR="006F72E8" w:rsidRPr="00256412" w:rsidRDefault="00583CCF" w:rsidP="006F72E8">
      <w:pPr>
        <w:pStyle w:val="Paragraphedeliste"/>
        <w:numPr>
          <w:ilvl w:val="0"/>
          <w:numId w:val="3"/>
        </w:numPr>
        <w:suppressAutoHyphens/>
        <w:spacing w:after="200" w:line="276" w:lineRule="auto"/>
        <w:jc w:val="both"/>
        <w:rPr>
          <w:rFonts w:ascii="Verdana" w:eastAsia="Verdana" w:hAnsi="Verdana" w:cs="Verdana"/>
          <w:lang w:eastAsia="ar-SA"/>
        </w:rPr>
      </w:pPr>
      <w:r>
        <w:rPr>
          <w:rFonts w:ascii="Verdana" w:eastAsia="Verdana" w:hAnsi="Verdana" w:cs="Verdana"/>
        </w:rPr>
        <w:t xml:space="preserve">Discuter </w:t>
      </w:r>
      <w:r w:rsidRPr="00256412">
        <w:rPr>
          <w:rFonts w:ascii="Verdana" w:eastAsia="Verdana" w:hAnsi="Verdana" w:cs="Verdana"/>
          <w:lang w:eastAsia="ar-SA"/>
        </w:rPr>
        <w:t>du</w:t>
      </w:r>
      <w:r w:rsidR="006F72E8" w:rsidRPr="4E30AD75">
        <w:rPr>
          <w:rFonts w:ascii="Verdana" w:eastAsia="Verdana" w:hAnsi="Verdana" w:cs="Verdana"/>
        </w:rPr>
        <w:t xml:space="preserve"> contenu </w:t>
      </w:r>
      <w:r w:rsidR="006F72E8" w:rsidRPr="00256412">
        <w:rPr>
          <w:rFonts w:ascii="Verdana" w:eastAsia="Verdana" w:hAnsi="Verdana" w:cs="Verdana"/>
          <w:lang w:eastAsia="ar-SA"/>
        </w:rPr>
        <w:t xml:space="preserve">de la proposition </w:t>
      </w:r>
      <w:r w:rsidR="006F72E8" w:rsidRPr="4E30AD75">
        <w:rPr>
          <w:rFonts w:ascii="Verdana" w:eastAsia="Verdana" w:hAnsi="Verdana" w:cs="Verdana"/>
        </w:rPr>
        <w:t>de la nouvelle mouture</w:t>
      </w:r>
      <w:r w:rsidR="006F72E8">
        <w:rPr>
          <w:rFonts w:ascii="Verdana" w:eastAsia="Verdana" w:hAnsi="Verdana" w:cs="Verdana"/>
        </w:rPr>
        <w:t xml:space="preserve"> du programme régional intégré </w:t>
      </w:r>
      <w:r w:rsidR="006F72E8">
        <w:rPr>
          <w:rFonts w:ascii="Verdana" w:hAnsi="Verdana"/>
        </w:rPr>
        <w:t xml:space="preserve">d’économie bleue des Etats insulaires </w:t>
      </w:r>
      <w:r w:rsidR="006F72E8" w:rsidRPr="00601B14">
        <w:rPr>
          <w:rFonts w:ascii="Verdana" w:hAnsi="Verdana"/>
        </w:rPr>
        <w:t>en développement d'Afrique et de l'océan Indien</w:t>
      </w:r>
      <w:r>
        <w:rPr>
          <w:rFonts w:ascii="Verdana" w:hAnsi="Verdana"/>
        </w:rPr>
        <w:t>.</w:t>
      </w:r>
    </w:p>
    <w:p w14:paraId="12BC46C7" w14:textId="5963397D" w:rsidR="006F72E8" w:rsidRPr="00256412" w:rsidRDefault="006F72E8" w:rsidP="006F72E8">
      <w:pPr>
        <w:pStyle w:val="Paragraphedeliste"/>
        <w:numPr>
          <w:ilvl w:val="0"/>
          <w:numId w:val="3"/>
        </w:numPr>
        <w:suppressAutoHyphens/>
        <w:spacing w:after="200" w:line="276" w:lineRule="auto"/>
        <w:jc w:val="both"/>
        <w:rPr>
          <w:rFonts w:ascii="Verdana" w:eastAsia="Verdana" w:hAnsi="Verdana" w:cs="Verdana"/>
          <w:lang w:eastAsia="ar-SA"/>
        </w:rPr>
      </w:pPr>
      <w:r w:rsidRPr="4E30AD75">
        <w:rPr>
          <w:rFonts w:ascii="Verdana" w:eastAsia="Verdana" w:hAnsi="Verdana" w:cs="Verdana"/>
        </w:rPr>
        <w:t>Valider</w:t>
      </w:r>
      <w:r>
        <w:rPr>
          <w:rFonts w:ascii="Verdana" w:eastAsia="Verdana" w:hAnsi="Verdana" w:cs="Verdana"/>
        </w:rPr>
        <w:t xml:space="preserve"> </w:t>
      </w:r>
      <w:r w:rsidRPr="4E30AD75">
        <w:rPr>
          <w:rFonts w:ascii="Verdana" w:eastAsia="Verdana" w:hAnsi="Verdana" w:cs="Verdana"/>
        </w:rPr>
        <w:t>les</w:t>
      </w:r>
      <w:r w:rsidRPr="00256412">
        <w:rPr>
          <w:rFonts w:ascii="Verdana" w:eastAsia="Verdana" w:hAnsi="Verdana" w:cs="Verdana"/>
          <w:lang w:eastAsia="ar-SA"/>
        </w:rPr>
        <w:t xml:space="preserve"> principaux </w:t>
      </w:r>
      <w:r w:rsidRPr="4E30AD75">
        <w:rPr>
          <w:rFonts w:ascii="Verdana" w:eastAsia="Verdana" w:hAnsi="Verdana" w:cs="Verdana"/>
        </w:rPr>
        <w:t>axes</w:t>
      </w:r>
      <w:r w:rsidRPr="00256412">
        <w:rPr>
          <w:rFonts w:ascii="Verdana" w:eastAsia="Verdana" w:hAnsi="Verdana" w:cs="Verdana"/>
          <w:lang w:eastAsia="ar-SA"/>
        </w:rPr>
        <w:t xml:space="preserve"> d’intervention </w:t>
      </w:r>
      <w:r w:rsidRPr="4E30AD75">
        <w:rPr>
          <w:rFonts w:ascii="Verdana" w:eastAsia="Verdana" w:hAnsi="Verdana" w:cs="Verdana"/>
        </w:rPr>
        <w:t xml:space="preserve">en vue de la demande de financement auprès des </w:t>
      </w:r>
      <w:r w:rsidRPr="00256412">
        <w:rPr>
          <w:rFonts w:ascii="Verdana" w:eastAsia="Verdana" w:hAnsi="Verdana" w:cs="Verdana"/>
          <w:lang w:eastAsia="ar-SA"/>
        </w:rPr>
        <w:t>partenaires de développement</w:t>
      </w:r>
      <w:r>
        <w:rPr>
          <w:rFonts w:ascii="Verdana" w:eastAsia="Verdana" w:hAnsi="Verdana" w:cs="Verdana"/>
          <w:lang w:eastAsia="ar-SA"/>
        </w:rPr>
        <w:t>.</w:t>
      </w:r>
    </w:p>
    <w:p w14:paraId="01FF9A45" w14:textId="6EADD676" w:rsidR="00610865" w:rsidRDefault="00610865" w:rsidP="006F72E8">
      <w:pPr>
        <w:pStyle w:val="Paragraphedeliste"/>
        <w:jc w:val="both"/>
        <w:rPr>
          <w:rFonts w:ascii="Verdana" w:hAnsi="Verdana"/>
        </w:rPr>
      </w:pPr>
    </w:p>
    <w:p w14:paraId="27A9B972" w14:textId="1F120C79" w:rsidR="00653762" w:rsidRDefault="00A972DD" w:rsidP="00A972DD">
      <w:pPr>
        <w:pStyle w:val="Paragraphedeliste"/>
        <w:numPr>
          <w:ilvl w:val="0"/>
          <w:numId w:val="1"/>
        </w:numPr>
        <w:jc w:val="both"/>
        <w:rPr>
          <w:rFonts w:ascii="Verdana" w:hAnsi="Verdana"/>
          <w:b/>
          <w:bCs/>
        </w:rPr>
      </w:pPr>
      <w:r w:rsidRPr="00653762">
        <w:rPr>
          <w:rFonts w:ascii="Verdana" w:hAnsi="Verdana"/>
          <w:b/>
          <w:bCs/>
        </w:rPr>
        <w:t>Le</w:t>
      </w:r>
      <w:r w:rsidR="00653762" w:rsidRPr="00653762">
        <w:rPr>
          <w:rFonts w:ascii="Verdana" w:hAnsi="Verdana"/>
          <w:b/>
          <w:bCs/>
        </w:rPr>
        <w:t>s réalisations du</w:t>
      </w:r>
      <w:r w:rsidRPr="00653762">
        <w:rPr>
          <w:rFonts w:ascii="Verdana" w:hAnsi="Verdana"/>
          <w:b/>
          <w:bCs/>
        </w:rPr>
        <w:t xml:space="preserve"> plan d’action régional d’économie bleue</w:t>
      </w:r>
      <w:r w:rsidR="00D60B00" w:rsidRPr="00653762">
        <w:rPr>
          <w:rFonts w:ascii="Verdana" w:hAnsi="Verdana"/>
          <w:b/>
          <w:bCs/>
        </w:rPr>
        <w:t xml:space="preserve"> </w:t>
      </w:r>
      <w:r w:rsidR="00F05EEE" w:rsidRPr="00653762">
        <w:rPr>
          <w:rFonts w:ascii="Verdana" w:hAnsi="Verdana"/>
          <w:b/>
          <w:bCs/>
        </w:rPr>
        <w:t>(PAREB)</w:t>
      </w:r>
    </w:p>
    <w:p w14:paraId="1275328F" w14:textId="77777777" w:rsidR="00653762" w:rsidRDefault="00653762" w:rsidP="00653762">
      <w:pPr>
        <w:pStyle w:val="Paragraphedeliste"/>
        <w:ind w:left="360"/>
        <w:jc w:val="both"/>
        <w:rPr>
          <w:rFonts w:ascii="Verdana" w:hAnsi="Verdana"/>
          <w:b/>
          <w:bCs/>
        </w:rPr>
      </w:pPr>
    </w:p>
    <w:p w14:paraId="1D808E1E" w14:textId="108024D7" w:rsidR="00653762" w:rsidRPr="00653762" w:rsidRDefault="00653762" w:rsidP="00653762">
      <w:pPr>
        <w:pStyle w:val="Paragraphedeliste"/>
        <w:numPr>
          <w:ilvl w:val="1"/>
          <w:numId w:val="1"/>
        </w:numPr>
        <w:jc w:val="both"/>
        <w:rPr>
          <w:rFonts w:ascii="Verdana" w:hAnsi="Verdana"/>
          <w:i/>
          <w:iCs/>
          <w:u w:val="single"/>
        </w:rPr>
      </w:pPr>
      <w:r w:rsidRPr="00653762">
        <w:rPr>
          <w:rFonts w:ascii="Verdana" w:hAnsi="Verdana"/>
          <w:i/>
          <w:iCs/>
          <w:u w:val="single"/>
        </w:rPr>
        <w:t>Les objectifs de PAREB</w:t>
      </w:r>
    </w:p>
    <w:p w14:paraId="3687F62A" w14:textId="3BBCD5E0" w:rsidR="00A977A5" w:rsidRDefault="00471FD5" w:rsidP="00653762">
      <w:pPr>
        <w:jc w:val="both"/>
        <w:rPr>
          <w:rFonts w:ascii="Verdana" w:hAnsi="Verdana"/>
        </w:rPr>
      </w:pPr>
      <w:r w:rsidRPr="00653762">
        <w:rPr>
          <w:rFonts w:ascii="Verdana" w:hAnsi="Verdana"/>
        </w:rPr>
        <w:t>Le PAREB entend pouvoir répondre au besoin de structuration de l’EB aux échelles nationales et régionales</w:t>
      </w:r>
      <w:r w:rsidR="00653762">
        <w:rPr>
          <w:rFonts w:ascii="Verdana" w:hAnsi="Verdana"/>
        </w:rPr>
        <w:t>,</w:t>
      </w:r>
      <w:r w:rsidRPr="00653762">
        <w:rPr>
          <w:rFonts w:ascii="Verdana" w:hAnsi="Verdana"/>
        </w:rPr>
        <w:t xml:space="preserve"> tout en accroissant la coopération et l’intégration régionale et en renforçant le soutien aux États membres pour traduire effectivement les politiques en actions concrètes. Il vise également à apporter une réponse à la situation sanitaire actuelle. Plus spécifiquement, </w:t>
      </w:r>
      <w:r w:rsidR="00435F5C" w:rsidRPr="00653762">
        <w:rPr>
          <w:rFonts w:ascii="Verdana" w:hAnsi="Verdana"/>
        </w:rPr>
        <w:t>l</w:t>
      </w:r>
      <w:r w:rsidRPr="00653762">
        <w:rPr>
          <w:rFonts w:ascii="Verdana" w:hAnsi="Verdana"/>
        </w:rPr>
        <w:t>e plan vise à : − améliorer la mise en œuvre de l’EB aux Comores, à La Réunion (France), à Madagascar, à Maurice et aux Seychelles et concourir à une meilleure implantation des activités liées à l’EB dans ces États membres ; − développer des initiatives fédératrices régionales fortes en matière d’EB ; − accroitre la coopération et l’intégration régionale en utilisant l’EB comme catalyseur afin d’impulser une dynamique de convergence d’intérêts et d’efforts. Le PAREB s’articule ainsi autour de 3 axes d’intervention. Le premier, à l’échelle nationale, afin de structurer la mise en œuvre l’EB ; le deuxième et le troisième, à l’échelle de la région, afin de concevoir et développer des initiatives régionales fédératrices et mettre en œuvre des actions clés de coopération et d’intégration régionale.</w:t>
      </w:r>
    </w:p>
    <w:p w14:paraId="1A3E4CD2" w14:textId="2E9F0C3D" w:rsidR="00653762" w:rsidRPr="00653762" w:rsidRDefault="00653762" w:rsidP="00653762">
      <w:pPr>
        <w:pStyle w:val="Paragraphedeliste"/>
        <w:numPr>
          <w:ilvl w:val="1"/>
          <w:numId w:val="1"/>
        </w:numPr>
        <w:jc w:val="both"/>
        <w:rPr>
          <w:rFonts w:ascii="Verdana" w:hAnsi="Verdana"/>
          <w:i/>
          <w:iCs/>
          <w:u w:val="single"/>
        </w:rPr>
      </w:pPr>
      <w:r w:rsidRPr="00653762">
        <w:rPr>
          <w:rFonts w:ascii="Verdana" w:hAnsi="Verdana"/>
          <w:i/>
          <w:iCs/>
          <w:u w:val="single"/>
        </w:rPr>
        <w:t>Le</w:t>
      </w:r>
      <w:r>
        <w:rPr>
          <w:rFonts w:ascii="Verdana" w:hAnsi="Verdana"/>
          <w:i/>
          <w:iCs/>
          <w:u w:val="single"/>
        </w:rPr>
        <w:t xml:space="preserve"> </w:t>
      </w:r>
      <w:r w:rsidRPr="00653762">
        <w:rPr>
          <w:rFonts w:ascii="Verdana" w:hAnsi="Verdana"/>
          <w:i/>
          <w:iCs/>
          <w:u w:val="single"/>
        </w:rPr>
        <w:t>PAREB</w:t>
      </w:r>
      <w:r>
        <w:rPr>
          <w:rFonts w:ascii="Verdana" w:hAnsi="Verdana"/>
          <w:i/>
          <w:iCs/>
          <w:u w:val="single"/>
        </w:rPr>
        <w:t xml:space="preserve"> et l’économie circulaire</w:t>
      </w:r>
    </w:p>
    <w:p w14:paraId="3089C4D1" w14:textId="16E7F274" w:rsidR="00BF3538" w:rsidRDefault="00435F5C" w:rsidP="00BF3538">
      <w:pPr>
        <w:jc w:val="both"/>
        <w:rPr>
          <w:rFonts w:ascii="Verdana" w:hAnsi="Verdana"/>
        </w:rPr>
      </w:pPr>
      <w:r>
        <w:rPr>
          <w:rFonts w:ascii="Verdana" w:hAnsi="Verdana"/>
        </w:rPr>
        <w:t xml:space="preserve">L’économie circulaire constitue l’un des principes de base de mise en œuvre du PAREB. </w:t>
      </w:r>
      <w:r w:rsidRPr="00435F5C">
        <w:rPr>
          <w:rFonts w:ascii="Verdana" w:hAnsi="Verdana"/>
        </w:rPr>
        <w:t xml:space="preserve">L’adoption d’un modèle de production et de consommation circulaire qui consiste à partager, réutiliser, réparer, rénover et recycler les produits et les matériaux existants le plus longtemps possible afin qu'ils conservent leur valeur est inhérente à </w:t>
      </w:r>
      <w:r w:rsidR="00724A0E" w:rsidRPr="00435F5C">
        <w:rPr>
          <w:rFonts w:ascii="Verdana" w:hAnsi="Verdana"/>
        </w:rPr>
        <w:t>l’EB.</w:t>
      </w:r>
      <w:r w:rsidRPr="00435F5C">
        <w:rPr>
          <w:rFonts w:ascii="Verdana" w:hAnsi="Verdana"/>
        </w:rPr>
        <w:t xml:space="preserve"> Cela consiste à repenser non seulement l’utilisation en fin de vie et le recyclage des outils de production</w:t>
      </w:r>
      <w:r w:rsidR="00724A0E">
        <w:rPr>
          <w:rFonts w:ascii="Verdana" w:hAnsi="Verdana"/>
        </w:rPr>
        <w:t>,</w:t>
      </w:r>
      <w:r w:rsidRPr="00435F5C">
        <w:rPr>
          <w:rFonts w:ascii="Verdana" w:hAnsi="Verdana"/>
        </w:rPr>
        <w:t xml:space="preserve"> mais aussi leur mode de conception de manière à intégrer les potentielles utilisations futures des matériaux utilisés dans la phase de fabrication (en prenant notamment en compte le démantèlement des outils).</w:t>
      </w:r>
      <w:r w:rsidR="00BF3538">
        <w:rPr>
          <w:rFonts w:ascii="Verdana" w:hAnsi="Verdana"/>
        </w:rPr>
        <w:t xml:space="preserve"> Le développement </w:t>
      </w:r>
      <w:r w:rsidR="00BF3538" w:rsidRPr="00BF3538">
        <w:rPr>
          <w:rFonts w:ascii="Verdana" w:hAnsi="Verdana"/>
        </w:rPr>
        <w:t xml:space="preserve">des secteurs économiques doit se faire dans des océans sains, où la pollution marine est évitée. La transition vers une économie circulaire est la pierre angulaire de la prévention des polluants, y compris les déchets plastiques marins, qui atteignent les océans, en s'attaquant au problème à la source même.  </w:t>
      </w:r>
    </w:p>
    <w:p w14:paraId="30A00207" w14:textId="6C87F005" w:rsidR="0084659E" w:rsidRDefault="004C79C4" w:rsidP="004C79C4">
      <w:pPr>
        <w:jc w:val="both"/>
        <w:rPr>
          <w:rFonts w:ascii="Verdana" w:hAnsi="Verdana"/>
        </w:rPr>
      </w:pPr>
      <w:r>
        <w:rPr>
          <w:rFonts w:ascii="Verdana" w:hAnsi="Verdana"/>
        </w:rPr>
        <w:lastRenderedPageBreak/>
        <w:t>Parmi les projets de la COI contribuant à la mise en œuvre du PAREB, l</w:t>
      </w:r>
      <w:r w:rsidR="0080209C">
        <w:rPr>
          <w:rFonts w:ascii="Verdana" w:hAnsi="Verdana"/>
        </w:rPr>
        <w:t xml:space="preserve">a sous-composante AIODIS </w:t>
      </w:r>
      <w:r w:rsidR="00BF3538">
        <w:rPr>
          <w:rFonts w:ascii="Verdana" w:hAnsi="Verdana"/>
        </w:rPr>
        <w:t xml:space="preserve">de SWIOFISH2 </w:t>
      </w:r>
      <w:r>
        <w:rPr>
          <w:rFonts w:ascii="Verdana" w:hAnsi="Verdana"/>
        </w:rPr>
        <w:t>soutien</w:t>
      </w:r>
      <w:r w:rsidR="0080209C">
        <w:rPr>
          <w:rFonts w:ascii="Verdana" w:hAnsi="Verdana"/>
        </w:rPr>
        <w:t xml:space="preserve">t </w:t>
      </w:r>
      <w:r w:rsidR="0080209C" w:rsidRPr="0084659E">
        <w:rPr>
          <w:rFonts w:ascii="Verdana" w:hAnsi="Verdana"/>
        </w:rPr>
        <w:t>le</w:t>
      </w:r>
      <w:r w:rsidR="0084659E" w:rsidRPr="0084659E">
        <w:rPr>
          <w:rFonts w:ascii="Verdana" w:hAnsi="Verdana"/>
        </w:rPr>
        <w:t xml:space="preserve"> développement de l'économie circulaire en offrant</w:t>
      </w:r>
      <w:r w:rsidR="00BF3538">
        <w:rPr>
          <w:rFonts w:ascii="Verdana" w:hAnsi="Verdana"/>
        </w:rPr>
        <w:t> </w:t>
      </w:r>
      <w:r>
        <w:rPr>
          <w:rFonts w:ascii="Verdana" w:hAnsi="Verdana"/>
        </w:rPr>
        <w:t xml:space="preserve">un </w:t>
      </w:r>
      <w:r w:rsidR="0080209C" w:rsidRPr="00BF3538">
        <w:rPr>
          <w:rFonts w:ascii="Verdana" w:hAnsi="Verdana"/>
        </w:rPr>
        <w:t xml:space="preserve">état de situation </w:t>
      </w:r>
      <w:r w:rsidR="00BF3538">
        <w:rPr>
          <w:rFonts w:ascii="Verdana" w:hAnsi="Verdana"/>
        </w:rPr>
        <w:t xml:space="preserve">et des recommandations pour le déploiement effectif </w:t>
      </w:r>
      <w:r w:rsidR="00BF3538" w:rsidRPr="00BF3538">
        <w:rPr>
          <w:rFonts w:ascii="Verdana" w:hAnsi="Verdana"/>
        </w:rPr>
        <w:t xml:space="preserve">de l’économie circulaire au niveau des huit </w:t>
      </w:r>
      <w:r w:rsidRPr="00BF3538">
        <w:rPr>
          <w:rFonts w:ascii="Verdana" w:hAnsi="Verdana"/>
        </w:rPr>
        <w:t>pays, ainsi</w:t>
      </w:r>
      <w:r>
        <w:rPr>
          <w:rFonts w:ascii="Verdana" w:hAnsi="Verdana"/>
        </w:rPr>
        <w:t xml:space="preserve"> que des </w:t>
      </w:r>
      <w:r w:rsidR="0084659E" w:rsidRPr="00BF3538">
        <w:rPr>
          <w:rFonts w:ascii="Verdana" w:hAnsi="Verdana"/>
        </w:rPr>
        <w:t xml:space="preserve">opportunités d'échanges sud-sud et un meilleur accès à l'expertise nécessaire à la formulation d'actions dans ce sens. </w:t>
      </w:r>
    </w:p>
    <w:p w14:paraId="360FE89A" w14:textId="77777777" w:rsidR="004C79C4" w:rsidRPr="00BF3538" w:rsidRDefault="004C79C4" w:rsidP="004C79C4">
      <w:pPr>
        <w:jc w:val="both"/>
        <w:rPr>
          <w:rFonts w:ascii="Verdana" w:hAnsi="Verdana"/>
        </w:rPr>
      </w:pPr>
    </w:p>
    <w:p w14:paraId="144829E0" w14:textId="563FA5D6" w:rsidR="00BA5D61" w:rsidRDefault="00BA5D61" w:rsidP="004C79C4">
      <w:pPr>
        <w:pStyle w:val="Paragraphedeliste"/>
        <w:numPr>
          <w:ilvl w:val="0"/>
          <w:numId w:val="1"/>
        </w:numPr>
        <w:jc w:val="both"/>
        <w:rPr>
          <w:rFonts w:ascii="Verdana" w:hAnsi="Verdana"/>
          <w:b/>
          <w:bCs/>
        </w:rPr>
      </w:pPr>
      <w:r>
        <w:rPr>
          <w:rFonts w:ascii="Verdana" w:hAnsi="Verdana"/>
          <w:b/>
          <w:bCs/>
        </w:rPr>
        <w:t xml:space="preserve">Les recommandations des études menées dans AIODIS </w:t>
      </w:r>
    </w:p>
    <w:p w14:paraId="2B88625B" w14:textId="3D38BB52" w:rsidR="002776A5" w:rsidRDefault="00F04308" w:rsidP="00F04308">
      <w:pPr>
        <w:jc w:val="both"/>
        <w:rPr>
          <w:rFonts w:ascii="Verdana" w:hAnsi="Verdana"/>
        </w:rPr>
      </w:pPr>
      <w:r>
        <w:rPr>
          <w:rFonts w:ascii="Verdana" w:hAnsi="Verdana"/>
        </w:rPr>
        <w:t>L</w:t>
      </w:r>
      <w:r w:rsidR="002776A5" w:rsidRPr="002776A5">
        <w:rPr>
          <w:rFonts w:ascii="Verdana" w:hAnsi="Verdana"/>
        </w:rPr>
        <w:t xml:space="preserve">es études </w:t>
      </w:r>
      <w:r>
        <w:rPr>
          <w:rFonts w:ascii="Verdana" w:hAnsi="Verdana"/>
        </w:rPr>
        <w:t>couvrent tous les aspects des enjeux de l’économie circulaire et se déclinent en plusieurs thématiques</w:t>
      </w:r>
      <w:r w:rsidR="008B16CE">
        <w:rPr>
          <w:rFonts w:ascii="Verdana" w:hAnsi="Verdana"/>
        </w:rPr>
        <w:t xml:space="preserve"> dont </w:t>
      </w:r>
      <w:r w:rsidR="008B16CE" w:rsidRPr="00A1752D">
        <w:rPr>
          <w:rFonts w:ascii="Verdana" w:hAnsi="Verdana"/>
        </w:rPr>
        <w:t xml:space="preserve">la réduction des plastiques à usage unique, </w:t>
      </w:r>
      <w:r w:rsidR="00B02ED0">
        <w:rPr>
          <w:rFonts w:ascii="Verdana" w:hAnsi="Verdana"/>
        </w:rPr>
        <w:t>la</w:t>
      </w:r>
      <w:r w:rsidR="008B16CE">
        <w:rPr>
          <w:rFonts w:ascii="Verdana" w:hAnsi="Verdana" w:cs="Arial"/>
          <w:sz w:val="20"/>
          <w:szCs w:val="20"/>
        </w:rPr>
        <w:t xml:space="preserve"> </w:t>
      </w:r>
      <w:r w:rsidR="008B16CE" w:rsidRPr="00A1752D">
        <w:rPr>
          <w:rFonts w:ascii="Verdana" w:hAnsi="Verdana"/>
        </w:rPr>
        <w:t>sensibilisation</w:t>
      </w:r>
      <w:r w:rsidR="00B02ED0">
        <w:rPr>
          <w:rFonts w:ascii="Verdana" w:hAnsi="Verdana"/>
        </w:rPr>
        <w:t xml:space="preserve"> des écoles sur l’économie circulaire</w:t>
      </w:r>
      <w:r w:rsidR="008B16CE" w:rsidRPr="00A1752D">
        <w:rPr>
          <w:rFonts w:ascii="Verdana" w:hAnsi="Verdana"/>
        </w:rPr>
        <w:t>, les droits de propriété intellectuelle (DPI) et innovation dans l'économie circulaire, les cadres pour l'entrepreneuriat et l'innovation dans l'économie circulaire, incluant la plateforme d’accompagnement en ligne, la faisabilité de l'alimentation électrique à terre dans les ports, la promotion de la chaîne de valeur régionale des déchets de pneus et des déchets électroniques au niveau de l'AIODIS ainsi qu'au niveau du continent africain</w:t>
      </w:r>
      <w:r>
        <w:rPr>
          <w:rFonts w:ascii="Verdana" w:hAnsi="Verdana"/>
        </w:rPr>
        <w:t xml:space="preserve">. Elles </w:t>
      </w:r>
      <w:r w:rsidR="002776A5" w:rsidRPr="00F04308">
        <w:rPr>
          <w:rFonts w:ascii="Verdana" w:hAnsi="Verdana"/>
        </w:rPr>
        <w:t>fournissent, respectivement, des recommandations spécifiques, aidant les pays concernés dans la mise en place de leurs plans d'action. Il s'agit d'un pas en avant dans le respect de l'un des trois grands principes qui sous-tendent la mise en œuvre de l'économie bleue dans l</w:t>
      </w:r>
      <w:r>
        <w:rPr>
          <w:rFonts w:ascii="Verdana" w:hAnsi="Verdana"/>
        </w:rPr>
        <w:t>’Indianocéanie</w:t>
      </w:r>
      <w:r w:rsidR="002776A5" w:rsidRPr="00F04308">
        <w:rPr>
          <w:rFonts w:ascii="Verdana" w:hAnsi="Verdana"/>
        </w:rPr>
        <w:t xml:space="preserve">, tels que définis par </w:t>
      </w:r>
      <w:r>
        <w:rPr>
          <w:rFonts w:ascii="Verdana" w:hAnsi="Verdana"/>
        </w:rPr>
        <w:t xml:space="preserve">le PAREB. </w:t>
      </w:r>
    </w:p>
    <w:p w14:paraId="5A4EDE59" w14:textId="1BACE30D" w:rsidR="00F04308" w:rsidRDefault="008B16CE" w:rsidP="00F04308">
      <w:pPr>
        <w:jc w:val="both"/>
        <w:rPr>
          <w:rFonts w:ascii="Verdana" w:hAnsi="Verdana"/>
        </w:rPr>
      </w:pPr>
      <w:r>
        <w:rPr>
          <w:rFonts w:ascii="Verdana" w:hAnsi="Verdana"/>
        </w:rPr>
        <w:t>Au préalable, e</w:t>
      </w:r>
      <w:r w:rsidR="00F04308">
        <w:rPr>
          <w:rFonts w:ascii="Verdana" w:hAnsi="Verdana"/>
        </w:rPr>
        <w:t xml:space="preserve">lles seront soumises à une </w:t>
      </w:r>
      <w:r w:rsidR="00F04308" w:rsidRPr="00F04308">
        <w:rPr>
          <w:rFonts w:ascii="Verdana" w:hAnsi="Verdana"/>
        </w:rPr>
        <w:t>consultation nationale</w:t>
      </w:r>
      <w:r w:rsidR="00F04308">
        <w:rPr>
          <w:rFonts w:ascii="Verdana" w:hAnsi="Verdana"/>
        </w:rPr>
        <w:t>,</w:t>
      </w:r>
      <w:r w:rsidR="00F04308" w:rsidRPr="00F04308">
        <w:rPr>
          <w:rFonts w:ascii="Verdana" w:hAnsi="Verdana"/>
        </w:rPr>
        <w:t xml:space="preserve"> dans </w:t>
      </w:r>
      <w:r w:rsidR="00F04308">
        <w:rPr>
          <w:rFonts w:ascii="Verdana" w:hAnsi="Verdana"/>
        </w:rPr>
        <w:t>une perspective d</w:t>
      </w:r>
      <w:r w:rsidR="00F04308" w:rsidRPr="00F04308">
        <w:rPr>
          <w:rFonts w:ascii="Verdana" w:hAnsi="Verdana"/>
        </w:rPr>
        <w:t>'engagement avec les parties prenantes locales, pour la préparation de projets de priorités nationales, sur la promotion de l'économie circulaire, à porter au niveau de la réunion ministérielle</w:t>
      </w:r>
      <w:r w:rsidR="00F04308">
        <w:rPr>
          <w:rFonts w:ascii="Verdana" w:hAnsi="Verdana"/>
        </w:rPr>
        <w:t>.</w:t>
      </w:r>
    </w:p>
    <w:p w14:paraId="528F236B" w14:textId="77777777" w:rsidR="008B16CE" w:rsidRDefault="008B16CE" w:rsidP="00F04308">
      <w:pPr>
        <w:jc w:val="both"/>
        <w:rPr>
          <w:rFonts w:ascii="Verdana" w:hAnsi="Verdana"/>
        </w:rPr>
      </w:pPr>
    </w:p>
    <w:p w14:paraId="480C5374" w14:textId="42E525CA" w:rsidR="0084659E" w:rsidRDefault="0084659E" w:rsidP="008B16CE">
      <w:pPr>
        <w:pStyle w:val="Paragraphedeliste"/>
        <w:ind w:left="360"/>
        <w:jc w:val="both"/>
        <w:rPr>
          <w:rFonts w:ascii="Verdana" w:hAnsi="Verdana"/>
          <w:b/>
          <w:bCs/>
        </w:rPr>
      </w:pPr>
    </w:p>
    <w:p w14:paraId="59A275D7" w14:textId="77777777" w:rsidR="008B16CE" w:rsidRDefault="008B16CE" w:rsidP="008B16CE">
      <w:pPr>
        <w:pStyle w:val="Paragraphedeliste"/>
        <w:ind w:left="360"/>
        <w:jc w:val="both"/>
        <w:rPr>
          <w:rFonts w:ascii="Verdana" w:hAnsi="Verdana"/>
          <w:b/>
          <w:bCs/>
        </w:rPr>
      </w:pPr>
    </w:p>
    <w:p w14:paraId="68629A33" w14:textId="77777777" w:rsidR="00653762" w:rsidRPr="00653762" w:rsidRDefault="00653762" w:rsidP="008B16CE">
      <w:pPr>
        <w:pStyle w:val="Paragraphedeliste"/>
        <w:ind w:left="360"/>
        <w:jc w:val="both"/>
        <w:rPr>
          <w:rFonts w:ascii="Verdana" w:hAnsi="Verdana"/>
          <w:b/>
          <w:bCs/>
        </w:rPr>
      </w:pPr>
    </w:p>
    <w:p w14:paraId="050804F5" w14:textId="77777777" w:rsidR="0084659E" w:rsidRDefault="0084659E" w:rsidP="00A972DD">
      <w:pPr>
        <w:jc w:val="both"/>
        <w:rPr>
          <w:rFonts w:ascii="Verdana" w:hAnsi="Verdana"/>
        </w:rPr>
      </w:pPr>
    </w:p>
    <w:p w14:paraId="25F6EE73" w14:textId="77777777" w:rsidR="0084659E" w:rsidRDefault="0084659E" w:rsidP="00A972DD">
      <w:pPr>
        <w:jc w:val="both"/>
        <w:rPr>
          <w:rFonts w:ascii="Verdana" w:hAnsi="Verdana"/>
        </w:rPr>
      </w:pPr>
    </w:p>
    <w:p w14:paraId="15125E8D" w14:textId="77777777" w:rsidR="00724A0E" w:rsidRDefault="00724A0E" w:rsidP="00A972DD">
      <w:pPr>
        <w:jc w:val="both"/>
        <w:rPr>
          <w:rFonts w:ascii="Verdana" w:hAnsi="Verdana"/>
        </w:rPr>
      </w:pPr>
    </w:p>
    <w:p w14:paraId="3AF3118C" w14:textId="77777777" w:rsidR="00435F5C" w:rsidRPr="00471FD5" w:rsidRDefault="00435F5C" w:rsidP="00A972DD">
      <w:pPr>
        <w:jc w:val="both"/>
        <w:rPr>
          <w:rFonts w:ascii="Verdana" w:hAnsi="Verdana"/>
        </w:rPr>
      </w:pPr>
    </w:p>
    <w:sectPr w:rsidR="00435F5C" w:rsidRPr="00471F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1B0E" w14:textId="77777777" w:rsidR="00BD22A4" w:rsidRDefault="00BD22A4" w:rsidP="00BD22A4">
      <w:pPr>
        <w:spacing w:after="0" w:line="240" w:lineRule="auto"/>
      </w:pPr>
      <w:r>
        <w:separator/>
      </w:r>
    </w:p>
  </w:endnote>
  <w:endnote w:type="continuationSeparator" w:id="0">
    <w:p w14:paraId="37641902" w14:textId="77777777" w:rsidR="00BD22A4" w:rsidRDefault="00BD22A4" w:rsidP="00BD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052738"/>
      <w:docPartObj>
        <w:docPartGallery w:val="Page Numbers (Bottom of Page)"/>
        <w:docPartUnique/>
      </w:docPartObj>
    </w:sdtPr>
    <w:sdtEndPr/>
    <w:sdtContent>
      <w:p w14:paraId="62B873D0" w14:textId="51F88AC1" w:rsidR="00601B14" w:rsidRDefault="00601B14">
        <w:pPr>
          <w:pStyle w:val="Pieddepage"/>
          <w:jc w:val="center"/>
        </w:pPr>
        <w:r>
          <w:fldChar w:fldCharType="begin"/>
        </w:r>
        <w:r>
          <w:instrText>PAGE   \* MERGEFORMAT</w:instrText>
        </w:r>
        <w:r>
          <w:fldChar w:fldCharType="separate"/>
        </w:r>
        <w:r>
          <w:t>2</w:t>
        </w:r>
        <w:r>
          <w:fldChar w:fldCharType="end"/>
        </w:r>
      </w:p>
    </w:sdtContent>
  </w:sdt>
  <w:p w14:paraId="72A96A37" w14:textId="77777777" w:rsidR="00601B14" w:rsidRDefault="00601B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CF6E" w14:textId="77777777" w:rsidR="00BD22A4" w:rsidRDefault="00BD22A4" w:rsidP="00BD22A4">
      <w:pPr>
        <w:spacing w:after="0" w:line="240" w:lineRule="auto"/>
      </w:pPr>
      <w:r>
        <w:separator/>
      </w:r>
    </w:p>
  </w:footnote>
  <w:footnote w:type="continuationSeparator" w:id="0">
    <w:p w14:paraId="2400FE7B" w14:textId="77777777" w:rsidR="00BD22A4" w:rsidRDefault="00BD22A4" w:rsidP="00BD22A4">
      <w:pPr>
        <w:spacing w:after="0" w:line="240" w:lineRule="auto"/>
      </w:pPr>
      <w:r>
        <w:continuationSeparator/>
      </w:r>
    </w:p>
  </w:footnote>
  <w:footnote w:id="1">
    <w:p w14:paraId="45465D8D" w14:textId="5A9A52F7" w:rsidR="00BD22A4" w:rsidRPr="00BD22A4" w:rsidRDefault="00BD22A4" w:rsidP="00BD22A4">
      <w:pPr>
        <w:pStyle w:val="Notedebasdepage"/>
        <w:jc w:val="both"/>
        <w:rPr>
          <w:rFonts w:ascii="Verdana" w:hAnsi="Verdana"/>
          <w:sz w:val="18"/>
          <w:szCs w:val="18"/>
        </w:rPr>
      </w:pPr>
      <w:r>
        <w:rPr>
          <w:rStyle w:val="Appelnotedebasdep"/>
        </w:rPr>
        <w:footnoteRef/>
      </w:r>
      <w:r>
        <w:t xml:space="preserve"> </w:t>
      </w:r>
      <w:r w:rsidRPr="00BD22A4">
        <w:rPr>
          <w:rFonts w:ascii="Verdana" w:hAnsi="Verdana"/>
          <w:sz w:val="18"/>
          <w:szCs w:val="18"/>
        </w:rPr>
        <w:t>Une convention de financement (Grant No. D1720) a été signée entre l'Association internationale de développement (IDA) et la Commission de l'océan Indien (COI) le 30 mai 2017 pour soutenir le deuxième projet de gouvernance des pêches du sud-ouest de l'océan Indien et de croissance partagée (SWIOFish2).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1300" w14:textId="0FFE5FAF" w:rsidR="00A977A5" w:rsidRDefault="00A977A5">
    <w:pPr>
      <w:pStyle w:val="En-tte"/>
    </w:pPr>
    <w:r>
      <w:rPr>
        <w:noProof/>
      </w:rPr>
      <w:drawing>
        <wp:inline distT="0" distB="0" distL="0" distR="0" wp14:anchorId="54060523" wp14:editId="5A782C75">
          <wp:extent cx="1091565" cy="3594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359410"/>
                  </a:xfrm>
                  <a:prstGeom prst="rect">
                    <a:avLst/>
                  </a:prstGeom>
                  <a:noFill/>
                </pic:spPr>
              </pic:pic>
            </a:graphicData>
          </a:graphic>
        </wp:inline>
      </w:drawing>
    </w:r>
  </w:p>
  <w:p w14:paraId="2CA9682F" w14:textId="48891B2D" w:rsidR="00A977A5" w:rsidRPr="00A977A5" w:rsidRDefault="00A977A5">
    <w:pPr>
      <w:pStyle w:val="En-tte"/>
      <w:rPr>
        <w:u w:val="single" w:color="4472C4" w:themeColor="accent1"/>
      </w:rPr>
    </w:pPr>
    <w:r>
      <w:rPr>
        <w:u w:val="single" w:color="4472C4" w:themeColor="accent1"/>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35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C60D03"/>
    <w:multiLevelType w:val="hybridMultilevel"/>
    <w:tmpl w:val="D21A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812D2"/>
    <w:multiLevelType w:val="hybridMultilevel"/>
    <w:tmpl w:val="587C1B16"/>
    <w:lvl w:ilvl="0" w:tplc="96A480D6">
      <w:start w:val="1"/>
      <w:numFmt w:val="bullet"/>
      <w:lvlText w:val="-"/>
      <w:lvlJc w:val="left"/>
      <w:pPr>
        <w:ind w:left="720" w:hanging="360"/>
      </w:pPr>
      <w:rPr>
        <w:rFonts w:ascii="Calibri" w:hAnsi="Calibri" w:hint="default"/>
      </w:rPr>
    </w:lvl>
    <w:lvl w:ilvl="1" w:tplc="F912C704">
      <w:start w:val="1"/>
      <w:numFmt w:val="bullet"/>
      <w:lvlText w:val="o"/>
      <w:lvlJc w:val="left"/>
      <w:pPr>
        <w:ind w:left="1440" w:hanging="360"/>
      </w:pPr>
      <w:rPr>
        <w:rFonts w:ascii="Courier New" w:hAnsi="Courier New" w:hint="default"/>
      </w:rPr>
    </w:lvl>
    <w:lvl w:ilvl="2" w:tplc="96E65900">
      <w:start w:val="1"/>
      <w:numFmt w:val="bullet"/>
      <w:lvlText w:val=""/>
      <w:lvlJc w:val="left"/>
      <w:pPr>
        <w:ind w:left="2160" w:hanging="360"/>
      </w:pPr>
      <w:rPr>
        <w:rFonts w:ascii="Wingdings" w:hAnsi="Wingdings" w:hint="default"/>
      </w:rPr>
    </w:lvl>
    <w:lvl w:ilvl="3" w:tplc="E36C2EBE">
      <w:start w:val="1"/>
      <w:numFmt w:val="bullet"/>
      <w:lvlText w:val=""/>
      <w:lvlJc w:val="left"/>
      <w:pPr>
        <w:ind w:left="2880" w:hanging="360"/>
      </w:pPr>
      <w:rPr>
        <w:rFonts w:ascii="Symbol" w:hAnsi="Symbol" w:hint="default"/>
      </w:rPr>
    </w:lvl>
    <w:lvl w:ilvl="4" w:tplc="959CE5B0">
      <w:start w:val="1"/>
      <w:numFmt w:val="bullet"/>
      <w:lvlText w:val="o"/>
      <w:lvlJc w:val="left"/>
      <w:pPr>
        <w:ind w:left="3600" w:hanging="360"/>
      </w:pPr>
      <w:rPr>
        <w:rFonts w:ascii="Courier New" w:hAnsi="Courier New" w:hint="default"/>
      </w:rPr>
    </w:lvl>
    <w:lvl w:ilvl="5" w:tplc="17D242A2">
      <w:start w:val="1"/>
      <w:numFmt w:val="bullet"/>
      <w:lvlText w:val=""/>
      <w:lvlJc w:val="left"/>
      <w:pPr>
        <w:ind w:left="4320" w:hanging="360"/>
      </w:pPr>
      <w:rPr>
        <w:rFonts w:ascii="Wingdings" w:hAnsi="Wingdings" w:hint="default"/>
      </w:rPr>
    </w:lvl>
    <w:lvl w:ilvl="6" w:tplc="8CBA3ECC">
      <w:start w:val="1"/>
      <w:numFmt w:val="bullet"/>
      <w:lvlText w:val=""/>
      <w:lvlJc w:val="left"/>
      <w:pPr>
        <w:ind w:left="5040" w:hanging="360"/>
      </w:pPr>
      <w:rPr>
        <w:rFonts w:ascii="Symbol" w:hAnsi="Symbol" w:hint="default"/>
      </w:rPr>
    </w:lvl>
    <w:lvl w:ilvl="7" w:tplc="6D32918A">
      <w:start w:val="1"/>
      <w:numFmt w:val="bullet"/>
      <w:lvlText w:val="o"/>
      <w:lvlJc w:val="left"/>
      <w:pPr>
        <w:ind w:left="5760" w:hanging="360"/>
      </w:pPr>
      <w:rPr>
        <w:rFonts w:ascii="Courier New" w:hAnsi="Courier New" w:hint="default"/>
      </w:rPr>
    </w:lvl>
    <w:lvl w:ilvl="8" w:tplc="FCFAA962">
      <w:start w:val="1"/>
      <w:numFmt w:val="bullet"/>
      <w:lvlText w:val=""/>
      <w:lvlJc w:val="left"/>
      <w:pPr>
        <w:ind w:left="6480" w:hanging="360"/>
      </w:pPr>
      <w:rPr>
        <w:rFonts w:ascii="Wingdings" w:hAnsi="Wingdings" w:hint="default"/>
      </w:rPr>
    </w:lvl>
  </w:abstractNum>
  <w:abstractNum w:abstractNumId="3" w15:restartNumberingAfterBreak="0">
    <w:nsid w:val="459F364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C96D8C"/>
    <w:multiLevelType w:val="hybridMultilevel"/>
    <w:tmpl w:val="D21A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5C380F"/>
    <w:multiLevelType w:val="multilevel"/>
    <w:tmpl w:val="9DF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76D6F"/>
    <w:multiLevelType w:val="hybridMultilevel"/>
    <w:tmpl w:val="E1D0A9FA"/>
    <w:lvl w:ilvl="0" w:tplc="A62EBAE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0624176">
    <w:abstractNumId w:val="3"/>
  </w:num>
  <w:num w:numId="2" w16cid:durableId="1722899743">
    <w:abstractNumId w:val="1"/>
  </w:num>
  <w:num w:numId="3" w16cid:durableId="598298954">
    <w:abstractNumId w:val="6"/>
  </w:num>
  <w:num w:numId="4" w16cid:durableId="457794708">
    <w:abstractNumId w:val="2"/>
  </w:num>
  <w:num w:numId="5" w16cid:durableId="1625118767">
    <w:abstractNumId w:val="4"/>
  </w:num>
  <w:num w:numId="6" w16cid:durableId="199586671">
    <w:abstractNumId w:val="0"/>
  </w:num>
  <w:num w:numId="7" w16cid:durableId="1874229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2A"/>
    <w:rsid w:val="00034E3D"/>
    <w:rsid w:val="000413F6"/>
    <w:rsid w:val="000F5C2E"/>
    <w:rsid w:val="001915F8"/>
    <w:rsid w:val="001930BB"/>
    <w:rsid w:val="002776A5"/>
    <w:rsid w:val="002B446B"/>
    <w:rsid w:val="003B02BC"/>
    <w:rsid w:val="00435F5C"/>
    <w:rsid w:val="00471FD5"/>
    <w:rsid w:val="0048593A"/>
    <w:rsid w:val="004C79C4"/>
    <w:rsid w:val="00583CCF"/>
    <w:rsid w:val="00601B14"/>
    <w:rsid w:val="00610865"/>
    <w:rsid w:val="00653762"/>
    <w:rsid w:val="00671337"/>
    <w:rsid w:val="006D62B5"/>
    <w:rsid w:val="006F72E8"/>
    <w:rsid w:val="00712A9E"/>
    <w:rsid w:val="00724A0E"/>
    <w:rsid w:val="00767438"/>
    <w:rsid w:val="007C50E5"/>
    <w:rsid w:val="007F1C43"/>
    <w:rsid w:val="0080209C"/>
    <w:rsid w:val="00816E0F"/>
    <w:rsid w:val="0084659E"/>
    <w:rsid w:val="008B16CE"/>
    <w:rsid w:val="009C03A7"/>
    <w:rsid w:val="009F1C3A"/>
    <w:rsid w:val="00A1752D"/>
    <w:rsid w:val="00A576B0"/>
    <w:rsid w:val="00A73392"/>
    <w:rsid w:val="00A972DD"/>
    <w:rsid w:val="00A977A5"/>
    <w:rsid w:val="00B02ED0"/>
    <w:rsid w:val="00BA4AF5"/>
    <w:rsid w:val="00BA5D61"/>
    <w:rsid w:val="00BD22A4"/>
    <w:rsid w:val="00BF3538"/>
    <w:rsid w:val="00BF5FB6"/>
    <w:rsid w:val="00D60B00"/>
    <w:rsid w:val="00DA57A9"/>
    <w:rsid w:val="00E056CD"/>
    <w:rsid w:val="00ED287F"/>
    <w:rsid w:val="00F04308"/>
    <w:rsid w:val="00F05EEE"/>
    <w:rsid w:val="00F125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6E2BC"/>
  <w15:chartTrackingRefBased/>
  <w15:docId w15:val="{207E169E-2D37-438E-998E-99FBFF0E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3">
    <w:name w:val="heading 3"/>
    <w:basedOn w:val="Normal"/>
    <w:link w:val="Titre3Car"/>
    <w:uiPriority w:val="9"/>
    <w:qFormat/>
    <w:rsid w:val="001915F8"/>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3392"/>
    <w:pPr>
      <w:ind w:left="720"/>
      <w:contextualSpacing/>
    </w:pPr>
  </w:style>
  <w:style w:type="paragraph" w:styleId="Notedebasdepage">
    <w:name w:val="footnote text"/>
    <w:basedOn w:val="Normal"/>
    <w:link w:val="NotedebasdepageCar"/>
    <w:uiPriority w:val="99"/>
    <w:semiHidden/>
    <w:unhideWhenUsed/>
    <w:rsid w:val="00BD22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22A4"/>
    <w:rPr>
      <w:sz w:val="20"/>
      <w:szCs w:val="20"/>
      <w:lang w:val="fr-FR"/>
    </w:rPr>
  </w:style>
  <w:style w:type="character" w:styleId="Appelnotedebasdep">
    <w:name w:val="footnote reference"/>
    <w:basedOn w:val="Policepardfaut"/>
    <w:uiPriority w:val="99"/>
    <w:semiHidden/>
    <w:unhideWhenUsed/>
    <w:rsid w:val="00BD22A4"/>
    <w:rPr>
      <w:vertAlign w:val="superscript"/>
    </w:rPr>
  </w:style>
  <w:style w:type="paragraph" w:styleId="En-tte">
    <w:name w:val="header"/>
    <w:basedOn w:val="Normal"/>
    <w:link w:val="En-tteCar"/>
    <w:uiPriority w:val="99"/>
    <w:unhideWhenUsed/>
    <w:rsid w:val="00601B14"/>
    <w:pPr>
      <w:tabs>
        <w:tab w:val="center" w:pos="4536"/>
        <w:tab w:val="right" w:pos="9072"/>
      </w:tabs>
      <w:spacing w:after="0" w:line="240" w:lineRule="auto"/>
    </w:pPr>
  </w:style>
  <w:style w:type="character" w:customStyle="1" w:styleId="En-tteCar">
    <w:name w:val="En-tête Car"/>
    <w:basedOn w:val="Policepardfaut"/>
    <w:link w:val="En-tte"/>
    <w:uiPriority w:val="99"/>
    <w:rsid w:val="00601B14"/>
    <w:rPr>
      <w:lang w:val="fr-FR"/>
    </w:rPr>
  </w:style>
  <w:style w:type="paragraph" w:styleId="Pieddepage">
    <w:name w:val="footer"/>
    <w:basedOn w:val="Normal"/>
    <w:link w:val="PieddepageCar"/>
    <w:uiPriority w:val="99"/>
    <w:unhideWhenUsed/>
    <w:rsid w:val="00601B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B14"/>
    <w:rPr>
      <w:lang w:val="fr-FR"/>
    </w:rPr>
  </w:style>
  <w:style w:type="character" w:customStyle="1" w:styleId="Titre3Car">
    <w:name w:val="Titre 3 Car"/>
    <w:basedOn w:val="Policepardfaut"/>
    <w:link w:val="Titre3"/>
    <w:uiPriority w:val="9"/>
    <w:rsid w:val="001915F8"/>
    <w:rPr>
      <w:rFonts w:ascii="Times New Roman" w:eastAsia="Times New Roman" w:hAnsi="Times New Roman" w:cs="Times New Roman"/>
      <w:b/>
      <w:bCs/>
      <w:sz w:val="27"/>
      <w:szCs w:val="27"/>
      <w:lang/>
    </w:rPr>
  </w:style>
  <w:style w:type="paragraph" w:styleId="NormalWeb">
    <w:name w:val="Normal (Web)"/>
    <w:basedOn w:val="Normal"/>
    <w:uiPriority w:val="99"/>
    <w:semiHidden/>
    <w:unhideWhenUsed/>
    <w:rsid w:val="001915F8"/>
    <w:pPr>
      <w:spacing w:before="100" w:beforeAutospacing="1" w:after="100" w:afterAutospacing="1" w:line="240" w:lineRule="auto"/>
    </w:pPr>
    <w:rPr>
      <w:rFonts w:ascii="Times New Roman" w:eastAsia="Times New Roman" w:hAnsi="Times New Roman" w:cs="Times New Roman"/>
      <w:sz w:val="24"/>
      <w:szCs w:val="24"/>
      <w:lang/>
    </w:rPr>
  </w:style>
  <w:style w:type="character" w:styleId="lev">
    <w:name w:val="Strong"/>
    <w:basedOn w:val="Policepardfaut"/>
    <w:uiPriority w:val="22"/>
    <w:qFormat/>
    <w:rsid w:val="00191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F187-5CF2-42B5-98E2-7CA461EC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8855</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Razafindrakoto Tiana Eva</dc:creator>
  <cp:keywords/>
  <dc:description/>
  <cp:lastModifiedBy>Gilles RIBOUET</cp:lastModifiedBy>
  <cp:revision>2</cp:revision>
  <dcterms:created xsi:type="dcterms:W3CDTF">2023-04-10T05:09:00Z</dcterms:created>
  <dcterms:modified xsi:type="dcterms:W3CDTF">2023-04-10T05:09:00Z</dcterms:modified>
</cp:coreProperties>
</file>