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1CB25A49" w14:textId="345CC57E" w:rsidR="00576AF6" w:rsidRDefault="00576AF6" w:rsidP="00854EEA">
            <w:pPr>
              <w:jc w:val="center"/>
              <w:rPr>
                <w:rFonts w:ascii="Verdana" w:hAnsi="Verdana"/>
                <w:b/>
                <w:bCs/>
              </w:rPr>
            </w:pPr>
            <w:r>
              <w:rPr>
                <w:rFonts w:ascii="Verdana" w:hAnsi="Verdana"/>
                <w:b/>
                <w:bCs/>
              </w:rPr>
              <w:t>Pêches :</w:t>
            </w:r>
          </w:p>
          <w:p w14:paraId="2F2259A5" w14:textId="08C58600" w:rsidR="00CA20BF" w:rsidRDefault="00CA20BF" w:rsidP="00854EEA">
            <w:pPr>
              <w:jc w:val="center"/>
              <w:rPr>
                <w:rFonts w:ascii="Verdana" w:hAnsi="Verdana"/>
                <w:b/>
                <w:bCs/>
              </w:rPr>
            </w:pPr>
            <w:r>
              <w:rPr>
                <w:rFonts w:ascii="Verdana" w:hAnsi="Verdana"/>
                <w:b/>
                <w:bCs/>
              </w:rPr>
              <w:t>Programme COI-ECOFISH</w:t>
            </w:r>
          </w:p>
          <w:p w14:paraId="4FD32914" w14:textId="4920B25D" w:rsidR="00EC22CC" w:rsidRDefault="00012AF4" w:rsidP="00854EEA">
            <w:pPr>
              <w:jc w:val="center"/>
              <w:rPr>
                <w:rFonts w:ascii="Verdana" w:hAnsi="Verdana"/>
                <w:b/>
                <w:bCs/>
              </w:rPr>
            </w:pPr>
            <w:r>
              <w:rPr>
                <w:rFonts w:ascii="Verdana" w:hAnsi="Verdana"/>
                <w:b/>
                <w:bCs/>
              </w:rPr>
              <w:t>Plan Régional de Surveillance des Pêches (PRSP)</w:t>
            </w:r>
          </w:p>
          <w:p w14:paraId="066766F7" w14:textId="53E39BCC" w:rsidR="00CC3CDA" w:rsidRDefault="00CC3CDA" w:rsidP="00854EEA">
            <w:pPr>
              <w:jc w:val="center"/>
              <w:rPr>
                <w:rFonts w:ascii="Verdana" w:hAnsi="Verdana"/>
                <w:b/>
                <w:bCs/>
              </w:rPr>
            </w:pPr>
            <w:r>
              <w:rPr>
                <w:rFonts w:ascii="Verdana" w:hAnsi="Verdana"/>
                <w:b/>
                <w:bCs/>
              </w:rPr>
              <w:t>Projet en cours d’instruction avec la Banque Mondiale </w:t>
            </w:r>
          </w:p>
          <w:p w14:paraId="6FC76F95" w14:textId="3E8A0449" w:rsidR="00CA3F38" w:rsidRDefault="00CA3F38" w:rsidP="00854EEA">
            <w:pPr>
              <w:jc w:val="center"/>
              <w:rPr>
                <w:rFonts w:ascii="Verdana" w:hAnsi="Verdana"/>
                <w:b/>
                <w:bCs/>
                <w:sz w:val="20"/>
                <w:szCs w:val="20"/>
              </w:rPr>
            </w:pPr>
          </w:p>
        </w:tc>
      </w:tr>
      <w:tr w:rsidR="00EC22CC" w14:paraId="7F1B63D2" w14:textId="77777777" w:rsidTr="002A0933">
        <w:tc>
          <w:tcPr>
            <w:tcW w:w="7225" w:type="dxa"/>
          </w:tcPr>
          <w:p w14:paraId="056D9B10" w14:textId="3BFFACDF" w:rsidR="00EC22CC" w:rsidRPr="002A096E" w:rsidRDefault="00AB6D3D" w:rsidP="002A096E">
            <w:pPr>
              <w:rPr>
                <w:rFonts w:ascii="Verdana" w:hAnsi="Verdana"/>
                <w:sz w:val="20"/>
                <w:szCs w:val="20"/>
              </w:rPr>
            </w:pPr>
            <w:r>
              <w:rPr>
                <w:rFonts w:ascii="Verdana" w:hAnsi="Verdana"/>
                <w:sz w:val="20"/>
                <w:szCs w:val="20"/>
              </w:rPr>
              <w:t>COPL 01/2023 des 26-27 avril 2023</w:t>
            </w:r>
          </w:p>
        </w:tc>
        <w:tc>
          <w:tcPr>
            <w:tcW w:w="1837" w:type="dxa"/>
          </w:tcPr>
          <w:p w14:paraId="58E25D1F" w14:textId="1272F587"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AB6D3D">
              <w:rPr>
                <w:rFonts w:ascii="Verdana" w:hAnsi="Verdana"/>
                <w:sz w:val="20"/>
                <w:szCs w:val="20"/>
              </w:rPr>
              <w:t>2.2</w:t>
            </w:r>
          </w:p>
        </w:tc>
      </w:tr>
      <w:tr w:rsidR="00EC22CC" w14:paraId="537D1DE5" w14:textId="77777777" w:rsidTr="002A0933">
        <w:tc>
          <w:tcPr>
            <w:tcW w:w="7225" w:type="dxa"/>
          </w:tcPr>
          <w:p w14:paraId="43DEF09E" w14:textId="7C5ED4B6"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012AF4" w:rsidRPr="00012AF4">
              <w:rPr>
                <w:rFonts w:ascii="Verdana" w:hAnsi="Verdana"/>
                <w:b/>
                <w:bCs/>
                <w:sz w:val="20"/>
                <w:szCs w:val="20"/>
              </w:rPr>
              <w:t>Marc Maminiaina, Chargé de Mission</w:t>
            </w:r>
          </w:p>
        </w:tc>
        <w:tc>
          <w:tcPr>
            <w:tcW w:w="1837" w:type="dxa"/>
          </w:tcPr>
          <w:p w14:paraId="5AC1AFAB" w14:textId="5F41EDF2" w:rsidR="00EC22CC" w:rsidRPr="002A0933" w:rsidRDefault="00EC22CC" w:rsidP="00854EEA">
            <w:pPr>
              <w:jc w:val="center"/>
              <w:rPr>
                <w:rFonts w:ascii="Verdana" w:hAnsi="Verdana"/>
                <w:sz w:val="20"/>
                <w:szCs w:val="20"/>
              </w:rPr>
            </w:pPr>
          </w:p>
        </w:tc>
      </w:tr>
      <w:tr w:rsidR="00A90305" w14:paraId="6896DB30" w14:textId="77777777" w:rsidTr="009F5233">
        <w:tc>
          <w:tcPr>
            <w:tcW w:w="9062" w:type="dxa"/>
            <w:gridSpan w:val="2"/>
          </w:tcPr>
          <w:p w14:paraId="0495241B" w14:textId="7B1FEBF4" w:rsidR="00A90305" w:rsidRDefault="00A90305" w:rsidP="00A90305">
            <w:pPr>
              <w:rPr>
                <w:rFonts w:ascii="Verdana" w:hAnsi="Verdana"/>
                <w:sz w:val="20"/>
                <w:szCs w:val="20"/>
              </w:rPr>
            </w:pPr>
            <w:r>
              <w:rPr>
                <w:rFonts w:ascii="Verdana" w:hAnsi="Verdana"/>
                <w:i/>
                <w:iCs/>
                <w:sz w:val="20"/>
                <w:szCs w:val="20"/>
              </w:rPr>
              <w:t xml:space="preserve">Version du </w:t>
            </w:r>
            <w:r w:rsidR="00AB6D3D">
              <w:rPr>
                <w:rFonts w:ascii="Verdana" w:hAnsi="Verdana"/>
                <w:i/>
                <w:iCs/>
                <w:sz w:val="20"/>
                <w:szCs w:val="20"/>
              </w:rPr>
              <w:t>31 mars 2023</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4F3DBFE1" w:rsidR="00854EEA" w:rsidRPr="0008468B" w:rsidRDefault="00955BB3" w:rsidP="00A70123">
      <w:pPr>
        <w:pStyle w:val="Titrepartie"/>
      </w:pPr>
      <w:r w:rsidRPr="0008468B">
        <w:t>Résumé</w:t>
      </w:r>
      <w:r w:rsidR="00A55D20">
        <w:t xml:space="preserve"> </w:t>
      </w:r>
    </w:p>
    <w:p w14:paraId="4627D7EE" w14:textId="6CEF6B33" w:rsidR="0042317E" w:rsidRPr="0042317E" w:rsidRDefault="0027374F" w:rsidP="0042317E">
      <w:pPr>
        <w:pStyle w:val="Paragraphe"/>
      </w:pPr>
      <w:r>
        <w:t xml:space="preserve">La clôture du programme COI-ECOFISH est prévue en septembre 2024. </w:t>
      </w:r>
      <w:r w:rsidR="000E6E40" w:rsidRPr="000E6E40">
        <w:t>Une</w:t>
      </w:r>
      <w:r w:rsidR="00F67B06" w:rsidRPr="000E6E40">
        <w:t xml:space="preserve"> évaluation à mi-parcours </w:t>
      </w:r>
      <w:r w:rsidR="000E6E40">
        <w:t xml:space="preserve">du programme ECOFISH </w:t>
      </w:r>
      <w:r w:rsidR="00F67B06" w:rsidRPr="000E6E40">
        <w:t>a été réalisée au cours du second semestre 2022</w:t>
      </w:r>
      <w:r w:rsidR="000E6E40">
        <w:t>. L’une des recommandations issues de cette évaluation consiste à l’extension</w:t>
      </w:r>
      <w:r w:rsidR="0042317E" w:rsidRPr="0042317E">
        <w:t xml:space="preserve"> </w:t>
      </w:r>
      <w:r>
        <w:t xml:space="preserve">de la </w:t>
      </w:r>
      <w:r w:rsidR="00F70683">
        <w:t>durée</w:t>
      </w:r>
      <w:r>
        <w:t xml:space="preserve"> de mise en œuvre </w:t>
      </w:r>
      <w:r w:rsidR="0042317E" w:rsidRPr="0042317E">
        <w:t xml:space="preserve">du Programme, </w:t>
      </w:r>
      <w:r w:rsidR="00FB1348">
        <w:t>tenant</w:t>
      </w:r>
      <w:r w:rsidR="0042317E" w:rsidRPr="0042317E">
        <w:t xml:space="preserve"> compte des retards subis dans les premières phases du programme</w:t>
      </w:r>
      <w:r>
        <w:t xml:space="preserve"> </w:t>
      </w:r>
      <w:r w:rsidR="0042317E" w:rsidRPr="0042317E">
        <w:t>causés</w:t>
      </w:r>
      <w:r>
        <w:t xml:space="preserve"> </w:t>
      </w:r>
      <w:r w:rsidR="0042317E" w:rsidRPr="0042317E">
        <w:t>par l</w:t>
      </w:r>
      <w:r>
        <w:t>a</w:t>
      </w:r>
      <w:r w:rsidR="0042317E" w:rsidRPr="0042317E">
        <w:t xml:space="preserve"> COVID 19</w:t>
      </w:r>
      <w:r w:rsidR="00F70683">
        <w:t xml:space="preserve"> </w:t>
      </w:r>
      <w:r>
        <w:t xml:space="preserve">ainsi que </w:t>
      </w:r>
      <w:r w:rsidR="0042317E" w:rsidRPr="0042317E">
        <w:t>les divers problèmes administratifs</w:t>
      </w:r>
      <w:r w:rsidR="00F70683">
        <w:t xml:space="preserve"> au niveau de </w:t>
      </w:r>
      <w:r w:rsidR="00E176D0">
        <w:t xml:space="preserve">l’équipe d’assistance technique. </w:t>
      </w:r>
    </w:p>
    <w:p w14:paraId="2E1DD6D4" w14:textId="5FA692B8" w:rsidR="0042317E" w:rsidRDefault="0042317E" w:rsidP="0042317E">
      <w:pPr>
        <w:pStyle w:val="Paragraphe"/>
      </w:pPr>
      <w:r>
        <w:t>Les recommandations issues de cette évaluation à mi-parcours ont été soumises aux membres du Comité de pilotage régional du programme COI-ECOFISH lors de la dernière réunion du 24 mars 2023 à Addis-Ab</w:t>
      </w:r>
      <w:r w:rsidR="00A925D6">
        <w:t>e</w:t>
      </w:r>
      <w:r>
        <w:t xml:space="preserve">ba, laquelle a permis également de dresser le bilan des dernières réalisations du programme à travers les cinq plans de travail. </w:t>
      </w:r>
    </w:p>
    <w:p w14:paraId="3EA78BC5" w14:textId="2A139F10" w:rsidR="0042317E" w:rsidRPr="0042317E" w:rsidRDefault="0042317E" w:rsidP="0042317E">
      <w:pPr>
        <w:pStyle w:val="Paragraphe"/>
      </w:pPr>
      <w:r>
        <w:t xml:space="preserve">Des recommandations </w:t>
      </w:r>
      <w:r w:rsidR="0027374F">
        <w:t xml:space="preserve">ont </w:t>
      </w:r>
      <w:r>
        <w:t>été aussi émises par les membres du COPIL à l’issue de cette réunion pour fixer les grandes orientations du projet.</w:t>
      </w:r>
    </w:p>
    <w:p w14:paraId="390F5896" w14:textId="391EBDA3" w:rsidR="004764FB" w:rsidRDefault="00642CCF" w:rsidP="00CE2386">
      <w:pPr>
        <w:pStyle w:val="Paragraphe"/>
        <w:rPr>
          <w:b/>
          <w:bCs/>
        </w:rPr>
      </w:pPr>
      <w:r>
        <w:t xml:space="preserve">Concernant le </w:t>
      </w:r>
      <w:r w:rsidR="0066414A" w:rsidRPr="00642CCF">
        <w:t>P</w:t>
      </w:r>
      <w:r>
        <w:t xml:space="preserve">lan </w:t>
      </w:r>
      <w:r w:rsidRPr="00642CCF">
        <w:t>R</w:t>
      </w:r>
      <w:r>
        <w:t>égional</w:t>
      </w:r>
      <w:r w:rsidR="0066414A" w:rsidRPr="00642CCF">
        <w:t xml:space="preserve"> </w:t>
      </w:r>
      <w:r>
        <w:t xml:space="preserve">de </w:t>
      </w:r>
      <w:r w:rsidR="0066414A" w:rsidRPr="00642CCF">
        <w:t>S</w:t>
      </w:r>
      <w:r>
        <w:t>urveillance des Pêches (PRS</w:t>
      </w:r>
      <w:r w:rsidR="00D12BC7">
        <w:t>P</w:t>
      </w:r>
      <w:r>
        <w:t xml:space="preserve">), appuyé par le programme ECOFISH à travers le Résultat 2, cette évaluation à mi-parcours a recommandé l’institutionnalisation de ce mécanisme régional et l’engagement des États participants à apporter </w:t>
      </w:r>
      <w:r w:rsidR="004E3D21" w:rsidRPr="004764FB">
        <w:t>un soutien budgétaire et logistique durable</w:t>
      </w:r>
      <w:r w:rsidR="004764FB" w:rsidRPr="004764FB">
        <w:t>.</w:t>
      </w:r>
    </w:p>
    <w:p w14:paraId="05FF6A21" w14:textId="4AFCA396" w:rsidR="00070041" w:rsidRDefault="00C869EB" w:rsidP="00CE2386">
      <w:pPr>
        <w:pStyle w:val="Paragraphe"/>
      </w:pPr>
      <w:r>
        <w:t>Depuis la 10</w:t>
      </w:r>
      <w:r w:rsidRPr="003C5516">
        <w:rPr>
          <w:vertAlign w:val="superscript"/>
        </w:rPr>
        <w:t>ème</w:t>
      </w:r>
      <w:r>
        <w:t xml:space="preserve"> réunion de l’Unité de Coordination Régionale Élargie (UCRE) du 21 octobre 2021 </w:t>
      </w:r>
      <w:r w:rsidR="00B20773">
        <w:t>aux Seychelles</w:t>
      </w:r>
      <w:r>
        <w:t>, cinq réunions de l’Unité de Coordination Régionale (UCR) ont été organisées à travers le programme COI-ECOFISH, Résultat 2.</w:t>
      </w:r>
      <w:r w:rsidR="00B20773">
        <w:t xml:space="preserve"> </w:t>
      </w:r>
      <w:r>
        <w:t>L</w:t>
      </w:r>
      <w:r w:rsidR="00764954">
        <w:t xml:space="preserve">a </w:t>
      </w:r>
      <w:r>
        <w:t xml:space="preserve">dernière </w:t>
      </w:r>
      <w:r w:rsidR="00764954">
        <w:t xml:space="preserve">réunion de </w:t>
      </w:r>
      <w:r w:rsidR="00B20773">
        <w:t>l’</w:t>
      </w:r>
      <w:r w:rsidR="00764954">
        <w:t>UCRE</w:t>
      </w:r>
      <w:r w:rsidR="00B20773">
        <w:t xml:space="preserve"> </w:t>
      </w:r>
      <w:r>
        <w:t xml:space="preserve">s’est tenue le </w:t>
      </w:r>
      <w:r w:rsidR="00764954">
        <w:t>02 février 2023</w:t>
      </w:r>
      <w:r>
        <w:t xml:space="preserve"> à La Réunion</w:t>
      </w:r>
      <w:r w:rsidR="00B20773">
        <w:t xml:space="preserve"> à l’issue de laquelle des recommandations ont été émises sur l’avenir du PRSP.</w:t>
      </w:r>
    </w:p>
    <w:p w14:paraId="4234042C" w14:textId="034ED32D" w:rsidR="00CD6FA6" w:rsidRPr="0041278C" w:rsidRDefault="00CD6FA6" w:rsidP="00CE2386">
      <w:pPr>
        <w:pStyle w:val="Paragraphe"/>
      </w:pPr>
      <w:r>
        <w:t xml:space="preserve">Enfin, capitalisant sur le rôle de la COI dans la coordination des programmes SWIOFISH 1 et 2 (composantes régionales), la Banque mondiale a entamé avec le Secrétariat général de la COI des négociations en vue d’un nouveau projet </w:t>
      </w:r>
      <w:r w:rsidR="005E40D8">
        <w:t xml:space="preserve">de transformation de la gestion du secteur des pêches dans le Sud-Ouest de l’océan Indien et aux Maldives. </w:t>
      </w:r>
    </w:p>
    <w:p w14:paraId="68009DDB" w14:textId="78A073DE" w:rsidR="0008468B" w:rsidRPr="0008468B" w:rsidRDefault="00CA3F38" w:rsidP="00A70123">
      <w:pPr>
        <w:pStyle w:val="Titrepartie"/>
      </w:pPr>
      <w:r w:rsidRPr="0008468B">
        <w:t>État</w:t>
      </w:r>
      <w:r w:rsidR="00955BB3" w:rsidRPr="0008468B">
        <w:t xml:space="preserve"> d’avancement</w:t>
      </w:r>
    </w:p>
    <w:p w14:paraId="57A7E48D" w14:textId="4FDADFBE" w:rsidR="006275EB" w:rsidRPr="006275EB" w:rsidRDefault="006275EB" w:rsidP="004161ED">
      <w:pPr>
        <w:pStyle w:val="Paragraphe"/>
        <w:numPr>
          <w:ilvl w:val="0"/>
          <w:numId w:val="19"/>
        </w:numPr>
        <w:rPr>
          <w:b/>
          <w:bCs/>
        </w:rPr>
      </w:pPr>
      <w:r w:rsidRPr="006275EB">
        <w:rPr>
          <w:b/>
          <w:bCs/>
        </w:rPr>
        <w:t>Programme COI-ECOFISH :</w:t>
      </w:r>
    </w:p>
    <w:p w14:paraId="4333835E" w14:textId="4A3518F0" w:rsidR="0049644C" w:rsidRDefault="00F70683" w:rsidP="00C1433A">
      <w:pPr>
        <w:pStyle w:val="Paragraphe"/>
      </w:pPr>
      <w:r w:rsidRPr="00C1433A">
        <w:t xml:space="preserve">Concernant le devis-programme marin géré par la COI, en l’occurrence, les </w:t>
      </w:r>
      <w:r w:rsidR="00C1433A" w:rsidRPr="00C1433A">
        <w:t>Résultats</w:t>
      </w:r>
      <w:r w:rsidRPr="00C1433A">
        <w:t xml:space="preserve"> 1 et 2, </w:t>
      </w:r>
      <w:r w:rsidR="00C1433A">
        <w:t>le</w:t>
      </w:r>
      <w:r w:rsidR="00C1433A" w:rsidRPr="00C1433A">
        <w:t xml:space="preserve"> taux d</w:t>
      </w:r>
      <w:r w:rsidRPr="00C1433A">
        <w:t xml:space="preserve">’engagement financier en février 2023 est </w:t>
      </w:r>
      <w:r w:rsidR="00C1433A" w:rsidRPr="00C1433A">
        <w:t xml:space="preserve">de </w:t>
      </w:r>
      <w:r w:rsidRPr="008F6F1F">
        <w:t>21%</w:t>
      </w:r>
      <w:r w:rsidRPr="00C1433A">
        <w:t xml:space="preserve">. La </w:t>
      </w:r>
      <w:r w:rsidR="00C1433A" w:rsidRPr="00C1433A">
        <w:t>réalisation</w:t>
      </w:r>
      <w:r w:rsidRPr="00C1433A">
        <w:t xml:space="preserve"> des </w:t>
      </w:r>
      <w:r w:rsidR="00C1433A" w:rsidRPr="00C1433A">
        <w:t>activités</w:t>
      </w:r>
      <w:r w:rsidRPr="00C1433A">
        <w:t xml:space="preserve"> de chaque </w:t>
      </w:r>
      <w:r w:rsidR="00C1433A" w:rsidRPr="00C1433A">
        <w:t>Résultat</w:t>
      </w:r>
      <w:r w:rsidRPr="00C1433A">
        <w:t xml:space="preserve"> affiche toutefois un taux respectif de</w:t>
      </w:r>
      <w:r w:rsidRPr="0049644C">
        <w:t xml:space="preserve"> 41% </w:t>
      </w:r>
      <w:r w:rsidRPr="00C1433A">
        <w:t xml:space="preserve">pour le </w:t>
      </w:r>
      <w:r w:rsidR="00C1433A" w:rsidRPr="00C1433A">
        <w:t>Résultat</w:t>
      </w:r>
      <w:r w:rsidRPr="00C1433A">
        <w:t xml:space="preserve"> 1 et </w:t>
      </w:r>
      <w:r w:rsidRPr="0049644C">
        <w:t>46%</w:t>
      </w:r>
      <w:r w:rsidRPr="00C1433A">
        <w:t xml:space="preserve"> pour le </w:t>
      </w:r>
      <w:r w:rsidR="00C1433A" w:rsidRPr="00C1433A">
        <w:t>Résultat</w:t>
      </w:r>
      <w:r w:rsidRPr="00C1433A">
        <w:t xml:space="preserve"> 2.</w:t>
      </w:r>
    </w:p>
    <w:p w14:paraId="1F51FDEE" w14:textId="51EB8EB3" w:rsidR="000424C3" w:rsidRPr="00D14F51" w:rsidRDefault="000424C3" w:rsidP="00D14F51">
      <w:pPr>
        <w:pStyle w:val="Paragraphe"/>
      </w:pPr>
      <w:r w:rsidRPr="00D14F51">
        <w:t xml:space="preserve">L’une des recommandations issues du dernier COPIL régional du programme COI-ECOFISH consiste ainsi à </w:t>
      </w:r>
      <w:r w:rsidR="00D14F51" w:rsidRPr="00D14F51">
        <w:t xml:space="preserve">l’extension </w:t>
      </w:r>
      <w:r w:rsidR="00D14F51">
        <w:t xml:space="preserve">de la période de mise en œuvre </w:t>
      </w:r>
      <w:r w:rsidR="00D14F51" w:rsidRPr="0042317E">
        <w:t>du Programme</w:t>
      </w:r>
      <w:r w:rsidR="00D14F51">
        <w:t xml:space="preserve"> pour une durée de 18 mois.</w:t>
      </w:r>
    </w:p>
    <w:p w14:paraId="3C40F9DC" w14:textId="5B95C2EE" w:rsidR="00C1433A" w:rsidRDefault="00D14F51" w:rsidP="008D36A9">
      <w:pPr>
        <w:pStyle w:val="Paragraphe"/>
      </w:pPr>
      <w:r w:rsidRPr="00D14F51">
        <w:lastRenderedPageBreak/>
        <w:t>A cet effet, le COPIL a recommand</w:t>
      </w:r>
      <w:r>
        <w:t>é</w:t>
      </w:r>
      <w:r w:rsidRPr="00D14F51">
        <w:t xml:space="preserve"> le r</w:t>
      </w:r>
      <w:r w:rsidR="000424C3" w:rsidRPr="00D14F51">
        <w:t>enforce</w:t>
      </w:r>
      <w:r w:rsidRPr="00D14F51">
        <w:t>ment</w:t>
      </w:r>
      <w:r w:rsidR="000424C3" w:rsidRPr="00D14F51">
        <w:t xml:space="preserve"> </w:t>
      </w:r>
      <w:r w:rsidRPr="00D14F51">
        <w:t>d</w:t>
      </w:r>
      <w:r w:rsidR="000424C3" w:rsidRPr="00D14F51">
        <w:t>es</w:t>
      </w:r>
      <w:r>
        <w:t xml:space="preserve"> ressources </w:t>
      </w:r>
      <w:r w:rsidR="000424C3" w:rsidRPr="00D14F51">
        <w:t xml:space="preserve">humaines </w:t>
      </w:r>
      <w:r>
        <w:t xml:space="preserve">au </w:t>
      </w:r>
      <w:r w:rsidRPr="00D14F51">
        <w:t>niv</w:t>
      </w:r>
      <w:r>
        <w:t xml:space="preserve">eau </w:t>
      </w:r>
      <w:r w:rsidR="000424C3" w:rsidRPr="00D14F51">
        <w:t xml:space="preserve">de l'IPMU </w:t>
      </w:r>
      <w:r w:rsidR="009F37C9">
        <w:t>à travers la facilitation et l’</w:t>
      </w:r>
      <w:r w:rsidR="009F37C9" w:rsidRPr="009F37C9">
        <w:t>accélér</w:t>
      </w:r>
      <w:r w:rsidR="009F37C9">
        <w:t xml:space="preserve">ation du </w:t>
      </w:r>
      <w:r w:rsidR="009F37C9" w:rsidRPr="009F37C9">
        <w:t>processus de recrutement de l'expert régional en gestion des pêches</w:t>
      </w:r>
      <w:r w:rsidR="009F37C9">
        <w:t xml:space="preserve"> ainsi que le </w:t>
      </w:r>
      <w:r w:rsidR="009F37C9" w:rsidRPr="009F37C9">
        <w:t>recrutement d’un assistant à la passation des marchés à court terme (un an)</w:t>
      </w:r>
      <w:r w:rsidR="009F37C9">
        <w:t xml:space="preserve"> </w:t>
      </w:r>
      <w:r>
        <w:t xml:space="preserve">afin de </w:t>
      </w:r>
      <w:r w:rsidR="000424C3" w:rsidRPr="00D14F51">
        <w:t>faire face à l'augmentation du volume des activités prévues dans le plan de mise en œuvre 2023 et au-delà.</w:t>
      </w:r>
    </w:p>
    <w:p w14:paraId="79E1EF25" w14:textId="3146DE08" w:rsidR="00493A47" w:rsidRPr="006275EB" w:rsidRDefault="000905E2" w:rsidP="008D36A9">
      <w:pPr>
        <w:pStyle w:val="Paragraphe"/>
      </w:pPr>
      <w:r>
        <w:t xml:space="preserve">S’agissant </w:t>
      </w:r>
      <w:r w:rsidR="006275EB">
        <w:t>des finances, le COPIL a recommandé une r</w:t>
      </w:r>
      <w:r w:rsidR="00926175" w:rsidRPr="006275EB">
        <w:t>éaffectation budgétaire</w:t>
      </w:r>
      <w:r w:rsidR="006275EB">
        <w:t xml:space="preserve"> aux </w:t>
      </w:r>
      <w:r w:rsidR="006275EB" w:rsidRPr="006275EB">
        <w:t xml:space="preserve">lignes </w:t>
      </w:r>
      <w:r w:rsidR="006275EB">
        <w:t xml:space="preserve">dont le </w:t>
      </w:r>
      <w:r w:rsidR="006275EB" w:rsidRPr="006275EB">
        <w:t xml:space="preserve">budget </w:t>
      </w:r>
      <w:r w:rsidR="006275EB">
        <w:t xml:space="preserve">parait </w:t>
      </w:r>
      <w:r w:rsidR="006275EB" w:rsidRPr="006275EB">
        <w:t>insuffisant</w:t>
      </w:r>
      <w:r w:rsidR="006275EB">
        <w:t>.</w:t>
      </w:r>
    </w:p>
    <w:p w14:paraId="7BA26CAA" w14:textId="77777777" w:rsidR="00EB62FD" w:rsidRDefault="00EB62FD" w:rsidP="008D36A9">
      <w:pPr>
        <w:pStyle w:val="Paragraphe"/>
        <w:rPr>
          <w:b/>
          <w:bCs/>
        </w:rPr>
      </w:pPr>
    </w:p>
    <w:p w14:paraId="5236025C" w14:textId="2D89437D" w:rsidR="006275EB" w:rsidRDefault="006275EB" w:rsidP="004161ED">
      <w:pPr>
        <w:pStyle w:val="Paragraphe"/>
        <w:numPr>
          <w:ilvl w:val="0"/>
          <w:numId w:val="19"/>
        </w:numPr>
        <w:rPr>
          <w:b/>
          <w:bCs/>
        </w:rPr>
      </w:pPr>
      <w:r>
        <w:rPr>
          <w:b/>
          <w:bCs/>
        </w:rPr>
        <w:t>Plan Régional de Surveillance des Pêches (PRSP)</w:t>
      </w:r>
    </w:p>
    <w:p w14:paraId="2A946809" w14:textId="14A69E4E" w:rsidR="00216B54" w:rsidRDefault="00216B54" w:rsidP="004161ED">
      <w:pPr>
        <w:pStyle w:val="Paragraphe"/>
        <w:numPr>
          <w:ilvl w:val="0"/>
          <w:numId w:val="18"/>
        </w:numPr>
        <w:rPr>
          <w:b/>
          <w:bCs/>
        </w:rPr>
      </w:pPr>
      <w:r>
        <w:rPr>
          <w:b/>
          <w:bCs/>
        </w:rPr>
        <w:t>Activités saillantes réalisées :</w:t>
      </w:r>
    </w:p>
    <w:p w14:paraId="295DD413" w14:textId="289075E6" w:rsidR="00216B54" w:rsidRDefault="00C1433A" w:rsidP="00C1433A">
      <w:pPr>
        <w:pStyle w:val="Paragraphe"/>
        <w:numPr>
          <w:ilvl w:val="0"/>
          <w:numId w:val="16"/>
        </w:numPr>
      </w:pPr>
      <w:r>
        <w:t xml:space="preserve">Remise </w:t>
      </w:r>
      <w:r w:rsidR="00B6168F" w:rsidRPr="00594BEC">
        <w:t>des kits d’inspection, des m</w:t>
      </w:r>
      <w:r w:rsidR="00B6168F">
        <w:t>atériels informatiques et des équipements de sécurité</w:t>
      </w:r>
      <w:r w:rsidR="00F531DF">
        <w:t xml:space="preserve"> aux </w:t>
      </w:r>
      <w:r w:rsidR="00F531DF" w:rsidRPr="005A4535">
        <w:t>inspecteurs d</w:t>
      </w:r>
      <w:r w:rsidR="00F531DF">
        <w:t>es pêches</w:t>
      </w:r>
      <w:r>
        <w:t>.</w:t>
      </w:r>
    </w:p>
    <w:p w14:paraId="707A4224" w14:textId="77777777" w:rsidR="00216B54" w:rsidRDefault="00B6168F" w:rsidP="00C1433A">
      <w:pPr>
        <w:pStyle w:val="Paragraphe"/>
        <w:numPr>
          <w:ilvl w:val="0"/>
          <w:numId w:val="16"/>
        </w:numPr>
      </w:pPr>
      <w:r>
        <w:t>Coopération inter-institutions nationale en matière de suivi, contrôle et surveillance des pêches (Comores et Tanzanie)</w:t>
      </w:r>
    </w:p>
    <w:p w14:paraId="377F49DF" w14:textId="3CC654F0" w:rsidR="00216B54" w:rsidRDefault="00216B54" w:rsidP="00C1433A">
      <w:pPr>
        <w:pStyle w:val="Paragraphe"/>
        <w:numPr>
          <w:ilvl w:val="0"/>
          <w:numId w:val="16"/>
        </w:numPr>
      </w:pPr>
      <w:r>
        <w:t>E</w:t>
      </w:r>
      <w:r w:rsidR="00B6168F">
        <w:t>xamen</w:t>
      </w:r>
      <w:r w:rsidR="004161ED">
        <w:t xml:space="preserve"> </w:t>
      </w:r>
      <w:r w:rsidR="00B6168F">
        <w:t xml:space="preserve">des instruments </w:t>
      </w:r>
      <w:r>
        <w:t xml:space="preserve">juridiques </w:t>
      </w:r>
      <w:r w:rsidR="00B6168F">
        <w:t>du PRSP</w:t>
      </w:r>
      <w:r>
        <w:t>.</w:t>
      </w:r>
    </w:p>
    <w:p w14:paraId="62C4BCF1" w14:textId="77777777" w:rsidR="00216B54" w:rsidRDefault="00216B54" w:rsidP="00C1433A">
      <w:pPr>
        <w:pStyle w:val="Paragraphe"/>
        <w:numPr>
          <w:ilvl w:val="0"/>
          <w:numId w:val="16"/>
        </w:numPr>
      </w:pPr>
      <w:r>
        <w:t>Organisation des c</w:t>
      </w:r>
      <w:r w:rsidR="00B6168F">
        <w:t>hapitre</w:t>
      </w:r>
      <w:r>
        <w:t>s</w:t>
      </w:r>
      <w:r w:rsidR="00B6168F">
        <w:t xml:space="preserve"> nationa</w:t>
      </w:r>
      <w:r>
        <w:t>ux</w:t>
      </w:r>
      <w:r w:rsidR="00B6168F">
        <w:t xml:space="preserve"> </w:t>
      </w:r>
      <w:r>
        <w:t>COI-</w:t>
      </w:r>
      <w:r w:rsidR="00B6168F">
        <w:t>E€OFISH pour Comores</w:t>
      </w:r>
      <w:r>
        <w:t xml:space="preserve">, </w:t>
      </w:r>
      <w:r w:rsidR="00B6168F">
        <w:t>Madagascar et Seychelles</w:t>
      </w:r>
    </w:p>
    <w:p w14:paraId="7414922C" w14:textId="44D619B9" w:rsidR="008D36A9" w:rsidRPr="008D36A9" w:rsidRDefault="008D36A9" w:rsidP="004161ED">
      <w:pPr>
        <w:pStyle w:val="Paragraphe"/>
        <w:numPr>
          <w:ilvl w:val="0"/>
          <w:numId w:val="18"/>
        </w:numPr>
        <w:rPr>
          <w:b/>
          <w:bCs/>
        </w:rPr>
      </w:pPr>
      <w:r w:rsidRPr="008D36A9">
        <w:rPr>
          <w:b/>
          <w:bCs/>
        </w:rPr>
        <w:t>Patrouille</w:t>
      </w:r>
      <w:r w:rsidR="00E04544">
        <w:rPr>
          <w:b/>
          <w:bCs/>
        </w:rPr>
        <w:t>s</w:t>
      </w:r>
      <w:r w:rsidRPr="008D36A9">
        <w:rPr>
          <w:b/>
          <w:bCs/>
        </w:rPr>
        <w:t xml:space="preserve"> régionale</w:t>
      </w:r>
      <w:r w:rsidR="00E04544">
        <w:rPr>
          <w:b/>
          <w:bCs/>
        </w:rPr>
        <w:t>s</w:t>
      </w:r>
      <w:r w:rsidRPr="008D36A9">
        <w:rPr>
          <w:b/>
          <w:bCs/>
        </w:rPr>
        <w:t xml:space="preserve"> PRSP </w:t>
      </w:r>
      <w:r w:rsidR="00463EB6" w:rsidRPr="008D36A9">
        <w:rPr>
          <w:b/>
          <w:bCs/>
        </w:rPr>
        <w:t>:</w:t>
      </w:r>
    </w:p>
    <w:p w14:paraId="092D9EA2" w14:textId="2506FA82" w:rsidR="008D36A9" w:rsidRDefault="00463EB6" w:rsidP="00E94698">
      <w:pPr>
        <w:pStyle w:val="Paragraphe"/>
      </w:pPr>
      <w:r>
        <w:t>Q</w:t>
      </w:r>
      <w:r w:rsidR="008D36A9">
        <w:t xml:space="preserve">uatre patrouilles régionales en mer ont pu être réalisées dont deux à bord d’OSIRIS II et une à bord du navire </w:t>
      </w:r>
      <w:r w:rsidR="00C1433A">
        <w:t xml:space="preserve">malgache </w:t>
      </w:r>
      <w:r w:rsidR="008D36A9">
        <w:t>de surveillance « ATSANTSA »</w:t>
      </w:r>
      <w:r>
        <w:t>. U</w:t>
      </w:r>
      <w:r w:rsidR="008D36A9">
        <w:t xml:space="preserve">ne autre </w:t>
      </w:r>
      <w:r>
        <w:t>mission a</w:t>
      </w:r>
      <w:r w:rsidR="008D36A9">
        <w:t xml:space="preserve"> </w:t>
      </w:r>
      <w:r>
        <w:t xml:space="preserve">été réalisée à </w:t>
      </w:r>
      <w:r w:rsidR="008D36A9">
        <w:t>bord du navire de Seychelles Coast Guard « SAYA DE MALHA ».</w:t>
      </w:r>
      <w:r w:rsidR="00216B54">
        <w:t xml:space="preserve"> </w:t>
      </w:r>
      <w:r w:rsidR="008D36A9">
        <w:t>Deux surveillances aériennes ont été également exécutées respectivement à bord du DORNIER de Air Force Seychelles et du DORNIER de Maurice.</w:t>
      </w:r>
    </w:p>
    <w:p w14:paraId="5DF38D81" w14:textId="798EB73E" w:rsidR="00C1433A" w:rsidRDefault="00216B54" w:rsidP="004161ED">
      <w:pPr>
        <w:pStyle w:val="Paragraphe"/>
        <w:numPr>
          <w:ilvl w:val="0"/>
          <w:numId w:val="18"/>
        </w:numPr>
        <w:rPr>
          <w:b/>
          <w:bCs/>
        </w:rPr>
      </w:pPr>
      <w:r w:rsidRPr="00F531DF">
        <w:rPr>
          <w:b/>
          <w:bCs/>
        </w:rPr>
        <w:t>Réalisation des études :</w:t>
      </w:r>
      <w:r w:rsidR="00C1433A">
        <w:rPr>
          <w:b/>
          <w:bCs/>
        </w:rPr>
        <w:t xml:space="preserve"> </w:t>
      </w:r>
    </w:p>
    <w:p w14:paraId="362B51A4" w14:textId="3E58564D" w:rsidR="008D36A9" w:rsidRPr="00C1433A" w:rsidRDefault="008D36A9" w:rsidP="00C1433A">
      <w:pPr>
        <w:pStyle w:val="Paragraphe"/>
        <w:rPr>
          <w:b/>
          <w:bCs/>
        </w:rPr>
      </w:pPr>
      <w:r>
        <w:t>Trois études ont été validées par les membres de l’UCR. Il s’agit </w:t>
      </w:r>
      <w:r w:rsidR="007E2BCD">
        <w:t>de :</w:t>
      </w:r>
    </w:p>
    <w:p w14:paraId="36E7E189" w14:textId="769D4BE6" w:rsidR="008D36A9" w:rsidRPr="007515AD" w:rsidRDefault="00463EB6" w:rsidP="00C1433A">
      <w:pPr>
        <w:pStyle w:val="Paragraphe"/>
        <w:numPr>
          <w:ilvl w:val="0"/>
          <w:numId w:val="16"/>
        </w:numPr>
      </w:pPr>
      <w:r w:rsidRPr="00C1433A">
        <w:t>L’e</w:t>
      </w:r>
      <w:r w:rsidR="008D36A9" w:rsidRPr="00C1433A">
        <w:t>xamen complet du suivi, du contrôle et de la surveillance (SCS) des pêches en Afrique orientale et australe et dans la région de l'océan Indien (EA-SA-IO)</w:t>
      </w:r>
      <w:r w:rsidRPr="00C1433A">
        <w:t>.</w:t>
      </w:r>
    </w:p>
    <w:p w14:paraId="78C42041" w14:textId="29882FE0" w:rsidR="008D36A9" w:rsidRPr="00C1433A" w:rsidRDefault="00463EB6" w:rsidP="00C1433A">
      <w:pPr>
        <w:pStyle w:val="Paragraphe"/>
        <w:numPr>
          <w:ilvl w:val="0"/>
          <w:numId w:val="16"/>
        </w:numPr>
      </w:pPr>
      <w:r w:rsidRPr="00C1433A">
        <w:t>L’e</w:t>
      </w:r>
      <w:r w:rsidR="008D36A9" w:rsidRPr="00C1433A">
        <w:t>xamen complet de la capacité juridique de SCS des pêches dans la région EA-SA-IO</w:t>
      </w:r>
      <w:r w:rsidRPr="00C1433A">
        <w:t>.</w:t>
      </w:r>
    </w:p>
    <w:p w14:paraId="17165580" w14:textId="720A853F" w:rsidR="008D36A9" w:rsidRPr="00831FA3" w:rsidRDefault="00463EB6" w:rsidP="00C1433A">
      <w:pPr>
        <w:pStyle w:val="Paragraphe"/>
        <w:numPr>
          <w:ilvl w:val="0"/>
          <w:numId w:val="16"/>
        </w:numPr>
      </w:pPr>
      <w:r w:rsidRPr="00C1433A">
        <w:t>L’élaboration</w:t>
      </w:r>
      <w:r w:rsidR="008D36A9" w:rsidRPr="00C1433A">
        <w:t xml:space="preserve"> d'un cadre formel de gouvernance du Plan Régional de Surveillance des Pêches (PRSP) du Projet E€OFISH–Résultat 2, dans le cadre de l'institutionnalisation du PRSP</w:t>
      </w:r>
      <w:r w:rsidRPr="00C1433A">
        <w:t>.</w:t>
      </w:r>
    </w:p>
    <w:p w14:paraId="348CE32E" w14:textId="77777777" w:rsidR="00012763" w:rsidRDefault="00012763" w:rsidP="00C1433A">
      <w:pPr>
        <w:pStyle w:val="Paragraphe"/>
        <w:numPr>
          <w:ilvl w:val="0"/>
          <w:numId w:val="16"/>
        </w:numPr>
      </w:pPr>
      <w:r>
        <w:t>En outre, d</w:t>
      </w:r>
      <w:r w:rsidRPr="005A4535">
        <w:t>es équipements IT et matériels de sécurité pour les inspecteurs d</w:t>
      </w:r>
      <w:r>
        <w:t xml:space="preserve">es pêches </w:t>
      </w:r>
      <w:r w:rsidRPr="005A4535">
        <w:t>ont pu être remis aux sept pays</w:t>
      </w:r>
      <w:r>
        <w:t xml:space="preserve"> participant au PRSP en marge la 54</w:t>
      </w:r>
      <w:r w:rsidRPr="00C1433A">
        <w:t>ème</w:t>
      </w:r>
      <w:r>
        <w:t xml:space="preserve"> réunion de l’UCR, tenue à Maurice les 12 et 13 décembre 2022.</w:t>
      </w:r>
    </w:p>
    <w:p w14:paraId="08270850" w14:textId="6CCAE271" w:rsidR="008D36A9" w:rsidRDefault="00463EB6" w:rsidP="004161ED">
      <w:pPr>
        <w:pStyle w:val="Paragraphe"/>
        <w:numPr>
          <w:ilvl w:val="0"/>
          <w:numId w:val="18"/>
        </w:numPr>
        <w:rPr>
          <w:b/>
          <w:bCs/>
        </w:rPr>
      </w:pPr>
      <w:r w:rsidRPr="007B54E2">
        <w:rPr>
          <w:b/>
          <w:bCs/>
        </w:rPr>
        <w:t xml:space="preserve">Les </w:t>
      </w:r>
      <w:r w:rsidR="00075C51">
        <w:rPr>
          <w:b/>
          <w:bCs/>
        </w:rPr>
        <w:t xml:space="preserve">points saillants des </w:t>
      </w:r>
      <w:r w:rsidRPr="007B54E2">
        <w:rPr>
          <w:b/>
          <w:bCs/>
        </w:rPr>
        <w:t>recommandations issues de la 11</w:t>
      </w:r>
      <w:r w:rsidRPr="007B54E2">
        <w:rPr>
          <w:b/>
          <w:bCs/>
          <w:vertAlign w:val="superscript"/>
        </w:rPr>
        <w:t>ème</w:t>
      </w:r>
      <w:r w:rsidRPr="007B54E2">
        <w:rPr>
          <w:b/>
          <w:bCs/>
        </w:rPr>
        <w:t xml:space="preserve"> UCRE :</w:t>
      </w:r>
    </w:p>
    <w:p w14:paraId="7C4860E3" w14:textId="60A5C1C9" w:rsidR="005A4277" w:rsidRPr="005A4277" w:rsidRDefault="005A4277" w:rsidP="00C869EB">
      <w:pPr>
        <w:pStyle w:val="Paragraphe"/>
        <w:rPr>
          <w:b/>
          <w:bCs/>
        </w:rPr>
      </w:pPr>
      <w:r>
        <w:rPr>
          <w:b/>
          <w:bCs/>
        </w:rPr>
        <w:t>Sur le renforce</w:t>
      </w:r>
      <w:r w:rsidRPr="005A4277">
        <w:rPr>
          <w:b/>
          <w:bCs/>
        </w:rPr>
        <w:t>ment de la c</w:t>
      </w:r>
      <w:r>
        <w:rPr>
          <w:b/>
          <w:bCs/>
        </w:rPr>
        <w:t>ollaboration avec les entités œuvrant dans le cadre de la lutte contre la pêche INN :</w:t>
      </w:r>
    </w:p>
    <w:p w14:paraId="24E37CAC" w14:textId="52476354" w:rsidR="007B54E2" w:rsidRDefault="00BF012A" w:rsidP="007B54E2">
      <w:pPr>
        <w:pStyle w:val="Paragraphe"/>
        <w:numPr>
          <w:ilvl w:val="0"/>
          <w:numId w:val="13"/>
        </w:numPr>
      </w:pPr>
      <w:r>
        <w:t>Poursuite de la c</w:t>
      </w:r>
      <w:r w:rsidR="007B54E2">
        <w:t>ollabor</w:t>
      </w:r>
      <w:r>
        <w:t>ation</w:t>
      </w:r>
      <w:r w:rsidR="007B54E2">
        <w:t xml:space="preserve"> avec les entités </w:t>
      </w:r>
      <w:r>
        <w:t xml:space="preserve">œuvrant </w:t>
      </w:r>
      <w:r w:rsidR="007B54E2">
        <w:t>contre la pêche INN notamment SADC MCS CC, APSOI, CTOI, MASE avec les deux Centres régionaux (CRFIM et CRCO), EFCA</w:t>
      </w:r>
      <w:r>
        <w:t>.</w:t>
      </w:r>
    </w:p>
    <w:p w14:paraId="22FF69DF" w14:textId="77777777" w:rsidR="00C31337" w:rsidRPr="00C31337" w:rsidRDefault="00C31337" w:rsidP="00C31337">
      <w:pPr>
        <w:pStyle w:val="Paragraphe"/>
        <w:numPr>
          <w:ilvl w:val="0"/>
          <w:numId w:val="13"/>
        </w:numPr>
      </w:pPr>
      <w:r w:rsidRPr="00C31337">
        <w:rPr>
          <w:rFonts w:eastAsia="MS Mincho"/>
        </w:rPr>
        <w:lastRenderedPageBreak/>
        <w:t>F</w:t>
      </w:r>
      <w:r w:rsidR="00212A08" w:rsidRPr="00C31337">
        <w:rPr>
          <w:rFonts w:eastAsia="MS Mincho"/>
        </w:rPr>
        <w:t>inalis</w:t>
      </w:r>
      <w:r w:rsidRPr="00C31337">
        <w:rPr>
          <w:rFonts w:eastAsia="MS Mincho"/>
        </w:rPr>
        <w:t>ation des procédures</w:t>
      </w:r>
      <w:r w:rsidR="00212A08" w:rsidRPr="00C31337">
        <w:rPr>
          <w:rFonts w:eastAsia="MS Mincho"/>
        </w:rPr>
        <w:t xml:space="preserve"> </w:t>
      </w:r>
      <w:r w:rsidRPr="00C31337">
        <w:rPr>
          <w:rFonts w:eastAsia="MS Mincho"/>
        </w:rPr>
        <w:t xml:space="preserve">en vue de la </w:t>
      </w:r>
      <w:r w:rsidR="00212A08" w:rsidRPr="00C31337">
        <w:rPr>
          <w:rFonts w:eastAsia="MS Mincho"/>
        </w:rPr>
        <w:t xml:space="preserve">formalisation de la collaboration entre la CTOI et la COI </w:t>
      </w:r>
      <w:r w:rsidRPr="00C31337">
        <w:rPr>
          <w:rFonts w:eastAsia="MS Mincho"/>
        </w:rPr>
        <w:t>concernant l</w:t>
      </w:r>
      <w:r w:rsidR="00212A08" w:rsidRPr="00C31337">
        <w:rPr>
          <w:rFonts w:eastAsia="MS Mincho"/>
        </w:rPr>
        <w:t>es activités du PRSP et d’E€OFISH</w:t>
      </w:r>
      <w:r>
        <w:rPr>
          <w:rFonts w:eastAsia="MS Mincho"/>
        </w:rPr>
        <w:t>.</w:t>
      </w:r>
    </w:p>
    <w:p w14:paraId="71F5F7B3" w14:textId="07ED3778" w:rsidR="00212A08" w:rsidRPr="005A4277" w:rsidRDefault="00C31337" w:rsidP="00C31337">
      <w:pPr>
        <w:pStyle w:val="Paragraphe"/>
        <w:numPr>
          <w:ilvl w:val="0"/>
          <w:numId w:val="13"/>
        </w:numPr>
      </w:pPr>
      <w:r>
        <w:rPr>
          <w:rFonts w:eastAsia="MS Mincho"/>
        </w:rPr>
        <w:t xml:space="preserve">Finalisation du </w:t>
      </w:r>
      <w:r w:rsidR="00212A08" w:rsidRPr="00C31337">
        <w:rPr>
          <w:rFonts w:eastAsia="MS Mincho"/>
        </w:rPr>
        <w:t>protocole d’accord entre EFCA et la COI (E€OFISH – Résultat 2).</w:t>
      </w:r>
    </w:p>
    <w:p w14:paraId="3275B17D" w14:textId="43244D50" w:rsidR="005A4277" w:rsidRPr="005A4277" w:rsidRDefault="005A4277" w:rsidP="005A4277">
      <w:pPr>
        <w:pStyle w:val="Paragraphe"/>
        <w:rPr>
          <w:rFonts w:eastAsia="MS Mincho"/>
          <w:b/>
          <w:bCs/>
        </w:rPr>
      </w:pPr>
      <w:r w:rsidRPr="005A4277">
        <w:rPr>
          <w:rFonts w:eastAsia="MS Mincho"/>
          <w:b/>
          <w:bCs/>
        </w:rPr>
        <w:t>Sur le mandat et le domaine de coopération du PRSP :</w:t>
      </w:r>
    </w:p>
    <w:p w14:paraId="3F228E45" w14:textId="2B788435" w:rsidR="005A4277" w:rsidRPr="005A4277" w:rsidRDefault="005A4277" w:rsidP="005A4277">
      <w:pPr>
        <w:pStyle w:val="Paragraphe"/>
        <w:numPr>
          <w:ilvl w:val="0"/>
          <w:numId w:val="13"/>
        </w:numPr>
      </w:pPr>
      <w:r>
        <w:t xml:space="preserve">Extension des activités du PRSP dans le domaine de la petite pêche </w:t>
      </w:r>
      <w:r w:rsidRPr="00C31337">
        <w:rPr>
          <w:rFonts w:eastAsia="MS Mincho"/>
        </w:rPr>
        <w:t>avec l’accord de l’État territorialement compétent selon la déclaration ministérielle de 2017.</w:t>
      </w:r>
    </w:p>
    <w:p w14:paraId="297064E9" w14:textId="77777777" w:rsidR="005A4277" w:rsidRPr="00C31337" w:rsidRDefault="005A4277" w:rsidP="005A4277">
      <w:pPr>
        <w:pStyle w:val="Paragraphe"/>
        <w:numPr>
          <w:ilvl w:val="0"/>
          <w:numId w:val="13"/>
        </w:numPr>
      </w:pPr>
      <w:r>
        <w:rPr>
          <w:rFonts w:eastAsia="MS Mincho"/>
        </w:rPr>
        <w:t xml:space="preserve">Approbation de </w:t>
      </w:r>
      <w:r w:rsidRPr="00C31337">
        <w:rPr>
          <w:rFonts w:eastAsia="MS Mincho"/>
        </w:rPr>
        <w:t>l’embarquement des observateurs scientifiques à bord d’un navire de surveillance en mission sous réserve d</w:t>
      </w:r>
      <w:r>
        <w:rPr>
          <w:rFonts w:eastAsia="MS Mincho"/>
        </w:rPr>
        <w:t>’</w:t>
      </w:r>
      <w:r w:rsidRPr="00C31337">
        <w:rPr>
          <w:rFonts w:eastAsia="MS Mincho"/>
        </w:rPr>
        <w:t>une autorisation préalable de l’État côtier et de la logistique à bord</w:t>
      </w:r>
      <w:r>
        <w:rPr>
          <w:rFonts w:eastAsia="MS Mincho"/>
        </w:rPr>
        <w:t xml:space="preserve"> et de la soumission </w:t>
      </w:r>
      <w:r w:rsidRPr="00C31337">
        <w:rPr>
          <w:rFonts w:eastAsia="MS Mincho"/>
        </w:rPr>
        <w:t xml:space="preserve">à l’État côtier </w:t>
      </w:r>
      <w:r>
        <w:rPr>
          <w:rFonts w:eastAsia="MS Mincho"/>
        </w:rPr>
        <w:t xml:space="preserve">du rapport sur </w:t>
      </w:r>
      <w:r w:rsidRPr="00C31337">
        <w:rPr>
          <w:rFonts w:eastAsia="MS Mincho"/>
        </w:rPr>
        <w:t>les résultats de ces observations.</w:t>
      </w:r>
    </w:p>
    <w:p w14:paraId="2952A252" w14:textId="04EB3660" w:rsidR="005A4277" w:rsidRPr="005A4277" w:rsidRDefault="005A4277" w:rsidP="005A4277">
      <w:pPr>
        <w:pStyle w:val="Paragraphe"/>
        <w:rPr>
          <w:b/>
          <w:bCs/>
        </w:rPr>
      </w:pPr>
      <w:r w:rsidRPr="005A4277">
        <w:rPr>
          <w:b/>
          <w:bCs/>
        </w:rPr>
        <w:t>Sur l’institutionnalisation du PRSP et l’extension du programme ECOFISH :</w:t>
      </w:r>
    </w:p>
    <w:p w14:paraId="7FDF934B" w14:textId="21CB46CB" w:rsidR="005A4277" w:rsidRPr="00C31337" w:rsidRDefault="005A4277" w:rsidP="005A4277">
      <w:pPr>
        <w:pStyle w:val="Paragraphe"/>
        <w:numPr>
          <w:ilvl w:val="0"/>
          <w:numId w:val="13"/>
        </w:numPr>
      </w:pPr>
      <w:r>
        <w:t>Poursuite du processus d’institutionnalisation et de pérennisation du PRSP.</w:t>
      </w:r>
    </w:p>
    <w:p w14:paraId="5E01A4F5" w14:textId="2A5D7E38" w:rsidR="00511CFA" w:rsidRPr="00C31337" w:rsidRDefault="00511CFA" w:rsidP="00C31337">
      <w:pPr>
        <w:pStyle w:val="Paragraphe"/>
        <w:numPr>
          <w:ilvl w:val="0"/>
          <w:numId w:val="13"/>
        </w:numPr>
      </w:pPr>
      <w:r w:rsidRPr="00841783">
        <w:t xml:space="preserve">L'UCRE </w:t>
      </w:r>
      <w:r w:rsidR="00C31337">
        <w:t xml:space="preserve">a </w:t>
      </w:r>
      <w:r w:rsidRPr="00841783">
        <w:t>invit</w:t>
      </w:r>
      <w:r w:rsidR="00C31337">
        <w:t>é</w:t>
      </w:r>
      <w:r w:rsidRPr="00841783">
        <w:t xml:space="preserve"> la COI et la DUE à envisager une extension de la durée du programme E€OFISH.</w:t>
      </w:r>
    </w:p>
    <w:p w14:paraId="1AF81071" w14:textId="77777777" w:rsidR="00F531DF" w:rsidRPr="0059196D" w:rsidRDefault="00F531DF" w:rsidP="0008468B">
      <w:pPr>
        <w:jc w:val="both"/>
        <w:rPr>
          <w:rFonts w:ascii="Verdana" w:hAnsi="Verdana" w:cs="Calibri"/>
          <w:sz w:val="2"/>
          <w:szCs w:val="2"/>
        </w:rPr>
      </w:pPr>
    </w:p>
    <w:p w14:paraId="0033CAF2" w14:textId="4A408B42" w:rsidR="00F531DF" w:rsidRPr="004161ED" w:rsidRDefault="00F531DF" w:rsidP="004161ED">
      <w:pPr>
        <w:pStyle w:val="Paragraphe"/>
        <w:numPr>
          <w:ilvl w:val="0"/>
          <w:numId w:val="18"/>
        </w:numPr>
        <w:rPr>
          <w:b/>
          <w:bCs/>
        </w:rPr>
      </w:pPr>
      <w:r w:rsidRPr="004161ED">
        <w:rPr>
          <w:b/>
          <w:bCs/>
        </w:rPr>
        <w:t>Organisation de la troisième conférence ministérielle du PRSP :</w:t>
      </w:r>
    </w:p>
    <w:p w14:paraId="00E5792C" w14:textId="1A63E5B7" w:rsidR="005F315D" w:rsidRDefault="00F531DF" w:rsidP="004065DB">
      <w:pPr>
        <w:pStyle w:val="Paragraphe"/>
        <w:rPr>
          <w:rFonts w:eastAsia="MS Mincho"/>
        </w:rPr>
      </w:pPr>
      <w:r>
        <w:rPr>
          <w:rFonts w:eastAsia="MS Mincho"/>
        </w:rPr>
        <w:t xml:space="preserve">Cette conférence est prévue </w:t>
      </w:r>
      <w:r w:rsidRPr="00C31337">
        <w:rPr>
          <w:rFonts w:eastAsia="MS Mincho"/>
        </w:rPr>
        <w:t>en septembre 2023 dans l’un des pays de l’Afrique de l’Est</w:t>
      </w:r>
      <w:r>
        <w:rPr>
          <w:rFonts w:eastAsia="MS Mincho"/>
        </w:rPr>
        <w:t xml:space="preserve"> conformément aux recommandations de la </w:t>
      </w:r>
      <w:r w:rsidR="00075C51">
        <w:rPr>
          <w:rFonts w:eastAsia="MS Mincho"/>
        </w:rPr>
        <w:t>dernière</w:t>
      </w:r>
      <w:r>
        <w:rPr>
          <w:rFonts w:eastAsia="MS Mincho"/>
        </w:rPr>
        <w:t xml:space="preserve"> </w:t>
      </w:r>
      <w:r w:rsidR="00075C51">
        <w:rPr>
          <w:rFonts w:eastAsia="MS Mincho"/>
        </w:rPr>
        <w:t>réunion</w:t>
      </w:r>
      <w:r>
        <w:rPr>
          <w:rFonts w:eastAsia="MS Mincho"/>
        </w:rPr>
        <w:t xml:space="preserve"> de l’UCRE. </w:t>
      </w:r>
      <w:r w:rsidR="00075C51">
        <w:rPr>
          <w:rFonts w:eastAsia="MS Mincho"/>
        </w:rPr>
        <w:t xml:space="preserve">Cette conférence sera l’occasion de dresser le bilan du PRSP depuis la dernière conférence ministérielle de 2017 et de fixer le nouveau cap en vue de l’institutionnalisation de ce mécanisme régional de coopération. A ce titre, </w:t>
      </w:r>
      <w:r w:rsidR="00075C51" w:rsidRPr="004161ED">
        <w:rPr>
          <w:rFonts w:eastAsia="MS Mincho"/>
        </w:rPr>
        <w:t xml:space="preserve">les projets de textes </w:t>
      </w:r>
      <w:r w:rsidR="004161ED">
        <w:rPr>
          <w:rFonts w:eastAsia="MS Mincho"/>
        </w:rPr>
        <w:t xml:space="preserve">régissant le PRSP </w:t>
      </w:r>
      <w:r w:rsidR="00075C51" w:rsidRPr="004161ED">
        <w:rPr>
          <w:rFonts w:eastAsia="MS Mincho"/>
        </w:rPr>
        <w:t>s</w:t>
      </w:r>
      <w:r w:rsidR="004161ED">
        <w:rPr>
          <w:rFonts w:eastAsia="MS Mincho"/>
        </w:rPr>
        <w:t xml:space="preserve">eront soumis </w:t>
      </w:r>
      <w:r w:rsidR="00075C51" w:rsidRPr="004161ED">
        <w:rPr>
          <w:rFonts w:eastAsia="MS Mincho"/>
        </w:rPr>
        <w:t xml:space="preserve">aux ministres en charge de la pêche des États participants au PRSP </w:t>
      </w:r>
      <w:r w:rsidR="00CE5DB1" w:rsidRPr="004161ED">
        <w:rPr>
          <w:rFonts w:eastAsia="MS Mincho"/>
        </w:rPr>
        <w:t xml:space="preserve">lors de la </w:t>
      </w:r>
      <w:r w:rsidR="00075C51" w:rsidRPr="004161ED">
        <w:rPr>
          <w:rFonts w:eastAsia="MS Mincho"/>
        </w:rPr>
        <w:t xml:space="preserve">prochaine </w:t>
      </w:r>
      <w:r w:rsidR="00CE5DB1" w:rsidRPr="004161ED">
        <w:rPr>
          <w:rFonts w:eastAsia="MS Mincho"/>
        </w:rPr>
        <w:t xml:space="preserve">Conférence </w:t>
      </w:r>
      <w:r w:rsidR="004D128D">
        <w:rPr>
          <w:rFonts w:eastAsia="MS Mincho"/>
        </w:rPr>
        <w:t>m</w:t>
      </w:r>
      <w:r w:rsidR="00CE5DB1" w:rsidRPr="004161ED">
        <w:rPr>
          <w:rFonts w:eastAsia="MS Mincho"/>
        </w:rPr>
        <w:t>inistériell</w:t>
      </w:r>
      <w:r w:rsidR="004161ED">
        <w:rPr>
          <w:rFonts w:eastAsia="MS Mincho"/>
        </w:rPr>
        <w:t>e, entre autres, l’a</w:t>
      </w:r>
      <w:r w:rsidR="00CE5DB1" w:rsidRPr="004161ED">
        <w:rPr>
          <w:rFonts w:eastAsia="MS Mincho"/>
        </w:rPr>
        <w:t xml:space="preserve">rrangement </w:t>
      </w:r>
      <w:r w:rsidR="004D128D">
        <w:rPr>
          <w:rFonts w:eastAsia="MS Mincho"/>
        </w:rPr>
        <w:t>a</w:t>
      </w:r>
      <w:r w:rsidR="00CE5DB1" w:rsidRPr="004161ED">
        <w:rPr>
          <w:rFonts w:eastAsia="MS Mincho"/>
        </w:rPr>
        <w:t xml:space="preserve">dministratif </w:t>
      </w:r>
      <w:r w:rsidR="004161ED" w:rsidRPr="004161ED">
        <w:rPr>
          <w:rFonts w:eastAsia="MS Mincho"/>
        </w:rPr>
        <w:t>révisé</w:t>
      </w:r>
      <w:r w:rsidR="004161ED">
        <w:rPr>
          <w:rFonts w:eastAsia="MS Mincho"/>
        </w:rPr>
        <w:t>, l</w:t>
      </w:r>
      <w:r w:rsidR="00577D24" w:rsidRPr="004161ED">
        <w:rPr>
          <w:rFonts w:eastAsia="MS Mincho"/>
        </w:rPr>
        <w:t>e cadre régional d’échange d’informations stratégiques sur la pêche aux fins du suivi, contrôle et surveillance des pêches</w:t>
      </w:r>
      <w:r w:rsidR="00391039">
        <w:rPr>
          <w:rFonts w:eastAsia="MS Mincho"/>
        </w:rPr>
        <w:t xml:space="preserve"> et l</w:t>
      </w:r>
      <w:r w:rsidR="00577D24" w:rsidRPr="004161ED">
        <w:rPr>
          <w:rFonts w:eastAsia="MS Mincho"/>
        </w:rPr>
        <w:t xml:space="preserve">e protocole d'accord pour l'accréditation des observateurs des États côtiers du </w:t>
      </w:r>
      <w:r w:rsidR="004D128D">
        <w:rPr>
          <w:rFonts w:eastAsia="MS Mincho"/>
        </w:rPr>
        <w:t>S</w:t>
      </w:r>
      <w:r w:rsidR="00577D24" w:rsidRPr="004161ED">
        <w:rPr>
          <w:rFonts w:eastAsia="MS Mincho"/>
        </w:rPr>
        <w:t>ud-</w:t>
      </w:r>
      <w:r w:rsidR="004D128D">
        <w:rPr>
          <w:rFonts w:eastAsia="MS Mincho"/>
        </w:rPr>
        <w:t>O</w:t>
      </w:r>
      <w:r w:rsidR="00577D24" w:rsidRPr="004161ED">
        <w:rPr>
          <w:rFonts w:eastAsia="MS Mincho"/>
        </w:rPr>
        <w:t>uest de l’</w:t>
      </w:r>
      <w:r w:rsidR="004D128D">
        <w:rPr>
          <w:rFonts w:eastAsia="MS Mincho"/>
        </w:rPr>
        <w:t>o</w:t>
      </w:r>
      <w:r w:rsidR="00577D24" w:rsidRPr="004161ED">
        <w:rPr>
          <w:rFonts w:eastAsia="MS Mincho"/>
        </w:rPr>
        <w:t>céan Indien au niveau sous-régional et l'échange de données d'observateurs</w:t>
      </w:r>
      <w:r w:rsidR="00391039">
        <w:rPr>
          <w:rFonts w:eastAsia="MS Mincho"/>
        </w:rPr>
        <w:t>.</w:t>
      </w:r>
    </w:p>
    <w:p w14:paraId="3CA85C65" w14:textId="21ED68D5" w:rsidR="00FB48FA" w:rsidRDefault="00FB48FA" w:rsidP="004065DB">
      <w:pPr>
        <w:pStyle w:val="Paragraphe"/>
        <w:rPr>
          <w:rFonts w:eastAsia="MS Mincho"/>
        </w:rPr>
      </w:pPr>
    </w:p>
    <w:p w14:paraId="595CDFE8" w14:textId="04E1A48D" w:rsidR="00FB48FA" w:rsidRPr="00FB48FA" w:rsidRDefault="00FB48FA" w:rsidP="00FB48FA">
      <w:pPr>
        <w:pStyle w:val="Paragraphe"/>
        <w:numPr>
          <w:ilvl w:val="0"/>
          <w:numId w:val="19"/>
        </w:numPr>
        <w:rPr>
          <w:b/>
          <w:bCs/>
        </w:rPr>
      </w:pPr>
      <w:r w:rsidRPr="00FB48FA">
        <w:rPr>
          <w:b/>
        </w:rPr>
        <w:t xml:space="preserve">Instruction d’un nouveau projet avec la Banque </w:t>
      </w:r>
      <w:r w:rsidR="004D128D">
        <w:rPr>
          <w:b/>
        </w:rPr>
        <w:t>m</w:t>
      </w:r>
      <w:r w:rsidRPr="00FB48FA">
        <w:rPr>
          <w:b/>
        </w:rPr>
        <w:t xml:space="preserve">ondiale : Projet de transformation de la gestion du secteur de la pêche dans la région du </w:t>
      </w:r>
      <w:r w:rsidR="004D128D">
        <w:rPr>
          <w:b/>
        </w:rPr>
        <w:t>S</w:t>
      </w:r>
      <w:r w:rsidRPr="00FB48FA">
        <w:rPr>
          <w:b/>
        </w:rPr>
        <w:t>ud-</w:t>
      </w:r>
      <w:r w:rsidR="004D128D">
        <w:rPr>
          <w:b/>
        </w:rPr>
        <w:t>O</w:t>
      </w:r>
      <w:r w:rsidRPr="00FB48FA">
        <w:rPr>
          <w:b/>
        </w:rPr>
        <w:t>uest de l'océan Indien et aux Maldives.</w:t>
      </w:r>
    </w:p>
    <w:p w14:paraId="47B35A1A" w14:textId="789883BD" w:rsidR="00B91512" w:rsidRPr="00B91512" w:rsidRDefault="00B91512" w:rsidP="00B91512">
      <w:pPr>
        <w:pStyle w:val="Paragraphedeliste"/>
        <w:numPr>
          <w:ilvl w:val="0"/>
          <w:numId w:val="26"/>
        </w:numPr>
        <w:jc w:val="both"/>
        <w:rPr>
          <w:rFonts w:ascii="Verdana" w:hAnsi="Verdana" w:cs="Calibri"/>
          <w:b/>
          <w:bCs/>
          <w:sz w:val="20"/>
          <w:szCs w:val="20"/>
        </w:rPr>
      </w:pPr>
      <w:r w:rsidRPr="00B91512">
        <w:rPr>
          <w:rFonts w:ascii="Verdana" w:hAnsi="Verdana" w:cs="Calibri"/>
          <w:b/>
          <w:bCs/>
          <w:sz w:val="20"/>
          <w:szCs w:val="20"/>
        </w:rPr>
        <w:t>Contexte.</w:t>
      </w:r>
    </w:p>
    <w:p w14:paraId="244700B1" w14:textId="7E77F9BB" w:rsidR="00B91512" w:rsidRPr="008411E8" w:rsidRDefault="0029765E" w:rsidP="00B91512">
      <w:pPr>
        <w:jc w:val="both"/>
        <w:rPr>
          <w:rFonts w:ascii="Verdana" w:eastAsia="MS Mincho" w:hAnsi="Verdana" w:cs="Calibri"/>
          <w:sz w:val="20"/>
          <w:szCs w:val="20"/>
        </w:rPr>
      </w:pPr>
      <w:r w:rsidRPr="008411E8">
        <w:rPr>
          <w:rFonts w:ascii="Verdana" w:eastAsia="MS Mincho" w:hAnsi="Verdana" w:cs="Calibri"/>
          <w:sz w:val="20"/>
          <w:szCs w:val="20"/>
        </w:rPr>
        <w:t>La COI a apporté son appui aux pays membres</w:t>
      </w:r>
      <w:r w:rsidR="00C47150" w:rsidRPr="008411E8">
        <w:rPr>
          <w:rFonts w:ascii="Verdana" w:eastAsia="MS Mincho" w:hAnsi="Verdana" w:cs="Calibri"/>
          <w:sz w:val="20"/>
          <w:szCs w:val="20"/>
        </w:rPr>
        <w:t xml:space="preserve"> de la Commission des Pêches du Sud-Ouest de l’</w:t>
      </w:r>
      <w:r w:rsidR="00EF6316">
        <w:rPr>
          <w:rFonts w:ascii="Verdana" w:eastAsia="MS Mincho" w:hAnsi="Verdana" w:cs="Calibri"/>
          <w:sz w:val="20"/>
          <w:szCs w:val="20"/>
        </w:rPr>
        <w:t>o</w:t>
      </w:r>
      <w:r w:rsidR="00C47150" w:rsidRPr="008411E8">
        <w:rPr>
          <w:rFonts w:ascii="Verdana" w:eastAsia="MS Mincho" w:hAnsi="Verdana" w:cs="Calibri"/>
          <w:sz w:val="20"/>
          <w:szCs w:val="20"/>
        </w:rPr>
        <w:t>céan Indien (CPSOOI</w:t>
      </w:r>
      <w:r w:rsidRPr="008411E8">
        <w:rPr>
          <w:rFonts w:ascii="Verdana" w:eastAsia="MS Mincho" w:hAnsi="Verdana" w:cs="Calibri"/>
          <w:sz w:val="20"/>
          <w:szCs w:val="20"/>
        </w:rPr>
        <w:t>/SWIOFC</w:t>
      </w:r>
      <w:r w:rsidR="00C47150" w:rsidRPr="008411E8">
        <w:rPr>
          <w:rFonts w:ascii="Verdana" w:eastAsia="MS Mincho" w:hAnsi="Verdana" w:cs="Calibri"/>
          <w:sz w:val="20"/>
          <w:szCs w:val="20"/>
        </w:rPr>
        <w:t xml:space="preserve">) </w:t>
      </w:r>
      <w:r w:rsidRPr="008411E8">
        <w:rPr>
          <w:rFonts w:ascii="Verdana" w:eastAsia="MS Mincho" w:hAnsi="Verdana" w:cs="Calibri"/>
          <w:sz w:val="20"/>
          <w:szCs w:val="20"/>
        </w:rPr>
        <w:t xml:space="preserve">à </w:t>
      </w:r>
      <w:r w:rsidR="00C47150" w:rsidRPr="008411E8">
        <w:rPr>
          <w:rFonts w:ascii="Verdana" w:eastAsia="MS Mincho" w:hAnsi="Verdana" w:cs="Calibri"/>
          <w:sz w:val="20"/>
          <w:szCs w:val="20"/>
        </w:rPr>
        <w:t>travers le Premier projet de Gouvernance des Pêches et Croissance Partagée du Sud-Ouest de l'</w:t>
      </w:r>
      <w:r w:rsidR="00B84223">
        <w:rPr>
          <w:rFonts w:ascii="Verdana" w:eastAsia="MS Mincho" w:hAnsi="Verdana" w:cs="Calibri"/>
          <w:sz w:val="20"/>
          <w:szCs w:val="20"/>
        </w:rPr>
        <w:t>o</w:t>
      </w:r>
      <w:r w:rsidR="00C47150" w:rsidRPr="008411E8">
        <w:rPr>
          <w:rFonts w:ascii="Verdana" w:eastAsia="MS Mincho" w:hAnsi="Verdana" w:cs="Calibri"/>
          <w:sz w:val="20"/>
          <w:szCs w:val="20"/>
        </w:rPr>
        <w:t>céan</w:t>
      </w:r>
      <w:r w:rsidR="00B84223">
        <w:rPr>
          <w:rFonts w:ascii="Verdana" w:eastAsia="MS Mincho" w:hAnsi="Verdana" w:cs="Calibri"/>
          <w:sz w:val="20"/>
          <w:szCs w:val="20"/>
        </w:rPr>
        <w:t xml:space="preserve"> Indien</w:t>
      </w:r>
      <w:r w:rsidR="00C47150" w:rsidRPr="008411E8">
        <w:rPr>
          <w:rFonts w:ascii="Verdana" w:eastAsia="MS Mincho" w:hAnsi="Verdana" w:cs="Calibri"/>
          <w:sz w:val="20"/>
          <w:szCs w:val="20"/>
        </w:rPr>
        <w:t xml:space="preserve"> - SWIOFish1.</w:t>
      </w:r>
    </w:p>
    <w:p w14:paraId="2C3850F0" w14:textId="723632C7" w:rsidR="00C47150" w:rsidRPr="008411E8" w:rsidRDefault="00B91512" w:rsidP="00B91512">
      <w:pPr>
        <w:jc w:val="both"/>
        <w:rPr>
          <w:rFonts w:ascii="Verdana" w:eastAsia="MS Mincho" w:hAnsi="Verdana" w:cs="Calibri"/>
          <w:sz w:val="20"/>
          <w:szCs w:val="20"/>
        </w:rPr>
      </w:pPr>
      <w:r w:rsidRPr="008411E8">
        <w:rPr>
          <w:rFonts w:ascii="Verdana" w:eastAsia="MS Mincho" w:hAnsi="Verdana" w:cs="Calibri"/>
          <w:sz w:val="20"/>
          <w:szCs w:val="20"/>
        </w:rPr>
        <w:t>L</w:t>
      </w:r>
      <w:r w:rsidR="00C47150" w:rsidRPr="008411E8">
        <w:rPr>
          <w:rFonts w:ascii="Verdana" w:eastAsia="MS Mincho" w:hAnsi="Verdana" w:cs="Calibri"/>
          <w:sz w:val="20"/>
          <w:szCs w:val="20"/>
        </w:rPr>
        <w:t xml:space="preserve">a mise en œuvre </w:t>
      </w:r>
      <w:r w:rsidR="0029765E" w:rsidRPr="008411E8">
        <w:rPr>
          <w:rFonts w:ascii="Verdana" w:eastAsia="MS Mincho" w:hAnsi="Verdana" w:cs="Calibri"/>
          <w:sz w:val="20"/>
          <w:szCs w:val="20"/>
        </w:rPr>
        <w:t xml:space="preserve">de la composante régionale dudit projet (USD 5 000 000) </w:t>
      </w:r>
      <w:r w:rsidR="00C47150" w:rsidRPr="008411E8">
        <w:rPr>
          <w:rFonts w:ascii="Verdana" w:eastAsia="MS Mincho" w:hAnsi="Verdana" w:cs="Calibri"/>
          <w:sz w:val="20"/>
          <w:szCs w:val="20"/>
        </w:rPr>
        <w:t xml:space="preserve">été confiée </w:t>
      </w:r>
      <w:r w:rsidR="0029765E" w:rsidRPr="008411E8">
        <w:rPr>
          <w:rFonts w:ascii="Verdana" w:eastAsia="MS Mincho" w:hAnsi="Verdana" w:cs="Calibri"/>
          <w:sz w:val="20"/>
          <w:szCs w:val="20"/>
        </w:rPr>
        <w:t xml:space="preserve">par la Banque mondiale </w:t>
      </w:r>
      <w:r w:rsidR="00C47150" w:rsidRPr="008411E8">
        <w:rPr>
          <w:rFonts w:ascii="Verdana" w:eastAsia="MS Mincho" w:hAnsi="Verdana" w:cs="Calibri"/>
          <w:sz w:val="20"/>
          <w:szCs w:val="20"/>
        </w:rPr>
        <w:t>à la COI</w:t>
      </w:r>
      <w:r w:rsidR="0029765E" w:rsidRPr="008411E8">
        <w:rPr>
          <w:rFonts w:ascii="Verdana" w:eastAsia="MS Mincho" w:hAnsi="Verdana" w:cs="Calibri"/>
          <w:sz w:val="20"/>
          <w:szCs w:val="20"/>
        </w:rPr>
        <w:t xml:space="preserve"> </w:t>
      </w:r>
      <w:r w:rsidR="00C47150" w:rsidRPr="008411E8">
        <w:rPr>
          <w:rFonts w:ascii="Verdana" w:eastAsia="MS Mincho" w:hAnsi="Verdana" w:cs="Calibri"/>
          <w:sz w:val="20"/>
          <w:szCs w:val="20"/>
        </w:rPr>
        <w:t>pour une durée de 6 ans</w:t>
      </w:r>
      <w:r w:rsidR="0029765E" w:rsidRPr="008411E8">
        <w:rPr>
          <w:rFonts w:ascii="Verdana" w:eastAsia="MS Mincho" w:hAnsi="Verdana" w:cs="Calibri"/>
          <w:sz w:val="20"/>
          <w:szCs w:val="20"/>
        </w:rPr>
        <w:t xml:space="preserve">. Le projet SWIOFish 1 a été clôturé </w:t>
      </w:r>
      <w:r w:rsidR="00C47150" w:rsidRPr="008411E8">
        <w:rPr>
          <w:rFonts w:ascii="Verdana" w:eastAsia="MS Mincho" w:hAnsi="Verdana" w:cs="Calibri"/>
          <w:sz w:val="20"/>
          <w:szCs w:val="20"/>
        </w:rPr>
        <w:t>le 30 septembre 2021</w:t>
      </w:r>
      <w:r w:rsidR="0029765E" w:rsidRPr="008411E8">
        <w:rPr>
          <w:rFonts w:ascii="Verdana" w:eastAsia="MS Mincho" w:hAnsi="Verdana" w:cs="Calibri"/>
          <w:sz w:val="20"/>
          <w:szCs w:val="20"/>
        </w:rPr>
        <w:t xml:space="preserve"> avec des réalisations satisfaisantes</w:t>
      </w:r>
      <w:r w:rsidR="00C47150" w:rsidRPr="008411E8">
        <w:rPr>
          <w:rFonts w:ascii="Verdana" w:eastAsia="MS Mincho" w:hAnsi="Verdana" w:cs="Calibri"/>
          <w:sz w:val="20"/>
          <w:szCs w:val="20"/>
        </w:rPr>
        <w:t>.</w:t>
      </w:r>
    </w:p>
    <w:p w14:paraId="7CA9CDFA" w14:textId="1667CB9B" w:rsidR="00BF3DE7" w:rsidRPr="00965AD7" w:rsidRDefault="00EF6316" w:rsidP="00BF3DE7">
      <w:pPr>
        <w:jc w:val="both"/>
        <w:rPr>
          <w:rFonts w:ascii="Verdana" w:eastAsia="MS Mincho" w:hAnsi="Verdana" w:cs="Calibri"/>
          <w:sz w:val="20"/>
          <w:szCs w:val="20"/>
        </w:rPr>
      </w:pPr>
      <w:r>
        <w:rPr>
          <w:rFonts w:ascii="Verdana" w:eastAsia="MS Mincho" w:hAnsi="Verdana" w:cs="Calibri"/>
          <w:sz w:val="20"/>
          <w:szCs w:val="20"/>
        </w:rPr>
        <w:t>L</w:t>
      </w:r>
      <w:r w:rsidR="00B91512" w:rsidRPr="00965AD7">
        <w:rPr>
          <w:rFonts w:ascii="Verdana" w:eastAsia="MS Mincho" w:hAnsi="Verdana" w:cs="Calibri"/>
          <w:sz w:val="20"/>
          <w:szCs w:val="20"/>
        </w:rPr>
        <w:t>e Co</w:t>
      </w:r>
      <w:r w:rsidR="00BE2E3A" w:rsidRPr="00965AD7">
        <w:rPr>
          <w:rFonts w:ascii="Verdana" w:eastAsia="MS Mincho" w:hAnsi="Verdana" w:cs="Calibri"/>
          <w:sz w:val="20"/>
          <w:szCs w:val="20"/>
        </w:rPr>
        <w:t xml:space="preserve">nseil des ministres </w:t>
      </w:r>
      <w:r w:rsidR="00B91512" w:rsidRPr="00965AD7">
        <w:rPr>
          <w:rFonts w:ascii="Verdana" w:eastAsia="MS Mincho" w:hAnsi="Verdana" w:cs="Calibri"/>
          <w:sz w:val="20"/>
          <w:szCs w:val="20"/>
        </w:rPr>
        <w:t>a demandé au Secrétariat général de « faciliter l'accès à un financement stable permettant la réalisation du mandat de la Commission des pêches du Sud-Ouest de l’océan Indien (CPSOOI) après la fin du programme SWIOFish1 » lors</w:t>
      </w:r>
      <w:r w:rsidR="00965AD7">
        <w:rPr>
          <w:rFonts w:ascii="Verdana" w:eastAsia="MS Mincho" w:hAnsi="Verdana" w:cs="Calibri"/>
          <w:sz w:val="20"/>
          <w:szCs w:val="20"/>
        </w:rPr>
        <w:t xml:space="preserve"> </w:t>
      </w:r>
      <w:r w:rsidR="00965AD7" w:rsidRPr="00965AD7">
        <w:rPr>
          <w:rFonts w:ascii="Verdana" w:eastAsia="MS Mincho" w:hAnsi="Verdana" w:cs="Calibri"/>
          <w:sz w:val="20"/>
          <w:szCs w:val="20"/>
        </w:rPr>
        <w:t>du 34</w:t>
      </w:r>
      <w:r w:rsidR="00965AD7" w:rsidRPr="00EF6316">
        <w:rPr>
          <w:rFonts w:ascii="Verdana" w:eastAsia="MS Mincho" w:hAnsi="Verdana" w:cs="Calibri"/>
          <w:sz w:val="20"/>
          <w:szCs w:val="20"/>
          <w:vertAlign w:val="superscript"/>
        </w:rPr>
        <w:t>ème</w:t>
      </w:r>
      <w:r w:rsidR="00965AD7" w:rsidRPr="00965AD7">
        <w:rPr>
          <w:rFonts w:ascii="Verdana" w:eastAsia="MS Mincho" w:hAnsi="Verdana" w:cs="Calibri"/>
          <w:sz w:val="20"/>
          <w:szCs w:val="20"/>
        </w:rPr>
        <w:t xml:space="preserve"> Conseil du 6 mars 2020.</w:t>
      </w:r>
      <w:r w:rsidR="00965AD7">
        <w:rPr>
          <w:rFonts w:ascii="Verdana" w:eastAsia="MS Mincho" w:hAnsi="Verdana" w:cs="Calibri"/>
          <w:sz w:val="20"/>
          <w:szCs w:val="20"/>
        </w:rPr>
        <w:t xml:space="preserve"> </w:t>
      </w:r>
      <w:r w:rsidR="00B91512" w:rsidRPr="00965AD7">
        <w:rPr>
          <w:rFonts w:ascii="Verdana" w:eastAsia="MS Mincho" w:hAnsi="Verdana" w:cs="Calibri"/>
          <w:sz w:val="20"/>
          <w:szCs w:val="20"/>
        </w:rPr>
        <w:t xml:space="preserve">(cf Décision </w:t>
      </w:r>
      <w:r w:rsidR="00BF3DE7" w:rsidRPr="00965AD7">
        <w:rPr>
          <w:rFonts w:ascii="Verdana" w:eastAsia="MS Mincho" w:hAnsi="Verdana" w:cs="Calibri"/>
          <w:sz w:val="20"/>
          <w:szCs w:val="20"/>
        </w:rPr>
        <w:t>9</w:t>
      </w:r>
      <w:r w:rsidR="00B91512" w:rsidRPr="00965AD7">
        <w:rPr>
          <w:rFonts w:ascii="Verdana" w:eastAsia="MS Mincho" w:hAnsi="Verdana" w:cs="Calibri"/>
          <w:sz w:val="20"/>
          <w:szCs w:val="20"/>
        </w:rPr>
        <w:t>,</w:t>
      </w:r>
      <w:r w:rsidR="00FF4F47">
        <w:rPr>
          <w:rFonts w:ascii="Verdana" w:eastAsia="MS Mincho" w:hAnsi="Verdana" w:cs="Calibri"/>
          <w:sz w:val="20"/>
          <w:szCs w:val="20"/>
        </w:rPr>
        <w:t>b.</w:t>
      </w:r>
      <w:r w:rsidR="00B91512" w:rsidRPr="00965AD7">
        <w:rPr>
          <w:rFonts w:ascii="Verdana" w:eastAsia="MS Mincho" w:hAnsi="Verdana" w:cs="Calibri"/>
          <w:sz w:val="20"/>
          <w:szCs w:val="20"/>
        </w:rPr>
        <w:t xml:space="preserve"> Pêches</w:t>
      </w:r>
      <w:r w:rsidR="00965AD7">
        <w:rPr>
          <w:rFonts w:ascii="Verdana" w:eastAsia="MS Mincho" w:hAnsi="Verdana" w:cs="Calibri"/>
          <w:sz w:val="20"/>
          <w:szCs w:val="20"/>
        </w:rPr>
        <w:t>).</w:t>
      </w:r>
      <w:r w:rsidR="00B91512" w:rsidRPr="00965AD7">
        <w:rPr>
          <w:rFonts w:ascii="Verdana" w:eastAsia="MS Mincho" w:hAnsi="Verdana" w:cs="Calibri"/>
          <w:sz w:val="20"/>
          <w:szCs w:val="20"/>
        </w:rPr>
        <w:t xml:space="preserve"> </w:t>
      </w:r>
    </w:p>
    <w:p w14:paraId="75A52245" w14:textId="673E0070" w:rsidR="00BF3DE7" w:rsidRPr="00965AD7" w:rsidRDefault="00BF3DE7" w:rsidP="00FB48FA">
      <w:pPr>
        <w:jc w:val="both"/>
        <w:rPr>
          <w:rFonts w:ascii="Verdana" w:eastAsia="MS Mincho" w:hAnsi="Verdana" w:cs="Calibri"/>
          <w:sz w:val="20"/>
          <w:szCs w:val="20"/>
        </w:rPr>
      </w:pPr>
      <w:r w:rsidRPr="00965AD7">
        <w:rPr>
          <w:rFonts w:ascii="Verdana" w:eastAsia="MS Mincho" w:hAnsi="Verdana" w:cs="Calibri"/>
          <w:sz w:val="20"/>
          <w:szCs w:val="20"/>
        </w:rPr>
        <w:lastRenderedPageBreak/>
        <w:t xml:space="preserve">A ce titre, les négociations techniques ont été entamées avec la Banque mondiale qui </w:t>
      </w:r>
      <w:r w:rsidR="00FB48FA" w:rsidRPr="00965AD7">
        <w:rPr>
          <w:rFonts w:ascii="Verdana" w:eastAsia="MS Mincho" w:hAnsi="Verdana" w:cs="Calibri"/>
          <w:sz w:val="20"/>
          <w:szCs w:val="20"/>
        </w:rPr>
        <w:t>prévoit de financer</w:t>
      </w:r>
      <w:r w:rsidRPr="00965AD7">
        <w:rPr>
          <w:rFonts w:ascii="Verdana" w:eastAsia="MS Mincho" w:hAnsi="Verdana" w:cs="Calibri"/>
          <w:sz w:val="20"/>
          <w:szCs w:val="20"/>
        </w:rPr>
        <w:t xml:space="preserve"> un nouveau projet </w:t>
      </w:r>
      <w:r w:rsidR="00FB48FA" w:rsidRPr="00965AD7">
        <w:rPr>
          <w:rFonts w:ascii="Verdana" w:eastAsia="MS Mincho" w:hAnsi="Verdana" w:cs="Calibri"/>
          <w:sz w:val="20"/>
          <w:szCs w:val="20"/>
        </w:rPr>
        <w:t xml:space="preserve">dans </w:t>
      </w:r>
      <w:r w:rsidR="00965AD7">
        <w:rPr>
          <w:rFonts w:ascii="Verdana" w:eastAsia="MS Mincho" w:hAnsi="Verdana" w:cs="Calibri"/>
          <w:sz w:val="20"/>
          <w:szCs w:val="20"/>
        </w:rPr>
        <w:t>le cadre de la</w:t>
      </w:r>
      <w:r w:rsidRPr="00965AD7">
        <w:rPr>
          <w:rFonts w:ascii="Verdana" w:eastAsia="MS Mincho" w:hAnsi="Verdana" w:cs="Calibri"/>
          <w:sz w:val="20"/>
          <w:szCs w:val="20"/>
        </w:rPr>
        <w:t xml:space="preserve"> poursuite de sa </w:t>
      </w:r>
      <w:r w:rsidR="00FB48FA" w:rsidRPr="00965AD7">
        <w:rPr>
          <w:rFonts w:ascii="Verdana" w:eastAsia="MS Mincho" w:hAnsi="Verdana" w:cs="Calibri"/>
          <w:sz w:val="20"/>
          <w:szCs w:val="20"/>
        </w:rPr>
        <w:t>collaboration</w:t>
      </w:r>
      <w:r w:rsidRPr="00965AD7">
        <w:rPr>
          <w:rFonts w:ascii="Verdana" w:eastAsia="MS Mincho" w:hAnsi="Verdana" w:cs="Calibri"/>
          <w:sz w:val="20"/>
          <w:szCs w:val="20"/>
        </w:rPr>
        <w:t xml:space="preserve"> </w:t>
      </w:r>
      <w:r w:rsidR="00FB48FA" w:rsidRPr="00965AD7">
        <w:rPr>
          <w:rFonts w:ascii="Verdana" w:eastAsia="MS Mincho" w:hAnsi="Verdana" w:cs="Calibri"/>
          <w:sz w:val="20"/>
          <w:szCs w:val="20"/>
        </w:rPr>
        <w:t xml:space="preserve">avec la COI </w:t>
      </w:r>
      <w:r w:rsidRPr="00965AD7">
        <w:rPr>
          <w:rFonts w:ascii="Verdana" w:eastAsia="MS Mincho" w:hAnsi="Verdana" w:cs="Calibri"/>
          <w:sz w:val="20"/>
          <w:szCs w:val="20"/>
        </w:rPr>
        <w:t xml:space="preserve">à travers les projets </w:t>
      </w:r>
      <w:r w:rsidR="00FB48FA" w:rsidRPr="00965AD7">
        <w:rPr>
          <w:rFonts w:ascii="Verdana" w:eastAsia="MS Mincho" w:hAnsi="Verdana" w:cs="Calibri"/>
          <w:sz w:val="20"/>
          <w:szCs w:val="20"/>
        </w:rPr>
        <w:t xml:space="preserve">SWIOFISH 1 </w:t>
      </w:r>
      <w:r w:rsidRPr="00965AD7">
        <w:rPr>
          <w:rFonts w:ascii="Verdana" w:eastAsia="MS Mincho" w:hAnsi="Verdana" w:cs="Calibri"/>
          <w:sz w:val="20"/>
          <w:szCs w:val="20"/>
        </w:rPr>
        <w:t>et SWIOFISH 2.</w:t>
      </w:r>
    </w:p>
    <w:p w14:paraId="31133CA7" w14:textId="7AA4C1CC" w:rsidR="00BF3DE7" w:rsidRPr="00965AD7" w:rsidRDefault="00BF3DE7" w:rsidP="00BF3DE7">
      <w:pPr>
        <w:pStyle w:val="Paragraphedeliste"/>
        <w:numPr>
          <w:ilvl w:val="0"/>
          <w:numId w:val="26"/>
        </w:numPr>
        <w:jc w:val="both"/>
        <w:rPr>
          <w:rFonts w:ascii="Verdana" w:hAnsi="Verdana" w:cs="Calibri"/>
          <w:b/>
          <w:bCs/>
          <w:sz w:val="20"/>
          <w:szCs w:val="20"/>
        </w:rPr>
      </w:pPr>
      <w:r w:rsidRPr="00965AD7">
        <w:rPr>
          <w:rFonts w:ascii="Verdana" w:hAnsi="Verdana" w:cs="Calibri"/>
          <w:b/>
          <w:bCs/>
          <w:sz w:val="20"/>
          <w:szCs w:val="20"/>
        </w:rPr>
        <w:t xml:space="preserve">Projet de transformation de la gestion du secteur de la pêche dans la région du </w:t>
      </w:r>
      <w:r w:rsidR="0086286D">
        <w:rPr>
          <w:rFonts w:ascii="Verdana" w:hAnsi="Verdana" w:cs="Calibri"/>
          <w:b/>
          <w:bCs/>
          <w:sz w:val="20"/>
          <w:szCs w:val="20"/>
        </w:rPr>
        <w:t>S</w:t>
      </w:r>
      <w:r w:rsidRPr="00965AD7">
        <w:rPr>
          <w:rFonts w:ascii="Verdana" w:hAnsi="Verdana" w:cs="Calibri"/>
          <w:b/>
          <w:bCs/>
          <w:sz w:val="20"/>
          <w:szCs w:val="20"/>
        </w:rPr>
        <w:t>ud-</w:t>
      </w:r>
      <w:r w:rsidR="0086286D">
        <w:rPr>
          <w:rFonts w:ascii="Verdana" w:hAnsi="Verdana" w:cs="Calibri"/>
          <w:b/>
          <w:bCs/>
          <w:sz w:val="20"/>
          <w:szCs w:val="20"/>
        </w:rPr>
        <w:t>O</w:t>
      </w:r>
      <w:r w:rsidRPr="00965AD7">
        <w:rPr>
          <w:rFonts w:ascii="Verdana" w:hAnsi="Verdana" w:cs="Calibri"/>
          <w:b/>
          <w:bCs/>
          <w:sz w:val="20"/>
          <w:szCs w:val="20"/>
        </w:rPr>
        <w:t>uest de l'océan Indien et aux Maldives.</w:t>
      </w:r>
    </w:p>
    <w:p w14:paraId="2C115C6B" w14:textId="37878E89" w:rsidR="00BF3DE7" w:rsidRPr="00965AD7" w:rsidRDefault="00BF3DE7" w:rsidP="00FB48FA">
      <w:pPr>
        <w:jc w:val="both"/>
        <w:rPr>
          <w:rFonts w:ascii="Verdana" w:eastAsia="MS Mincho" w:hAnsi="Verdana" w:cs="Calibri"/>
          <w:sz w:val="20"/>
          <w:szCs w:val="20"/>
        </w:rPr>
      </w:pPr>
      <w:r w:rsidRPr="00965AD7">
        <w:rPr>
          <w:rFonts w:ascii="Verdana" w:eastAsia="MS Mincho" w:hAnsi="Verdana" w:cs="Calibri"/>
          <w:b/>
          <w:bCs/>
          <w:sz w:val="20"/>
          <w:szCs w:val="20"/>
        </w:rPr>
        <w:t>Financement</w:t>
      </w:r>
      <w:r w:rsidRPr="00965AD7">
        <w:rPr>
          <w:rFonts w:ascii="Verdana" w:eastAsia="MS Mincho" w:hAnsi="Verdana" w:cs="Calibri"/>
          <w:sz w:val="20"/>
          <w:szCs w:val="20"/>
        </w:rPr>
        <w:t> : 12 millions USD</w:t>
      </w:r>
    </w:p>
    <w:p w14:paraId="3C41F9C0" w14:textId="35CAB5BB" w:rsidR="00BF3DE7" w:rsidRPr="00965AD7" w:rsidRDefault="00BF3DE7" w:rsidP="00FB48FA">
      <w:pPr>
        <w:jc w:val="both"/>
        <w:rPr>
          <w:rFonts w:ascii="Verdana" w:eastAsia="MS Mincho" w:hAnsi="Verdana" w:cs="Calibri"/>
          <w:sz w:val="20"/>
          <w:szCs w:val="20"/>
        </w:rPr>
      </w:pPr>
      <w:r w:rsidRPr="00965AD7">
        <w:rPr>
          <w:rFonts w:ascii="Verdana" w:eastAsia="MS Mincho" w:hAnsi="Verdana" w:cs="Calibri"/>
          <w:b/>
          <w:bCs/>
          <w:sz w:val="20"/>
          <w:szCs w:val="20"/>
        </w:rPr>
        <w:t>Durée </w:t>
      </w:r>
      <w:r w:rsidRPr="00965AD7">
        <w:rPr>
          <w:rFonts w:ascii="Verdana" w:eastAsia="MS Mincho" w:hAnsi="Verdana" w:cs="Calibri"/>
          <w:sz w:val="20"/>
          <w:szCs w:val="20"/>
        </w:rPr>
        <w:t>: 7 ans</w:t>
      </w:r>
    </w:p>
    <w:p w14:paraId="44B40BED" w14:textId="5EA8AB6C" w:rsidR="00FB48FA" w:rsidRPr="00965AD7" w:rsidRDefault="00BF3DE7" w:rsidP="00FB48FA">
      <w:pPr>
        <w:jc w:val="both"/>
        <w:rPr>
          <w:rFonts w:ascii="Verdana" w:eastAsia="MS Mincho" w:hAnsi="Verdana" w:cs="Calibri"/>
          <w:sz w:val="20"/>
          <w:szCs w:val="20"/>
        </w:rPr>
      </w:pPr>
      <w:r w:rsidRPr="00965AD7">
        <w:rPr>
          <w:rFonts w:ascii="Verdana" w:eastAsia="MS Mincho" w:hAnsi="Verdana" w:cs="Calibri"/>
          <w:b/>
          <w:bCs/>
          <w:sz w:val="20"/>
          <w:szCs w:val="20"/>
        </w:rPr>
        <w:t>C</w:t>
      </w:r>
      <w:r w:rsidR="00FB48FA" w:rsidRPr="00965AD7">
        <w:rPr>
          <w:rFonts w:ascii="Verdana" w:eastAsia="MS Mincho" w:hAnsi="Verdana" w:cs="Calibri"/>
          <w:b/>
          <w:bCs/>
          <w:sz w:val="20"/>
          <w:szCs w:val="20"/>
        </w:rPr>
        <w:t>omposante</w:t>
      </w:r>
      <w:r w:rsidR="00DB1D2C" w:rsidRPr="00965AD7">
        <w:rPr>
          <w:rFonts w:ascii="Verdana" w:eastAsia="MS Mincho" w:hAnsi="Verdana" w:cs="Calibri"/>
          <w:b/>
          <w:bCs/>
          <w:sz w:val="20"/>
          <w:szCs w:val="20"/>
        </w:rPr>
        <w:t>s</w:t>
      </w:r>
      <w:r w:rsidRPr="00965AD7">
        <w:rPr>
          <w:rFonts w:ascii="Verdana" w:eastAsia="MS Mincho" w:hAnsi="Verdana" w:cs="Calibri"/>
          <w:b/>
          <w:bCs/>
          <w:sz w:val="20"/>
          <w:szCs w:val="20"/>
        </w:rPr>
        <w:t xml:space="preserve"> </w:t>
      </w:r>
      <w:r w:rsidR="00FB48FA" w:rsidRPr="00965AD7">
        <w:rPr>
          <w:rFonts w:ascii="Verdana" w:eastAsia="MS Mincho" w:hAnsi="Verdana" w:cs="Calibri"/>
          <w:sz w:val="20"/>
          <w:szCs w:val="20"/>
        </w:rPr>
        <w:t>:</w:t>
      </w:r>
    </w:p>
    <w:p w14:paraId="4A3A5465" w14:textId="5201DC86" w:rsidR="00FB48FA" w:rsidRPr="00965AD7" w:rsidRDefault="00FB48FA" w:rsidP="00965AD7">
      <w:pPr>
        <w:pStyle w:val="Paragraphedeliste"/>
        <w:numPr>
          <w:ilvl w:val="0"/>
          <w:numId w:val="13"/>
        </w:numPr>
        <w:jc w:val="both"/>
        <w:rPr>
          <w:rFonts w:ascii="Verdana" w:eastAsia="MS Mincho" w:hAnsi="Verdana" w:cs="Calibri"/>
          <w:sz w:val="20"/>
          <w:szCs w:val="20"/>
        </w:rPr>
      </w:pPr>
      <w:r w:rsidRPr="00965AD7">
        <w:rPr>
          <w:rFonts w:ascii="Verdana" w:eastAsia="MS Mincho" w:hAnsi="Verdana" w:cs="Calibri"/>
          <w:sz w:val="20"/>
          <w:szCs w:val="20"/>
        </w:rPr>
        <w:t xml:space="preserve">Composante 1 (composante régionale) sur l’amélioration du processus de recherche et scientifique dans le secteur de la pêche de la région du </w:t>
      </w:r>
      <w:r w:rsidR="0086286D">
        <w:rPr>
          <w:rFonts w:ascii="Verdana" w:eastAsia="MS Mincho" w:hAnsi="Verdana" w:cs="Calibri"/>
          <w:sz w:val="20"/>
          <w:szCs w:val="20"/>
        </w:rPr>
        <w:t>S</w:t>
      </w:r>
      <w:r w:rsidRPr="00965AD7">
        <w:rPr>
          <w:rFonts w:ascii="Verdana" w:eastAsia="MS Mincho" w:hAnsi="Verdana" w:cs="Calibri"/>
          <w:sz w:val="20"/>
          <w:szCs w:val="20"/>
        </w:rPr>
        <w:t>ud-</w:t>
      </w:r>
      <w:r w:rsidR="0086286D">
        <w:rPr>
          <w:rFonts w:ascii="Verdana" w:eastAsia="MS Mincho" w:hAnsi="Verdana" w:cs="Calibri"/>
          <w:sz w:val="20"/>
          <w:szCs w:val="20"/>
        </w:rPr>
        <w:t>O</w:t>
      </w:r>
      <w:r w:rsidRPr="00965AD7">
        <w:rPr>
          <w:rFonts w:ascii="Verdana" w:eastAsia="MS Mincho" w:hAnsi="Verdana" w:cs="Calibri"/>
          <w:sz w:val="20"/>
          <w:szCs w:val="20"/>
        </w:rPr>
        <w:t>uest de l'océan Indien (par la COI et le SWIOFC/FAO)</w:t>
      </w:r>
    </w:p>
    <w:p w14:paraId="3AC4839A" w14:textId="610C5D84" w:rsidR="00FB48FA" w:rsidRPr="00965AD7" w:rsidRDefault="00FB48FA" w:rsidP="00965AD7">
      <w:pPr>
        <w:pStyle w:val="Paragraphedeliste"/>
        <w:numPr>
          <w:ilvl w:val="0"/>
          <w:numId w:val="13"/>
        </w:numPr>
        <w:jc w:val="both"/>
        <w:rPr>
          <w:rFonts w:ascii="Verdana" w:eastAsia="MS Mincho" w:hAnsi="Verdana" w:cs="Calibri"/>
          <w:sz w:val="20"/>
          <w:szCs w:val="20"/>
        </w:rPr>
      </w:pPr>
      <w:r w:rsidRPr="00965AD7">
        <w:rPr>
          <w:rFonts w:ascii="Verdana" w:eastAsia="MS Mincho" w:hAnsi="Verdana" w:cs="Calibri"/>
          <w:sz w:val="20"/>
          <w:szCs w:val="20"/>
        </w:rPr>
        <w:t>Composante 2 sur le soutien aux Maldives pour le renforcement des capacités de gouvernance et de gestion des pêches (par le gouvernement des Maldives)</w:t>
      </w:r>
    </w:p>
    <w:p w14:paraId="33B2FAA6" w14:textId="64AC50B3" w:rsidR="00DB1D2C" w:rsidRDefault="00FB48FA" w:rsidP="00965AD7">
      <w:pPr>
        <w:pStyle w:val="Paragraphedeliste"/>
        <w:numPr>
          <w:ilvl w:val="0"/>
          <w:numId w:val="13"/>
        </w:numPr>
        <w:jc w:val="both"/>
        <w:rPr>
          <w:rFonts w:ascii="Verdana" w:eastAsia="MS Mincho" w:hAnsi="Verdana" w:cs="Calibri"/>
          <w:sz w:val="20"/>
          <w:szCs w:val="20"/>
        </w:rPr>
      </w:pPr>
      <w:r w:rsidRPr="00965AD7">
        <w:rPr>
          <w:rFonts w:ascii="Verdana" w:eastAsia="MS Mincho" w:hAnsi="Verdana" w:cs="Calibri"/>
          <w:sz w:val="20"/>
          <w:szCs w:val="20"/>
        </w:rPr>
        <w:t>Composante 3 sur l’amélioration de la compétitivité et l’accroissement de la participation du secteur privé en vue de l’amélioration du climat des affaires pour la pêche dans la région (par le gouvernement des Maldives)</w:t>
      </w:r>
    </w:p>
    <w:p w14:paraId="3D8FA9B4" w14:textId="019D0118" w:rsidR="00DB1D2C" w:rsidRDefault="00DB1D2C" w:rsidP="00965AD7">
      <w:pPr>
        <w:jc w:val="both"/>
        <w:rPr>
          <w:rFonts w:ascii="Verdana" w:eastAsia="MS Mincho" w:hAnsi="Verdana" w:cs="Calibri"/>
          <w:sz w:val="20"/>
          <w:szCs w:val="20"/>
        </w:rPr>
      </w:pPr>
      <w:r w:rsidRPr="00965AD7">
        <w:rPr>
          <w:rFonts w:ascii="Verdana" w:eastAsia="MS Mincho" w:hAnsi="Verdana" w:cs="Calibri"/>
          <w:sz w:val="20"/>
          <w:szCs w:val="20"/>
        </w:rPr>
        <w:t>La première composante régionale en appui à la SWIOFC sera mise en œuvre par la COI. Les deux autres composantes seront mises en œuvre par le Gouvernement des Maldives.</w:t>
      </w:r>
    </w:p>
    <w:p w14:paraId="4829BA92" w14:textId="1DF9FBEA" w:rsidR="00BF3DE7" w:rsidRDefault="00BF3DE7" w:rsidP="00965AD7">
      <w:pPr>
        <w:jc w:val="both"/>
        <w:rPr>
          <w:rFonts w:ascii="Verdana" w:eastAsia="MS Mincho" w:hAnsi="Verdana" w:cs="Calibri"/>
          <w:sz w:val="20"/>
          <w:szCs w:val="20"/>
        </w:rPr>
      </w:pPr>
      <w:r w:rsidRPr="00965AD7">
        <w:rPr>
          <w:rFonts w:ascii="Verdana" w:eastAsia="MS Mincho" w:hAnsi="Verdana" w:cs="Calibri"/>
          <w:b/>
          <w:bCs/>
          <w:sz w:val="20"/>
          <w:szCs w:val="20"/>
        </w:rPr>
        <w:t>Assistance technique</w:t>
      </w:r>
      <w:r w:rsidRPr="00965AD7">
        <w:rPr>
          <w:rFonts w:ascii="Verdana" w:eastAsia="MS Mincho" w:hAnsi="Verdana" w:cs="Calibri"/>
          <w:sz w:val="20"/>
          <w:szCs w:val="20"/>
        </w:rPr>
        <w:t> : FAO</w:t>
      </w:r>
    </w:p>
    <w:p w14:paraId="713CA808" w14:textId="7C098653" w:rsidR="00BF3DE7" w:rsidRPr="00965AD7" w:rsidRDefault="00BF3DE7" w:rsidP="00965AD7">
      <w:pPr>
        <w:jc w:val="both"/>
        <w:rPr>
          <w:rFonts w:ascii="Verdana" w:eastAsia="MS Mincho" w:hAnsi="Verdana" w:cs="Calibri"/>
          <w:sz w:val="20"/>
          <w:szCs w:val="20"/>
        </w:rPr>
      </w:pPr>
      <w:r w:rsidRPr="00965AD7">
        <w:rPr>
          <w:rFonts w:ascii="Verdana" w:eastAsia="MS Mincho" w:hAnsi="Verdana" w:cs="Calibri"/>
          <w:b/>
          <w:bCs/>
          <w:sz w:val="20"/>
          <w:szCs w:val="20"/>
        </w:rPr>
        <w:t>Bénéficiaires </w:t>
      </w:r>
      <w:r w:rsidRPr="00965AD7">
        <w:rPr>
          <w:rFonts w:ascii="Verdana" w:eastAsia="MS Mincho" w:hAnsi="Verdana" w:cs="Calibri"/>
          <w:sz w:val="20"/>
          <w:szCs w:val="20"/>
        </w:rPr>
        <w:t>: Secrétariat du SWIOFC et ses États membres.</w:t>
      </w:r>
    </w:p>
    <w:p w14:paraId="53054E9C" w14:textId="3B495E97" w:rsidR="00DB1D2C" w:rsidRDefault="00DB1D2C" w:rsidP="00965AD7">
      <w:pPr>
        <w:jc w:val="both"/>
        <w:rPr>
          <w:rFonts w:ascii="Verdana" w:eastAsia="MS Mincho" w:hAnsi="Verdana" w:cs="Calibri"/>
          <w:sz w:val="20"/>
          <w:szCs w:val="20"/>
        </w:rPr>
      </w:pPr>
      <w:r w:rsidRPr="00965AD7">
        <w:rPr>
          <w:rFonts w:ascii="Verdana" w:eastAsia="MS Mincho" w:hAnsi="Verdana" w:cs="Calibri"/>
          <w:b/>
          <w:bCs/>
          <w:sz w:val="20"/>
          <w:szCs w:val="20"/>
        </w:rPr>
        <w:t>Comité de pilot</w:t>
      </w:r>
      <w:r w:rsidR="00B84223">
        <w:rPr>
          <w:rFonts w:ascii="Verdana" w:eastAsia="MS Mincho" w:hAnsi="Verdana" w:cs="Calibri"/>
          <w:b/>
          <w:bCs/>
          <w:sz w:val="20"/>
          <w:szCs w:val="20"/>
        </w:rPr>
        <w:t>ag</w:t>
      </w:r>
      <w:r w:rsidRPr="00965AD7">
        <w:rPr>
          <w:rFonts w:ascii="Verdana" w:eastAsia="MS Mincho" w:hAnsi="Verdana" w:cs="Calibri"/>
          <w:b/>
          <w:bCs/>
          <w:sz w:val="20"/>
          <w:szCs w:val="20"/>
        </w:rPr>
        <w:t>e régional</w:t>
      </w:r>
      <w:r w:rsidRPr="00965AD7">
        <w:rPr>
          <w:rFonts w:ascii="Verdana" w:eastAsia="MS Mincho" w:hAnsi="Verdana" w:cs="Calibri"/>
          <w:sz w:val="20"/>
          <w:szCs w:val="20"/>
        </w:rPr>
        <w:t xml:space="preserve"> : </w:t>
      </w:r>
      <w:r w:rsidR="004E5A3B" w:rsidRPr="00965AD7">
        <w:rPr>
          <w:rFonts w:ascii="Verdana" w:eastAsia="MS Mincho" w:hAnsi="Verdana" w:cs="Calibri"/>
          <w:sz w:val="20"/>
          <w:szCs w:val="20"/>
        </w:rPr>
        <w:t>les membres de la Commission SWIOFC, Secrétariat du SWIOFC, Secrétariat général de la COI.</w:t>
      </w:r>
    </w:p>
    <w:p w14:paraId="4F3A73DB" w14:textId="2D095AE2" w:rsidR="00FB48FA" w:rsidRPr="00965AD7" w:rsidRDefault="00DB1D2C" w:rsidP="00965AD7">
      <w:pPr>
        <w:jc w:val="both"/>
        <w:rPr>
          <w:rFonts w:ascii="Verdana" w:eastAsia="MS Mincho" w:hAnsi="Verdana" w:cs="Calibri"/>
          <w:sz w:val="20"/>
          <w:szCs w:val="20"/>
        </w:rPr>
      </w:pPr>
      <w:r w:rsidRPr="00965AD7">
        <w:rPr>
          <w:rFonts w:ascii="Verdana" w:eastAsia="MS Mincho" w:hAnsi="Verdana" w:cs="Calibri"/>
          <w:b/>
          <w:bCs/>
          <w:sz w:val="20"/>
          <w:szCs w:val="20"/>
        </w:rPr>
        <w:t>Unité de gestion du projet</w:t>
      </w:r>
      <w:r w:rsidRPr="00965AD7">
        <w:rPr>
          <w:rFonts w:ascii="Verdana" w:eastAsia="MS Mincho" w:hAnsi="Verdana" w:cs="Calibri"/>
          <w:sz w:val="20"/>
          <w:szCs w:val="20"/>
        </w:rPr>
        <w:t> : basée au sein du Secrétariat général de la COI.</w:t>
      </w:r>
    </w:p>
    <w:p w14:paraId="043B1E26" w14:textId="6E905608" w:rsidR="000D2F37" w:rsidRPr="00965AD7" w:rsidRDefault="000D2F37" w:rsidP="00FB48FA">
      <w:pPr>
        <w:spacing w:after="0" w:line="240" w:lineRule="auto"/>
        <w:jc w:val="both"/>
        <w:rPr>
          <w:rFonts w:ascii="Verdana" w:eastAsia="MS Mincho" w:hAnsi="Verdana" w:cs="Calibri"/>
          <w:sz w:val="20"/>
          <w:szCs w:val="20"/>
        </w:rPr>
      </w:pPr>
      <w:r w:rsidRPr="00965AD7">
        <w:rPr>
          <w:rFonts w:ascii="Verdana" w:eastAsia="MS Mincho" w:hAnsi="Verdana" w:cs="Calibri"/>
          <w:b/>
          <w:bCs/>
          <w:sz w:val="20"/>
          <w:szCs w:val="20"/>
        </w:rPr>
        <w:t>Prochaines étapes</w:t>
      </w:r>
      <w:r w:rsidRPr="00965AD7">
        <w:rPr>
          <w:rFonts w:ascii="Verdana" w:eastAsia="MS Mincho" w:hAnsi="Verdana" w:cs="Calibri"/>
          <w:sz w:val="20"/>
          <w:szCs w:val="20"/>
        </w:rPr>
        <w:t> : les échanges entre l’équipe de la Banque mondiale et celle du Secrétariat général de la COI se poursuivent dans le cadre de l’instruction du projet et l’élaboration des documents de base.</w:t>
      </w:r>
      <w:r w:rsidR="008411E8" w:rsidRPr="00965AD7">
        <w:rPr>
          <w:rFonts w:ascii="Verdana" w:eastAsia="MS Mincho" w:hAnsi="Verdana" w:cs="Calibri"/>
          <w:sz w:val="20"/>
          <w:szCs w:val="20"/>
        </w:rPr>
        <w:t xml:space="preserve"> Ces échanges techniques seront suivis de négociations formelles entre la Banque mondiale et la COI.</w:t>
      </w:r>
    </w:p>
    <w:p w14:paraId="013FFBCF" w14:textId="77777777" w:rsidR="000D2F37" w:rsidRPr="00965AD7" w:rsidRDefault="000D2F37" w:rsidP="00FB48FA">
      <w:pPr>
        <w:spacing w:after="0" w:line="240" w:lineRule="auto"/>
        <w:jc w:val="both"/>
        <w:rPr>
          <w:rFonts w:ascii="Verdana" w:eastAsia="MS Mincho" w:hAnsi="Verdana" w:cs="Calibri"/>
          <w:sz w:val="20"/>
          <w:szCs w:val="20"/>
        </w:rPr>
      </w:pPr>
    </w:p>
    <w:p w14:paraId="7EC8002A" w14:textId="431DC867" w:rsidR="000D2F37" w:rsidRPr="00965AD7" w:rsidRDefault="000D2F37" w:rsidP="00FB48FA">
      <w:pPr>
        <w:spacing w:after="0" w:line="240" w:lineRule="auto"/>
        <w:jc w:val="both"/>
        <w:rPr>
          <w:rFonts w:ascii="Verdana" w:eastAsia="MS Mincho" w:hAnsi="Verdana" w:cs="Calibri"/>
          <w:sz w:val="20"/>
          <w:szCs w:val="20"/>
        </w:rPr>
      </w:pPr>
      <w:r w:rsidRPr="00965AD7">
        <w:rPr>
          <w:rFonts w:ascii="Verdana" w:eastAsia="MS Mincho" w:hAnsi="Verdana" w:cs="Calibri"/>
          <w:sz w:val="20"/>
          <w:szCs w:val="20"/>
        </w:rPr>
        <w:t xml:space="preserve">Ce projet devrait être présenté au conseil d'administration du Groupe de la Banque mondiale le 16 mai 2023. </w:t>
      </w:r>
    </w:p>
    <w:p w14:paraId="0CD8D2B0" w14:textId="77777777" w:rsidR="008411E8" w:rsidRPr="00965AD7" w:rsidRDefault="008411E8" w:rsidP="00FB48FA">
      <w:pPr>
        <w:spacing w:after="0" w:line="240" w:lineRule="auto"/>
        <w:jc w:val="both"/>
        <w:rPr>
          <w:rFonts w:ascii="Verdana" w:eastAsia="MS Mincho" w:hAnsi="Verdana" w:cs="Calibri"/>
          <w:sz w:val="20"/>
          <w:szCs w:val="20"/>
        </w:rPr>
      </w:pPr>
    </w:p>
    <w:p w14:paraId="6A9B6654" w14:textId="682DBE45" w:rsidR="000D2F37" w:rsidRPr="00965AD7" w:rsidRDefault="000D2F37" w:rsidP="00FB48FA">
      <w:pPr>
        <w:spacing w:after="0" w:line="240" w:lineRule="auto"/>
        <w:jc w:val="both"/>
        <w:rPr>
          <w:rFonts w:ascii="Verdana" w:eastAsia="MS Mincho" w:hAnsi="Verdana" w:cs="Calibri"/>
          <w:sz w:val="20"/>
          <w:szCs w:val="20"/>
        </w:rPr>
      </w:pPr>
      <w:r w:rsidRPr="00965AD7">
        <w:rPr>
          <w:rFonts w:ascii="Verdana" w:eastAsia="MS Mincho" w:hAnsi="Verdana" w:cs="Calibri"/>
          <w:sz w:val="20"/>
          <w:szCs w:val="20"/>
        </w:rPr>
        <w:t>L'approbation émanant des instances de la COI est</w:t>
      </w:r>
      <w:r w:rsidR="008411E8" w:rsidRPr="00965AD7">
        <w:rPr>
          <w:rFonts w:ascii="Verdana" w:eastAsia="MS Mincho" w:hAnsi="Verdana" w:cs="Calibri"/>
          <w:sz w:val="20"/>
          <w:szCs w:val="20"/>
        </w:rPr>
        <w:t xml:space="preserve"> sollicitée en vue de la </w:t>
      </w:r>
      <w:r w:rsidRPr="00965AD7">
        <w:rPr>
          <w:rFonts w:ascii="Verdana" w:eastAsia="MS Mincho" w:hAnsi="Verdana" w:cs="Calibri"/>
          <w:sz w:val="20"/>
          <w:szCs w:val="20"/>
        </w:rPr>
        <w:t>signature de la Convention de financement</w:t>
      </w:r>
      <w:r w:rsidR="008411E8" w:rsidRPr="00965AD7">
        <w:rPr>
          <w:rFonts w:ascii="Verdana" w:eastAsia="MS Mincho" w:hAnsi="Verdana" w:cs="Calibri"/>
          <w:sz w:val="20"/>
          <w:szCs w:val="20"/>
        </w:rPr>
        <w:t xml:space="preserve"> par le Secrétaire général de la COI.</w:t>
      </w:r>
    </w:p>
    <w:p w14:paraId="4B1DA045" w14:textId="77777777" w:rsidR="00FB48FA" w:rsidRPr="004065DB" w:rsidRDefault="00FB48FA" w:rsidP="00FB48FA">
      <w:pPr>
        <w:pStyle w:val="Paragraphe"/>
        <w:rPr>
          <w:rFonts w:eastAsia="MS Mincho"/>
        </w:rPr>
      </w:pPr>
    </w:p>
    <w:p w14:paraId="2F7F5914" w14:textId="608AD6BB" w:rsidR="00955BB3" w:rsidRPr="0008468B" w:rsidRDefault="00955BB3" w:rsidP="00A70123">
      <w:pPr>
        <w:pStyle w:val="Titrepartie"/>
      </w:pPr>
      <w:r w:rsidRPr="0008468B">
        <w:t>Proposition de décision</w:t>
      </w:r>
    </w:p>
    <w:p w14:paraId="34CC34A5" w14:textId="4948F126" w:rsidR="005F315D" w:rsidRPr="004F5C4B" w:rsidRDefault="0008468B" w:rsidP="00FE285D">
      <w:pPr>
        <w:pStyle w:val="Paragraphe"/>
      </w:pPr>
      <w:r w:rsidRPr="004F5C4B">
        <w:t>Le Comité des OPL</w:t>
      </w:r>
      <w:r w:rsidR="00A76B07" w:rsidRPr="004F5C4B">
        <w:t xml:space="preserve"> </w:t>
      </w:r>
      <w:r w:rsidR="004065DB">
        <w:t>reco</w:t>
      </w:r>
      <w:r w:rsidR="004065DB" w:rsidRPr="004065DB">
        <w:t>mmande au Conseil de</w:t>
      </w:r>
      <w:r w:rsidR="004065DB">
        <w:t xml:space="preserve"> :</w:t>
      </w:r>
    </w:p>
    <w:p w14:paraId="1CEF1EF6" w14:textId="596214A9" w:rsidR="004065DB" w:rsidRDefault="0050274F" w:rsidP="004065DB">
      <w:pPr>
        <w:pStyle w:val="Paragraphe"/>
        <w:numPr>
          <w:ilvl w:val="0"/>
          <w:numId w:val="6"/>
        </w:numPr>
      </w:pPr>
      <w:r w:rsidRPr="004065DB">
        <w:t xml:space="preserve">Prendre note des recommandations du COPIL régional du programme COI-ECOFISH relatives à l’extension sans budget additionnel </w:t>
      </w:r>
      <w:r w:rsidR="005F315D" w:rsidRPr="004065DB">
        <w:t>de la période de mise en œuvre du Programme pour une durée de 18 mois</w:t>
      </w:r>
      <w:r w:rsidRPr="004065DB">
        <w:t xml:space="preserve"> et demander au Secrétariat général d’entamer les démarches auprès de la Délégation de l’Union </w:t>
      </w:r>
      <w:r w:rsidR="0059196D">
        <w:t>e</w:t>
      </w:r>
      <w:r w:rsidRPr="004065DB">
        <w:t>uropéenne à Maurice conformément aux procédures en vigueur.</w:t>
      </w:r>
    </w:p>
    <w:p w14:paraId="6EEE6EA1" w14:textId="2EE9414C" w:rsidR="004065DB" w:rsidRDefault="00857981" w:rsidP="004065DB">
      <w:pPr>
        <w:pStyle w:val="Paragraphe"/>
        <w:numPr>
          <w:ilvl w:val="0"/>
          <w:numId w:val="6"/>
        </w:numPr>
      </w:pPr>
      <w:r w:rsidRPr="004065DB">
        <w:t xml:space="preserve">Souligner la nécessité </w:t>
      </w:r>
      <w:r w:rsidR="0059196D">
        <w:t>d’accélérer</w:t>
      </w:r>
      <w:r w:rsidRPr="004065DB">
        <w:t xml:space="preserve"> </w:t>
      </w:r>
      <w:r w:rsidR="000A797A" w:rsidRPr="004065DB">
        <w:t>la mise en œuvre des activités prévues sous le Devis-programme marin</w:t>
      </w:r>
      <w:r w:rsidRPr="004065DB">
        <w:t xml:space="preserve"> par l’Unité de Gestion du programme COI-ECOFISH </w:t>
      </w:r>
      <w:r w:rsidR="000A797A" w:rsidRPr="004065DB">
        <w:t>à travers le renforcement des ressources humaines.</w:t>
      </w:r>
    </w:p>
    <w:p w14:paraId="01836854" w14:textId="77777777" w:rsidR="004065DB" w:rsidRDefault="00FC166C" w:rsidP="004065DB">
      <w:pPr>
        <w:pStyle w:val="Paragraphe"/>
        <w:numPr>
          <w:ilvl w:val="0"/>
          <w:numId w:val="6"/>
        </w:numPr>
      </w:pPr>
      <w:r w:rsidRPr="004065DB">
        <w:lastRenderedPageBreak/>
        <w:t>Encourage</w:t>
      </w:r>
      <w:r w:rsidR="00857981" w:rsidRPr="004065DB">
        <w:t>r</w:t>
      </w:r>
      <w:r w:rsidRPr="004065DB">
        <w:t xml:space="preserve"> le r</w:t>
      </w:r>
      <w:r w:rsidR="005F315D" w:rsidRPr="004065DB">
        <w:t xml:space="preserve">enforcement de la collaboration entre </w:t>
      </w:r>
      <w:r w:rsidRPr="004065DB">
        <w:t xml:space="preserve">le PRSP avec les entités œuvrant contre la pêche INN </w:t>
      </w:r>
      <w:r w:rsidR="00DA3460" w:rsidRPr="004065DB">
        <w:t xml:space="preserve">dans la région, </w:t>
      </w:r>
      <w:r w:rsidRPr="004065DB">
        <w:t>notamment</w:t>
      </w:r>
      <w:r w:rsidR="00DA3460" w:rsidRPr="004065DB">
        <w:t xml:space="preserve">, </w:t>
      </w:r>
      <w:r w:rsidRPr="004065DB">
        <w:t xml:space="preserve">le SADC MCS CC, l’APSOI, le programme </w:t>
      </w:r>
      <w:r w:rsidR="00506D09" w:rsidRPr="004065DB">
        <w:t>MASE,</w:t>
      </w:r>
      <w:r w:rsidRPr="004065DB">
        <w:t xml:space="preserve"> en particulier, à travers la f</w:t>
      </w:r>
      <w:r w:rsidR="005F315D" w:rsidRPr="004065DB">
        <w:t>inalisation des procédures en vue de la formalisation de la collaboration entre la COI</w:t>
      </w:r>
      <w:r w:rsidR="00506D09" w:rsidRPr="004065DB">
        <w:t xml:space="preserve">, </w:t>
      </w:r>
      <w:r w:rsidR="009B58F3" w:rsidRPr="004065DB">
        <w:t xml:space="preserve">la CTOI </w:t>
      </w:r>
      <w:r w:rsidR="00506D09" w:rsidRPr="004065DB">
        <w:t xml:space="preserve">et l’EFCA pour garantir la mise en œuvre effective des activités prévues au Résultat 2 du programme ECOFISH en appui au PRSP </w:t>
      </w:r>
      <w:r w:rsidRPr="004065DB">
        <w:t>conformément aux recommandations de l’UCRE.</w:t>
      </w:r>
    </w:p>
    <w:p w14:paraId="7C4ED288" w14:textId="38A0FF7A" w:rsidR="004065DB" w:rsidRDefault="00506D09" w:rsidP="004065DB">
      <w:pPr>
        <w:pStyle w:val="Paragraphe"/>
        <w:numPr>
          <w:ilvl w:val="0"/>
          <w:numId w:val="6"/>
        </w:numPr>
      </w:pPr>
      <w:r w:rsidRPr="004065DB">
        <w:t>Prendre note de l’e</w:t>
      </w:r>
      <w:r w:rsidR="005F315D" w:rsidRPr="004065DB">
        <w:t xml:space="preserve">xtension des activités du PRSP dans le domaine de la petite pêche avec l’accord de l’État territorialement </w:t>
      </w:r>
      <w:r w:rsidR="007F27B1" w:rsidRPr="004065DB">
        <w:t>compétent</w:t>
      </w:r>
      <w:r w:rsidR="00D71F24">
        <w:t xml:space="preserve"> </w:t>
      </w:r>
      <w:r w:rsidRPr="004065DB">
        <w:t>conformément aux recommandations de l’UCRE</w:t>
      </w:r>
      <w:r w:rsidR="00857981" w:rsidRPr="004065DB">
        <w:t xml:space="preserve"> du 02 février 2023 à La Réunion.</w:t>
      </w:r>
    </w:p>
    <w:p w14:paraId="5BDC2D28" w14:textId="23AAAB0F" w:rsidR="004065DB" w:rsidRDefault="00506D09" w:rsidP="004065DB">
      <w:pPr>
        <w:pStyle w:val="Paragraphe"/>
        <w:numPr>
          <w:ilvl w:val="0"/>
          <w:numId w:val="6"/>
        </w:numPr>
      </w:pPr>
      <w:r w:rsidRPr="004065DB">
        <w:t>Prendre note de l’a</w:t>
      </w:r>
      <w:r w:rsidR="005F315D" w:rsidRPr="004065DB">
        <w:t xml:space="preserve">pprobation </w:t>
      </w:r>
      <w:r w:rsidRPr="004065DB">
        <w:t xml:space="preserve">par les États participants au PRSP </w:t>
      </w:r>
      <w:r w:rsidR="005F315D" w:rsidRPr="004065DB">
        <w:t xml:space="preserve">de l’embarquement des observateurs scientifiques à bord d’un navire de surveillance en mission sous réserve d’une autorisation préalable de l’État côtier et de la logistique à bord et de la soumission à l’État côtier du rapport sur les résultats de ces </w:t>
      </w:r>
      <w:r w:rsidR="00770523" w:rsidRPr="004065DB">
        <w:t>observations</w:t>
      </w:r>
      <w:r w:rsidR="00770523">
        <w:t xml:space="preserve">, </w:t>
      </w:r>
      <w:r w:rsidR="00770523" w:rsidRPr="004065DB">
        <w:t>conformément</w:t>
      </w:r>
      <w:r w:rsidR="00857981" w:rsidRPr="004065DB">
        <w:t xml:space="preserve"> aux recommandations de l’UCRE du 02 février 2023 à La Réunion.</w:t>
      </w:r>
    </w:p>
    <w:p w14:paraId="500D6AB6" w14:textId="32CA84D1" w:rsidR="004065DB" w:rsidRDefault="007F27B1" w:rsidP="004065DB">
      <w:pPr>
        <w:pStyle w:val="Paragraphe"/>
        <w:numPr>
          <w:ilvl w:val="0"/>
          <w:numId w:val="6"/>
        </w:numPr>
      </w:pPr>
      <w:r w:rsidRPr="004065DB">
        <w:t>Re</w:t>
      </w:r>
      <w:r w:rsidR="00E94698" w:rsidRPr="004065DB">
        <w:t xml:space="preserve">mercier </w:t>
      </w:r>
      <w:r w:rsidR="005F315D" w:rsidRPr="004065DB">
        <w:t xml:space="preserve">la France/Réunion </w:t>
      </w:r>
      <w:r w:rsidR="00E94698" w:rsidRPr="004065DB">
        <w:t xml:space="preserve">pour ses contributions </w:t>
      </w:r>
      <w:r w:rsidRPr="004065DB">
        <w:t xml:space="preserve">aux activités du PRSP à travers le financement </w:t>
      </w:r>
      <w:r w:rsidR="004065DB" w:rsidRPr="004065DB">
        <w:t xml:space="preserve">par le </w:t>
      </w:r>
      <w:r w:rsidRPr="004065DB">
        <w:t xml:space="preserve">fonds FEDER/INTEREG de cinq </w:t>
      </w:r>
      <w:r w:rsidR="005F315D" w:rsidRPr="004065DB">
        <w:t>missions conjointes en mer pour un total de 151 jours.</w:t>
      </w:r>
    </w:p>
    <w:p w14:paraId="6A7E4E86" w14:textId="77777777" w:rsidR="004065DB" w:rsidRDefault="007F27B1" w:rsidP="004065DB">
      <w:pPr>
        <w:pStyle w:val="Paragraphe"/>
        <w:numPr>
          <w:ilvl w:val="0"/>
          <w:numId w:val="6"/>
        </w:numPr>
      </w:pPr>
      <w:r w:rsidRPr="004065DB">
        <w:t>Soutenir l’organisation</w:t>
      </w:r>
      <w:r w:rsidR="00DF79DD" w:rsidRPr="004065DB">
        <w:t xml:space="preserve"> </w:t>
      </w:r>
      <w:r w:rsidRPr="004065DB">
        <w:t>de la troisième conférence ministérielle du PRSP.</w:t>
      </w:r>
    </w:p>
    <w:p w14:paraId="0585E235" w14:textId="3E64BBC9" w:rsidR="005F315D" w:rsidRDefault="005F315D" w:rsidP="004065DB">
      <w:pPr>
        <w:pStyle w:val="Paragraphe"/>
        <w:numPr>
          <w:ilvl w:val="0"/>
          <w:numId w:val="6"/>
        </w:numPr>
      </w:pPr>
      <w:r w:rsidRPr="004065DB">
        <w:t>Remercie</w:t>
      </w:r>
      <w:r w:rsidR="00CB2DC0" w:rsidRPr="004065DB">
        <w:t>r</w:t>
      </w:r>
      <w:r w:rsidRPr="004065DB">
        <w:t xml:space="preserve"> l</w:t>
      </w:r>
      <w:r w:rsidR="00CB2DC0" w:rsidRPr="004065DB">
        <w:t xml:space="preserve">’Union </w:t>
      </w:r>
      <w:r w:rsidR="00770523">
        <w:t>e</w:t>
      </w:r>
      <w:r w:rsidR="00CB2DC0" w:rsidRPr="004065DB">
        <w:t xml:space="preserve">uropéenne pour son engagement </w:t>
      </w:r>
      <w:r w:rsidR="004065DB" w:rsidRPr="004065DB">
        <w:t>aux côtés de la COI en faveur de la gestion durable de pêches et de la lutte contre les pêches INN dans la région du Sud-ouest de l’océan Indien.</w:t>
      </w:r>
    </w:p>
    <w:p w14:paraId="5D04C026" w14:textId="7BFEBF28" w:rsidR="005F315D" w:rsidRDefault="00821DC2" w:rsidP="0008468B">
      <w:pPr>
        <w:pStyle w:val="Paragraphe"/>
        <w:numPr>
          <w:ilvl w:val="0"/>
          <w:numId w:val="6"/>
        </w:numPr>
      </w:pPr>
      <w:r>
        <w:t xml:space="preserve">Renouveler ses remerciements à l’endroit de la Banque Mondiale pour son soutien continu à </w:t>
      </w:r>
      <w:r w:rsidRPr="00821DC2">
        <w:t>la gestion du secteur de la pêche dans la région du sud-ouest de l'océan Indien</w:t>
      </w:r>
      <w:r>
        <w:t>.</w:t>
      </w:r>
    </w:p>
    <w:p w14:paraId="3A65BFEB" w14:textId="6F4A9113" w:rsidR="00821DC2" w:rsidRDefault="00821DC2" w:rsidP="00821DC2">
      <w:pPr>
        <w:pStyle w:val="Paragraphe"/>
        <w:numPr>
          <w:ilvl w:val="0"/>
          <w:numId w:val="6"/>
        </w:numPr>
      </w:pPr>
      <w:r>
        <w:t xml:space="preserve">Demander au Secrétariat général de poursuivre les étapes nécessaires à l’instruction du nouveau projet </w:t>
      </w:r>
      <w:r w:rsidRPr="00821DC2">
        <w:t>de transformation de la gestion du secteur de la pêche dans la région du sud-ouest de l'océan Indien et aux Maldives.</w:t>
      </w:r>
    </w:p>
    <w:p w14:paraId="1AAC6C08" w14:textId="7FF61F2B" w:rsidR="00821DC2" w:rsidRPr="00821DC2" w:rsidRDefault="0042433E" w:rsidP="00821DC2">
      <w:pPr>
        <w:pStyle w:val="Paragraphe"/>
        <w:numPr>
          <w:ilvl w:val="0"/>
          <w:numId w:val="6"/>
        </w:numPr>
      </w:pPr>
      <w:r>
        <w:t>Approuver la signature de la convention de financement dudit projet par le Secrétaire général de la COI.</w:t>
      </w:r>
    </w:p>
    <w:p w14:paraId="4E7D17A8" w14:textId="77777777" w:rsidR="005F315D" w:rsidRPr="00212A08" w:rsidRDefault="005F315D"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669C15E2" w14:textId="19193C65" w:rsidR="0008468B" w:rsidRPr="0008468B" w:rsidRDefault="00FE285D" w:rsidP="00A66B5A">
      <w:pPr>
        <w:pStyle w:val="Exergue"/>
      </w:pPr>
      <w:r>
        <w:t>Cf.</w:t>
      </w:r>
      <w:r w:rsidR="0008468B" w:rsidRPr="00FE285D">
        <w:t xml:space="preserve"> Décision</w:t>
      </w:r>
      <w:r w:rsidR="00A66B5A">
        <w:t xml:space="preserve"> 9</w:t>
      </w:r>
      <w:r w:rsidR="0008468B" w:rsidRPr="00FE285D">
        <w:t>.</w:t>
      </w:r>
      <w:r w:rsidR="00A66B5A">
        <w:t>b</w:t>
      </w:r>
      <w:r w:rsidR="0008468B" w:rsidRPr="00FE285D">
        <w:t xml:space="preserve"> </w:t>
      </w:r>
      <w:r w:rsidR="00A66B5A">
        <w:t>Pêches</w:t>
      </w:r>
      <w:r w:rsidR="00A76B07">
        <w:t>, [</w:t>
      </w:r>
      <w:r w:rsidR="00A66B5A">
        <w:t>34eme Conseil du 06 mars 2020</w:t>
      </w:r>
      <w:r w:rsidR="00A76B07">
        <w:t>]</w:t>
      </w:r>
    </w:p>
    <w:p w14:paraId="7BA992AE" w14:textId="57DA7ADB" w:rsidR="00C47150" w:rsidRPr="00A66B5A" w:rsidRDefault="00C47150" w:rsidP="00C47150">
      <w:pPr>
        <w:spacing w:after="0"/>
        <w:jc w:val="both"/>
        <w:rPr>
          <w:rFonts w:ascii="Verdana" w:hAnsi="Verdana" w:cs="Calibri"/>
          <w:sz w:val="20"/>
          <w:szCs w:val="20"/>
        </w:rPr>
      </w:pPr>
      <w:r w:rsidRPr="00A66B5A">
        <w:rPr>
          <w:rFonts w:ascii="Verdana" w:hAnsi="Verdana" w:cs="Calibri"/>
          <w:sz w:val="20"/>
          <w:szCs w:val="20"/>
        </w:rPr>
        <w:t xml:space="preserve">Le Conseil des ministres de la </w:t>
      </w:r>
      <w:r w:rsidR="00A66B5A" w:rsidRPr="00A66B5A">
        <w:rPr>
          <w:rFonts w:ascii="Verdana" w:hAnsi="Verdana" w:cs="Calibri"/>
          <w:sz w:val="20"/>
          <w:szCs w:val="20"/>
        </w:rPr>
        <w:t>COI :</w:t>
      </w:r>
    </w:p>
    <w:p w14:paraId="336D0690" w14:textId="77777777" w:rsidR="00C47150" w:rsidRPr="00A66B5A" w:rsidRDefault="00C47150" w:rsidP="00C47150">
      <w:pPr>
        <w:spacing w:after="0"/>
        <w:ind w:left="426"/>
        <w:jc w:val="both"/>
        <w:rPr>
          <w:rFonts w:ascii="Verdana" w:hAnsi="Verdana" w:cs="Calibri"/>
          <w:sz w:val="20"/>
          <w:szCs w:val="20"/>
        </w:rPr>
      </w:pPr>
    </w:p>
    <w:p w14:paraId="676F7E30" w14:textId="77777777" w:rsidR="00C47150" w:rsidRPr="00A66B5A" w:rsidRDefault="00C47150" w:rsidP="00C47150">
      <w:pPr>
        <w:pStyle w:val="PrformatHTML"/>
        <w:numPr>
          <w:ilvl w:val="0"/>
          <w:numId w:val="23"/>
        </w:numPr>
        <w:spacing w:line="276" w:lineRule="auto"/>
        <w:jc w:val="both"/>
        <w:rPr>
          <w:rFonts w:ascii="Verdana" w:eastAsiaTheme="minorHAnsi" w:hAnsi="Verdana" w:cs="Calibri"/>
        </w:rPr>
      </w:pPr>
      <w:r w:rsidRPr="00A66B5A">
        <w:rPr>
          <w:rFonts w:ascii="Verdana" w:eastAsiaTheme="minorHAnsi" w:hAnsi="Verdana" w:cs="Calibri"/>
        </w:rPr>
        <w:t>Sollicite le Secrétariat général afin de faciliter l'accès à un financement stable permettant la réalisation du mandat de la Commission des pêches du Sud-Ouest de l’océan Indien (CPSOOI) après la fin du programme SWIOFish1 ;</w:t>
      </w:r>
    </w:p>
    <w:p w14:paraId="3078769C" w14:textId="77777777" w:rsidR="00C47150" w:rsidRPr="00A66B5A" w:rsidRDefault="00C47150" w:rsidP="00417683">
      <w:pPr>
        <w:rPr>
          <w:rFonts w:ascii="Verdana" w:hAnsi="Verdana" w:cs="Calibri"/>
          <w:sz w:val="20"/>
          <w:szCs w:val="20"/>
          <w:highlight w:val="yellow"/>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7B6947C3" w:rsidR="00C325F5" w:rsidRPr="00212A08" w:rsidRDefault="00620B90" w:rsidP="00620B90">
      <w:pPr>
        <w:pStyle w:val="Paragraphe"/>
        <w:numPr>
          <w:ilvl w:val="0"/>
          <w:numId w:val="9"/>
        </w:numPr>
        <w:rPr>
          <w:b/>
          <w:bCs/>
        </w:rPr>
      </w:pPr>
      <w:r w:rsidRPr="00212A08">
        <w:rPr>
          <w:b/>
          <w:bCs/>
        </w:rPr>
        <w:t xml:space="preserve">Annexe 1 : </w:t>
      </w:r>
      <w:r w:rsidR="00577D24" w:rsidRPr="00212A08">
        <w:rPr>
          <w:b/>
          <w:bCs/>
        </w:rPr>
        <w:t>Recommandations de la 11</w:t>
      </w:r>
      <w:r w:rsidR="00577D24" w:rsidRPr="00212A08">
        <w:rPr>
          <w:b/>
          <w:bCs/>
          <w:vertAlign w:val="superscript"/>
        </w:rPr>
        <w:t>ème</w:t>
      </w:r>
      <w:r w:rsidR="00577D24" w:rsidRPr="00212A08">
        <w:rPr>
          <w:b/>
          <w:bCs/>
        </w:rPr>
        <w:t xml:space="preserve"> UCRE</w:t>
      </w:r>
      <w:r w:rsidR="00E94698">
        <w:rPr>
          <w:b/>
          <w:bCs/>
        </w:rPr>
        <w:t xml:space="preserve"> du PRSP.</w:t>
      </w:r>
    </w:p>
    <w:p w14:paraId="2E9FC1C4" w14:textId="11C3C321" w:rsidR="00A66B5A" w:rsidRPr="00A66B5A" w:rsidRDefault="00620B90" w:rsidP="00A66B5A">
      <w:pPr>
        <w:pStyle w:val="Paragraphe"/>
        <w:numPr>
          <w:ilvl w:val="0"/>
          <w:numId w:val="9"/>
        </w:numPr>
        <w:rPr>
          <w:b/>
          <w:bCs/>
        </w:rPr>
      </w:pPr>
      <w:r w:rsidRPr="00A66B5A">
        <w:rPr>
          <w:b/>
          <w:bCs/>
        </w:rPr>
        <w:t xml:space="preserve">Annexe 2 : </w:t>
      </w:r>
      <w:r w:rsidR="00A66B5A" w:rsidRPr="00A66B5A">
        <w:rPr>
          <w:b/>
          <w:bCs/>
        </w:rPr>
        <w:t xml:space="preserve">note succincte sur </w:t>
      </w:r>
      <w:r w:rsidR="006F6805">
        <w:rPr>
          <w:b/>
          <w:bCs/>
        </w:rPr>
        <w:t xml:space="preserve">le </w:t>
      </w:r>
      <w:r w:rsidR="00A66B5A">
        <w:rPr>
          <w:b/>
          <w:bCs/>
        </w:rPr>
        <w:t>p</w:t>
      </w:r>
      <w:r w:rsidR="00A66B5A" w:rsidRPr="00A66B5A">
        <w:rPr>
          <w:b/>
          <w:bCs/>
        </w:rPr>
        <w:t xml:space="preserve">rojet de transformation de la gestion du secteur de la pêche dans la région du </w:t>
      </w:r>
      <w:r w:rsidR="006F6805">
        <w:rPr>
          <w:b/>
          <w:bCs/>
        </w:rPr>
        <w:t>S</w:t>
      </w:r>
      <w:r w:rsidR="00A66B5A" w:rsidRPr="00A66B5A">
        <w:rPr>
          <w:b/>
          <w:bCs/>
        </w:rPr>
        <w:t>ud-</w:t>
      </w:r>
      <w:r w:rsidR="006F6805">
        <w:rPr>
          <w:b/>
          <w:bCs/>
        </w:rPr>
        <w:t>O</w:t>
      </w:r>
      <w:r w:rsidR="00A66B5A" w:rsidRPr="00A66B5A">
        <w:rPr>
          <w:b/>
          <w:bCs/>
        </w:rPr>
        <w:t>uest de l'océan Indien et aux Maldives.</w:t>
      </w:r>
    </w:p>
    <w:p w14:paraId="137DE791" w14:textId="77777777" w:rsidR="00E94698" w:rsidRPr="00A66B5A" w:rsidRDefault="00E94698" w:rsidP="00576AF6">
      <w:pPr>
        <w:pStyle w:val="Paragraphe"/>
        <w:rPr>
          <w:b/>
          <w:bCs/>
        </w:rPr>
      </w:pPr>
    </w:p>
    <w:sectPr w:rsidR="00E94698" w:rsidRPr="00A66B5A"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5AC7" w14:textId="77777777" w:rsidR="004160A0" w:rsidRDefault="004160A0">
      <w:pPr>
        <w:spacing w:after="0" w:line="240" w:lineRule="auto"/>
      </w:pPr>
      <w:r>
        <w:separator/>
      </w:r>
    </w:p>
  </w:endnote>
  <w:endnote w:type="continuationSeparator" w:id="0">
    <w:p w14:paraId="7A4F7383" w14:textId="77777777" w:rsidR="004160A0" w:rsidRDefault="0041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A9E3" w14:textId="77777777" w:rsidR="004160A0" w:rsidRDefault="004160A0">
      <w:pPr>
        <w:spacing w:after="0" w:line="240" w:lineRule="auto"/>
      </w:pPr>
      <w:r>
        <w:separator/>
      </w:r>
    </w:p>
  </w:footnote>
  <w:footnote w:type="continuationSeparator" w:id="0">
    <w:p w14:paraId="2F6C014D" w14:textId="77777777" w:rsidR="004160A0" w:rsidRDefault="0041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5472C16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AB6D3D">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DE6"/>
    <w:multiLevelType w:val="hybridMultilevel"/>
    <w:tmpl w:val="ADF40992"/>
    <w:lvl w:ilvl="0" w:tplc="2E1424BC">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94D43"/>
    <w:multiLevelType w:val="hybridMultilevel"/>
    <w:tmpl w:val="248C79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1754C9"/>
    <w:multiLevelType w:val="hybridMultilevel"/>
    <w:tmpl w:val="9370A996"/>
    <w:lvl w:ilvl="0" w:tplc="7952C2E0">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1C7A7F"/>
    <w:multiLevelType w:val="hybridMultilevel"/>
    <w:tmpl w:val="A9B2C0BE"/>
    <w:lvl w:ilvl="0" w:tplc="AF5622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831668"/>
    <w:multiLevelType w:val="hybridMultilevel"/>
    <w:tmpl w:val="6842299C"/>
    <w:lvl w:ilvl="0" w:tplc="4918825C">
      <w:start w:val="13"/>
      <w:numFmt w:val="bullet"/>
      <w:lvlText w:val="-"/>
      <w:lvlJc w:val="left"/>
      <w:pPr>
        <w:ind w:left="720" w:hanging="3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5C1D69"/>
    <w:multiLevelType w:val="multilevel"/>
    <w:tmpl w:val="A1C0C580"/>
    <w:lvl w:ilvl="0">
      <w:start w:val="1"/>
      <w:numFmt w:val="decimal"/>
      <w:lvlText w:val="%1."/>
      <w:lvlJc w:val="left"/>
      <w:pPr>
        <w:tabs>
          <w:tab w:val="num" w:pos="720"/>
        </w:tabs>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8"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AD5C10"/>
    <w:multiLevelType w:val="hybridMultilevel"/>
    <w:tmpl w:val="E0EAEFBA"/>
    <w:lvl w:ilvl="0" w:tplc="A50C5406">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7A21B3"/>
    <w:multiLevelType w:val="hybridMultilevel"/>
    <w:tmpl w:val="B150EB26"/>
    <w:lvl w:ilvl="0" w:tplc="09EA90BC">
      <w:start w:val="1"/>
      <w:numFmt w:val="decimal"/>
      <w:lvlText w:val="%1-"/>
      <w:lvlJc w:val="left"/>
      <w:pPr>
        <w:ind w:left="360" w:hanging="360"/>
      </w:pPr>
      <w:rPr>
        <w:rFonts w:hint="default"/>
      </w:rPr>
    </w:lvl>
    <w:lvl w:ilvl="1" w:tplc="20000019" w:tentative="1">
      <w:start w:val="1"/>
      <w:numFmt w:val="lowerLetter"/>
      <w:lvlText w:val="%2."/>
      <w:lvlJc w:val="left"/>
      <w:pPr>
        <w:ind w:left="8092" w:hanging="360"/>
      </w:pPr>
    </w:lvl>
    <w:lvl w:ilvl="2" w:tplc="2000001B" w:tentative="1">
      <w:start w:val="1"/>
      <w:numFmt w:val="lowerRoman"/>
      <w:lvlText w:val="%3."/>
      <w:lvlJc w:val="right"/>
      <w:pPr>
        <w:ind w:left="8812" w:hanging="180"/>
      </w:pPr>
    </w:lvl>
    <w:lvl w:ilvl="3" w:tplc="2000000F" w:tentative="1">
      <w:start w:val="1"/>
      <w:numFmt w:val="decimal"/>
      <w:lvlText w:val="%4."/>
      <w:lvlJc w:val="left"/>
      <w:pPr>
        <w:ind w:left="9532" w:hanging="360"/>
      </w:pPr>
    </w:lvl>
    <w:lvl w:ilvl="4" w:tplc="20000019" w:tentative="1">
      <w:start w:val="1"/>
      <w:numFmt w:val="lowerLetter"/>
      <w:lvlText w:val="%5."/>
      <w:lvlJc w:val="left"/>
      <w:pPr>
        <w:ind w:left="10252" w:hanging="360"/>
      </w:pPr>
    </w:lvl>
    <w:lvl w:ilvl="5" w:tplc="2000001B" w:tentative="1">
      <w:start w:val="1"/>
      <w:numFmt w:val="lowerRoman"/>
      <w:lvlText w:val="%6."/>
      <w:lvlJc w:val="right"/>
      <w:pPr>
        <w:ind w:left="10972" w:hanging="180"/>
      </w:pPr>
    </w:lvl>
    <w:lvl w:ilvl="6" w:tplc="2000000F" w:tentative="1">
      <w:start w:val="1"/>
      <w:numFmt w:val="decimal"/>
      <w:lvlText w:val="%7."/>
      <w:lvlJc w:val="left"/>
      <w:pPr>
        <w:ind w:left="11692" w:hanging="360"/>
      </w:pPr>
    </w:lvl>
    <w:lvl w:ilvl="7" w:tplc="20000019" w:tentative="1">
      <w:start w:val="1"/>
      <w:numFmt w:val="lowerLetter"/>
      <w:lvlText w:val="%8."/>
      <w:lvlJc w:val="left"/>
      <w:pPr>
        <w:ind w:left="12412" w:hanging="360"/>
      </w:pPr>
    </w:lvl>
    <w:lvl w:ilvl="8" w:tplc="2000001B" w:tentative="1">
      <w:start w:val="1"/>
      <w:numFmt w:val="lowerRoman"/>
      <w:lvlText w:val="%9."/>
      <w:lvlJc w:val="right"/>
      <w:pPr>
        <w:ind w:left="13132" w:hanging="180"/>
      </w:pPr>
    </w:lvl>
  </w:abstractNum>
  <w:abstractNum w:abstractNumId="14" w15:restartNumberingAfterBreak="0">
    <w:nsid w:val="2C2D7DF3"/>
    <w:multiLevelType w:val="hybridMultilevel"/>
    <w:tmpl w:val="5A947278"/>
    <w:lvl w:ilvl="0" w:tplc="7C3C9C30">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3D4D0657"/>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077B12"/>
    <w:multiLevelType w:val="hybridMultilevel"/>
    <w:tmpl w:val="B2641C9C"/>
    <w:lvl w:ilvl="0" w:tplc="75A48E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3924BEF"/>
    <w:multiLevelType w:val="hybridMultilevel"/>
    <w:tmpl w:val="2CE007DC"/>
    <w:lvl w:ilvl="0" w:tplc="A7C848E6">
      <w:start w:val="13"/>
      <w:numFmt w:val="bullet"/>
      <w:lvlText w:val="-"/>
      <w:lvlJc w:val="left"/>
      <w:pPr>
        <w:ind w:left="720" w:hanging="3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62E6CB3"/>
    <w:multiLevelType w:val="hybridMultilevel"/>
    <w:tmpl w:val="14CE6806"/>
    <w:lvl w:ilvl="0" w:tplc="C5EA1618">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77282B"/>
    <w:multiLevelType w:val="hybridMultilevel"/>
    <w:tmpl w:val="327039B2"/>
    <w:lvl w:ilvl="0" w:tplc="4678F7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6B755B"/>
    <w:multiLevelType w:val="hybridMultilevel"/>
    <w:tmpl w:val="E6F03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A72E73"/>
    <w:multiLevelType w:val="hybridMultilevel"/>
    <w:tmpl w:val="248C79C0"/>
    <w:lvl w:ilvl="0" w:tplc="D1703C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95271E"/>
    <w:multiLevelType w:val="hybridMultilevel"/>
    <w:tmpl w:val="0444E826"/>
    <w:lvl w:ilvl="0" w:tplc="F90E57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30684334">
    <w:abstractNumId w:val="11"/>
  </w:num>
  <w:num w:numId="2" w16cid:durableId="1407725755">
    <w:abstractNumId w:val="22"/>
  </w:num>
  <w:num w:numId="3" w16cid:durableId="1714302642">
    <w:abstractNumId w:val="8"/>
  </w:num>
  <w:num w:numId="4" w16cid:durableId="1417436257">
    <w:abstractNumId w:val="2"/>
  </w:num>
  <w:num w:numId="5" w16cid:durableId="1391729107">
    <w:abstractNumId w:val="20"/>
  </w:num>
  <w:num w:numId="6" w16cid:durableId="1831434862">
    <w:abstractNumId w:val="9"/>
  </w:num>
  <w:num w:numId="7" w16cid:durableId="1749421491">
    <w:abstractNumId w:val="12"/>
  </w:num>
  <w:num w:numId="8" w16cid:durableId="242877166">
    <w:abstractNumId w:val="8"/>
    <w:lvlOverride w:ilvl="0">
      <w:startOverride w:val="1"/>
    </w:lvlOverride>
  </w:num>
  <w:num w:numId="9" w16cid:durableId="1213346494">
    <w:abstractNumId w:val="6"/>
  </w:num>
  <w:num w:numId="10" w16cid:durableId="1241989088">
    <w:abstractNumId w:val="5"/>
  </w:num>
  <w:num w:numId="11" w16cid:durableId="398721463">
    <w:abstractNumId w:val="10"/>
  </w:num>
  <w:num w:numId="12" w16cid:durableId="1966932404">
    <w:abstractNumId w:val="0"/>
  </w:num>
  <w:num w:numId="13" w16cid:durableId="1032463507">
    <w:abstractNumId w:val="17"/>
  </w:num>
  <w:num w:numId="14" w16cid:durableId="1094476576">
    <w:abstractNumId w:val="13"/>
  </w:num>
  <w:num w:numId="15" w16cid:durableId="1121847643">
    <w:abstractNumId w:val="19"/>
  </w:num>
  <w:num w:numId="16" w16cid:durableId="245118454">
    <w:abstractNumId w:val="21"/>
  </w:num>
  <w:num w:numId="17" w16cid:durableId="1628467325">
    <w:abstractNumId w:val="7"/>
  </w:num>
  <w:num w:numId="18" w16cid:durableId="1031153162">
    <w:abstractNumId w:val="24"/>
  </w:num>
  <w:num w:numId="19" w16cid:durableId="827793805">
    <w:abstractNumId w:val="23"/>
  </w:num>
  <w:num w:numId="20" w16cid:durableId="1840736085">
    <w:abstractNumId w:val="15"/>
  </w:num>
  <w:num w:numId="21" w16cid:durableId="1897275166">
    <w:abstractNumId w:val="3"/>
  </w:num>
  <w:num w:numId="22" w16cid:durableId="1146816268">
    <w:abstractNumId w:val="1"/>
  </w:num>
  <w:num w:numId="23" w16cid:durableId="490412537">
    <w:abstractNumId w:val="14"/>
  </w:num>
  <w:num w:numId="24" w16cid:durableId="1424690189">
    <w:abstractNumId w:val="18"/>
  </w:num>
  <w:num w:numId="25" w16cid:durableId="2023584223">
    <w:abstractNumId w:val="16"/>
  </w:num>
  <w:num w:numId="26" w16cid:durableId="498498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2763"/>
    <w:rsid w:val="00012AF4"/>
    <w:rsid w:val="000373B2"/>
    <w:rsid w:val="000424C3"/>
    <w:rsid w:val="00042CF5"/>
    <w:rsid w:val="00060CA0"/>
    <w:rsid w:val="00063A26"/>
    <w:rsid w:val="00067879"/>
    <w:rsid w:val="00070041"/>
    <w:rsid w:val="00075C51"/>
    <w:rsid w:val="00081F70"/>
    <w:rsid w:val="0008468B"/>
    <w:rsid w:val="000905E2"/>
    <w:rsid w:val="00091241"/>
    <w:rsid w:val="000A468A"/>
    <w:rsid w:val="000A797A"/>
    <w:rsid w:val="000B0FBD"/>
    <w:rsid w:val="000D2F37"/>
    <w:rsid w:val="000E3E7C"/>
    <w:rsid w:val="000E6E40"/>
    <w:rsid w:val="000F4728"/>
    <w:rsid w:val="00107D9D"/>
    <w:rsid w:val="0018252D"/>
    <w:rsid w:val="001A56F1"/>
    <w:rsid w:val="001B4738"/>
    <w:rsid w:val="00212A08"/>
    <w:rsid w:val="00214960"/>
    <w:rsid w:val="00216B54"/>
    <w:rsid w:val="00234722"/>
    <w:rsid w:val="00237366"/>
    <w:rsid w:val="00237692"/>
    <w:rsid w:val="0027374F"/>
    <w:rsid w:val="00273F72"/>
    <w:rsid w:val="0029765E"/>
    <w:rsid w:val="002A0053"/>
    <w:rsid w:val="002A0933"/>
    <w:rsid w:val="002A096E"/>
    <w:rsid w:val="002C56ED"/>
    <w:rsid w:val="002E43AE"/>
    <w:rsid w:val="003260BD"/>
    <w:rsid w:val="00341D25"/>
    <w:rsid w:val="003604B9"/>
    <w:rsid w:val="003772FB"/>
    <w:rsid w:val="00391039"/>
    <w:rsid w:val="00391152"/>
    <w:rsid w:val="003A2DF3"/>
    <w:rsid w:val="003C2538"/>
    <w:rsid w:val="003C2FBD"/>
    <w:rsid w:val="003C5516"/>
    <w:rsid w:val="003D485F"/>
    <w:rsid w:val="003D5328"/>
    <w:rsid w:val="004065DB"/>
    <w:rsid w:val="0041278C"/>
    <w:rsid w:val="004160A0"/>
    <w:rsid w:val="004161ED"/>
    <w:rsid w:val="00417683"/>
    <w:rsid w:val="0042317E"/>
    <w:rsid w:val="0042433E"/>
    <w:rsid w:val="00426497"/>
    <w:rsid w:val="00426673"/>
    <w:rsid w:val="004513D1"/>
    <w:rsid w:val="00457287"/>
    <w:rsid w:val="004607F7"/>
    <w:rsid w:val="00463EB6"/>
    <w:rsid w:val="00464CBF"/>
    <w:rsid w:val="00475FC8"/>
    <w:rsid w:val="004764FB"/>
    <w:rsid w:val="00493A47"/>
    <w:rsid w:val="0049644C"/>
    <w:rsid w:val="004D128D"/>
    <w:rsid w:val="004E3D21"/>
    <w:rsid w:val="004E5A3B"/>
    <w:rsid w:val="004F5C4B"/>
    <w:rsid w:val="00500C52"/>
    <w:rsid w:val="0050274F"/>
    <w:rsid w:val="00506D09"/>
    <w:rsid w:val="00511CFA"/>
    <w:rsid w:val="00523582"/>
    <w:rsid w:val="0053773D"/>
    <w:rsid w:val="0055787D"/>
    <w:rsid w:val="00576AF6"/>
    <w:rsid w:val="00577D24"/>
    <w:rsid w:val="0059196D"/>
    <w:rsid w:val="005A4277"/>
    <w:rsid w:val="005A4535"/>
    <w:rsid w:val="005B362B"/>
    <w:rsid w:val="005E40D8"/>
    <w:rsid w:val="005F315D"/>
    <w:rsid w:val="005F6BC8"/>
    <w:rsid w:val="00620B90"/>
    <w:rsid w:val="00625E00"/>
    <w:rsid w:val="006275EB"/>
    <w:rsid w:val="0063103E"/>
    <w:rsid w:val="006356AF"/>
    <w:rsid w:val="00642CCF"/>
    <w:rsid w:val="006515C3"/>
    <w:rsid w:val="006548BF"/>
    <w:rsid w:val="00660504"/>
    <w:rsid w:val="0066414A"/>
    <w:rsid w:val="006C4C57"/>
    <w:rsid w:val="006E2D9E"/>
    <w:rsid w:val="006F6805"/>
    <w:rsid w:val="007515AD"/>
    <w:rsid w:val="007522BD"/>
    <w:rsid w:val="007530F5"/>
    <w:rsid w:val="00755278"/>
    <w:rsid w:val="00764954"/>
    <w:rsid w:val="00770523"/>
    <w:rsid w:val="00770B0A"/>
    <w:rsid w:val="007A2036"/>
    <w:rsid w:val="007B245C"/>
    <w:rsid w:val="007B54E2"/>
    <w:rsid w:val="007C78FC"/>
    <w:rsid w:val="007E2BCD"/>
    <w:rsid w:val="007F27B1"/>
    <w:rsid w:val="00816DAC"/>
    <w:rsid w:val="00821DC2"/>
    <w:rsid w:val="00831FA3"/>
    <w:rsid w:val="0083290E"/>
    <w:rsid w:val="008411E8"/>
    <w:rsid w:val="00843FF2"/>
    <w:rsid w:val="008453AB"/>
    <w:rsid w:val="00854EEA"/>
    <w:rsid w:val="008551DA"/>
    <w:rsid w:val="00856346"/>
    <w:rsid w:val="00857981"/>
    <w:rsid w:val="0086286D"/>
    <w:rsid w:val="008D193F"/>
    <w:rsid w:val="008D36A9"/>
    <w:rsid w:val="008D6585"/>
    <w:rsid w:val="008F173C"/>
    <w:rsid w:val="008F6F1F"/>
    <w:rsid w:val="00926175"/>
    <w:rsid w:val="00944689"/>
    <w:rsid w:val="00955BB3"/>
    <w:rsid w:val="00965AD7"/>
    <w:rsid w:val="0098034C"/>
    <w:rsid w:val="00995D83"/>
    <w:rsid w:val="009A38AD"/>
    <w:rsid w:val="009B58F3"/>
    <w:rsid w:val="009D463B"/>
    <w:rsid w:val="009F37C9"/>
    <w:rsid w:val="009F644F"/>
    <w:rsid w:val="00A148A1"/>
    <w:rsid w:val="00A36C09"/>
    <w:rsid w:val="00A37C9F"/>
    <w:rsid w:val="00A55D20"/>
    <w:rsid w:val="00A62956"/>
    <w:rsid w:val="00A66B5A"/>
    <w:rsid w:val="00A70123"/>
    <w:rsid w:val="00A76B07"/>
    <w:rsid w:val="00A81B98"/>
    <w:rsid w:val="00A90305"/>
    <w:rsid w:val="00A925D6"/>
    <w:rsid w:val="00AA63A3"/>
    <w:rsid w:val="00AB5EB7"/>
    <w:rsid w:val="00AB6D3D"/>
    <w:rsid w:val="00AD4D97"/>
    <w:rsid w:val="00AE2453"/>
    <w:rsid w:val="00B05DFC"/>
    <w:rsid w:val="00B11A5B"/>
    <w:rsid w:val="00B20773"/>
    <w:rsid w:val="00B279CB"/>
    <w:rsid w:val="00B36EEA"/>
    <w:rsid w:val="00B6168F"/>
    <w:rsid w:val="00B82312"/>
    <w:rsid w:val="00B84223"/>
    <w:rsid w:val="00B91512"/>
    <w:rsid w:val="00BA4B55"/>
    <w:rsid w:val="00BB694D"/>
    <w:rsid w:val="00BE2E3A"/>
    <w:rsid w:val="00BF012A"/>
    <w:rsid w:val="00BF3DE7"/>
    <w:rsid w:val="00C12C93"/>
    <w:rsid w:val="00C1433A"/>
    <w:rsid w:val="00C31337"/>
    <w:rsid w:val="00C325F5"/>
    <w:rsid w:val="00C457E8"/>
    <w:rsid w:val="00C47150"/>
    <w:rsid w:val="00C54D75"/>
    <w:rsid w:val="00C609B9"/>
    <w:rsid w:val="00C869EB"/>
    <w:rsid w:val="00CA20BF"/>
    <w:rsid w:val="00CA3F38"/>
    <w:rsid w:val="00CB2DC0"/>
    <w:rsid w:val="00CC3CDA"/>
    <w:rsid w:val="00CD6FA6"/>
    <w:rsid w:val="00CE2386"/>
    <w:rsid w:val="00CE5DB1"/>
    <w:rsid w:val="00D12BC7"/>
    <w:rsid w:val="00D14F51"/>
    <w:rsid w:val="00D25647"/>
    <w:rsid w:val="00D532FD"/>
    <w:rsid w:val="00D67071"/>
    <w:rsid w:val="00D71F24"/>
    <w:rsid w:val="00DA3460"/>
    <w:rsid w:val="00DA6D7E"/>
    <w:rsid w:val="00DB1D2C"/>
    <w:rsid w:val="00DF79DD"/>
    <w:rsid w:val="00E04544"/>
    <w:rsid w:val="00E176D0"/>
    <w:rsid w:val="00E32408"/>
    <w:rsid w:val="00E845D4"/>
    <w:rsid w:val="00E94698"/>
    <w:rsid w:val="00EA3F7A"/>
    <w:rsid w:val="00EB62FD"/>
    <w:rsid w:val="00EC22CC"/>
    <w:rsid w:val="00ED6B69"/>
    <w:rsid w:val="00EE34F4"/>
    <w:rsid w:val="00EF22A4"/>
    <w:rsid w:val="00EF6316"/>
    <w:rsid w:val="00F531DF"/>
    <w:rsid w:val="00F54EA0"/>
    <w:rsid w:val="00F67B06"/>
    <w:rsid w:val="00F70683"/>
    <w:rsid w:val="00F75C29"/>
    <w:rsid w:val="00F96EE9"/>
    <w:rsid w:val="00F97ACF"/>
    <w:rsid w:val="00FB1348"/>
    <w:rsid w:val="00FB48FA"/>
    <w:rsid w:val="00FC166C"/>
    <w:rsid w:val="00FE1715"/>
    <w:rsid w:val="00FE285D"/>
    <w:rsid w:val="00FF4F4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1,- List tir,References,texte,figure,Glossaire,liste de tableaux,Titre1,Paragraphe  revu,Paragraphe de liste1,Bullets,List Paragraph (numbered (a)),lp1,ReferencesCxSpLast,Numbered List Paragraph,Title Style 1,Liste 1,EC"/>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1 Car,- List tir Car,References Car,texte Car,figure Car,Glossaire Car,liste de tableaux Car,Titre1 Car,Paragraphe  revu Car,Paragraphe de liste1 Car,Bullets Car,List Paragraph (numbered (a)) Car,lp1 Car,Liste 1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577D24"/>
    <w:rPr>
      <w:color w:val="0563C1" w:themeColor="hyperlink"/>
      <w:u w:val="single"/>
    </w:rPr>
  </w:style>
  <w:style w:type="paragraph" w:styleId="PrformatHTML">
    <w:name w:val="HTML Preformatted"/>
    <w:basedOn w:val="Normal"/>
    <w:link w:val="PrformatHTMLCar"/>
    <w:uiPriority w:val="99"/>
    <w:unhideWhenUsed/>
    <w:rsid w:val="0075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7515AD"/>
    <w:rPr>
      <w:rFonts w:ascii="Courier New" w:eastAsia="Times New Roman" w:hAnsi="Courier New" w:cs="Courier New"/>
      <w:sz w:val="20"/>
      <w:szCs w:val="20"/>
    </w:rPr>
  </w:style>
  <w:style w:type="character" w:customStyle="1" w:styleId="y2iqfc">
    <w:name w:val="y2iqfc"/>
    <w:basedOn w:val="Policepardfaut"/>
    <w:rsid w:val="007515AD"/>
  </w:style>
  <w:style w:type="paragraph" w:styleId="NormalWeb">
    <w:name w:val="Normal (Web)"/>
    <w:basedOn w:val="Normal"/>
    <w:uiPriority w:val="99"/>
    <w:unhideWhenUsed/>
    <w:rsid w:val="00F67B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F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813">
      <w:bodyDiv w:val="1"/>
      <w:marLeft w:val="0"/>
      <w:marRight w:val="0"/>
      <w:marTop w:val="0"/>
      <w:marBottom w:val="0"/>
      <w:divBdr>
        <w:top w:val="none" w:sz="0" w:space="0" w:color="auto"/>
        <w:left w:val="none" w:sz="0" w:space="0" w:color="auto"/>
        <w:bottom w:val="none" w:sz="0" w:space="0" w:color="auto"/>
        <w:right w:val="none" w:sz="0" w:space="0" w:color="auto"/>
      </w:divBdr>
    </w:div>
    <w:div w:id="197936519">
      <w:bodyDiv w:val="1"/>
      <w:marLeft w:val="0"/>
      <w:marRight w:val="0"/>
      <w:marTop w:val="0"/>
      <w:marBottom w:val="0"/>
      <w:divBdr>
        <w:top w:val="none" w:sz="0" w:space="0" w:color="auto"/>
        <w:left w:val="none" w:sz="0" w:space="0" w:color="auto"/>
        <w:bottom w:val="none" w:sz="0" w:space="0" w:color="auto"/>
        <w:right w:val="none" w:sz="0" w:space="0" w:color="auto"/>
      </w:divBdr>
    </w:div>
    <w:div w:id="227804882">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200121014">
      <w:bodyDiv w:val="1"/>
      <w:marLeft w:val="0"/>
      <w:marRight w:val="0"/>
      <w:marTop w:val="0"/>
      <w:marBottom w:val="0"/>
      <w:divBdr>
        <w:top w:val="none" w:sz="0" w:space="0" w:color="auto"/>
        <w:left w:val="none" w:sz="0" w:space="0" w:color="auto"/>
        <w:bottom w:val="none" w:sz="0" w:space="0" w:color="auto"/>
        <w:right w:val="none" w:sz="0" w:space="0" w:color="auto"/>
      </w:divBdr>
    </w:div>
    <w:div w:id="1454902341">
      <w:bodyDiv w:val="1"/>
      <w:marLeft w:val="0"/>
      <w:marRight w:val="0"/>
      <w:marTop w:val="0"/>
      <w:marBottom w:val="0"/>
      <w:divBdr>
        <w:top w:val="none" w:sz="0" w:space="0" w:color="auto"/>
        <w:left w:val="none" w:sz="0" w:space="0" w:color="auto"/>
        <w:bottom w:val="none" w:sz="0" w:space="0" w:color="auto"/>
        <w:right w:val="none" w:sz="0" w:space="0" w:color="auto"/>
      </w:divBdr>
      <w:divsChild>
        <w:div w:id="873033968">
          <w:marLeft w:val="0"/>
          <w:marRight w:val="0"/>
          <w:marTop w:val="0"/>
          <w:marBottom w:val="0"/>
          <w:divBdr>
            <w:top w:val="none" w:sz="0" w:space="0" w:color="auto"/>
            <w:left w:val="none" w:sz="0" w:space="0" w:color="auto"/>
            <w:bottom w:val="none" w:sz="0" w:space="0" w:color="auto"/>
            <w:right w:val="none" w:sz="0" w:space="0" w:color="auto"/>
          </w:divBdr>
          <w:divsChild>
            <w:div w:id="1831411025">
              <w:marLeft w:val="0"/>
              <w:marRight w:val="0"/>
              <w:marTop w:val="0"/>
              <w:marBottom w:val="0"/>
              <w:divBdr>
                <w:top w:val="none" w:sz="0" w:space="0" w:color="auto"/>
                <w:left w:val="none" w:sz="0" w:space="0" w:color="auto"/>
                <w:bottom w:val="none" w:sz="0" w:space="0" w:color="auto"/>
                <w:right w:val="none" w:sz="0" w:space="0" w:color="auto"/>
              </w:divBdr>
              <w:divsChild>
                <w:div w:id="521745184">
                  <w:marLeft w:val="0"/>
                  <w:marRight w:val="0"/>
                  <w:marTop w:val="0"/>
                  <w:marBottom w:val="0"/>
                  <w:divBdr>
                    <w:top w:val="none" w:sz="0" w:space="0" w:color="auto"/>
                    <w:left w:val="none" w:sz="0" w:space="0" w:color="auto"/>
                    <w:bottom w:val="none" w:sz="0" w:space="0" w:color="auto"/>
                    <w:right w:val="none" w:sz="0" w:space="0" w:color="auto"/>
                  </w:divBdr>
                  <w:divsChild>
                    <w:div w:id="915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2064</Words>
  <Characters>11357</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cp:lastPrinted>2023-02-17T06:33:00Z</cp:lastPrinted>
  <dcterms:created xsi:type="dcterms:W3CDTF">2023-04-04T12:16:00Z</dcterms:created>
  <dcterms:modified xsi:type="dcterms:W3CDTF">2023-04-11T08:40:00Z</dcterms:modified>
</cp:coreProperties>
</file>