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74C145B8" w14:textId="3FF77606" w:rsidR="00B605CA" w:rsidRDefault="005136AA" w:rsidP="00854EEA">
            <w:pPr>
              <w:jc w:val="center"/>
              <w:rPr>
                <w:rFonts w:ascii="Verdana" w:hAnsi="Verdana"/>
                <w:b/>
                <w:bCs/>
              </w:rPr>
            </w:pPr>
            <w:r w:rsidRPr="005136AA">
              <w:rPr>
                <w:rFonts w:ascii="Verdana" w:hAnsi="Verdana"/>
                <w:b/>
                <w:bCs/>
              </w:rPr>
              <w:t>Pro</w:t>
            </w:r>
            <w:r w:rsidR="00894AC9">
              <w:rPr>
                <w:rFonts w:ascii="Verdana" w:hAnsi="Verdana"/>
                <w:b/>
                <w:bCs/>
              </w:rPr>
              <w:t>jet</w:t>
            </w:r>
            <w:r w:rsidRPr="005136AA">
              <w:rPr>
                <w:rFonts w:ascii="Verdana" w:hAnsi="Verdana"/>
                <w:b/>
                <w:bCs/>
              </w:rPr>
              <w:t xml:space="preserve"> Entrepreneuriat et </w:t>
            </w:r>
            <w:r w:rsidR="00437324">
              <w:rPr>
                <w:rFonts w:ascii="Verdana" w:hAnsi="Verdana"/>
                <w:b/>
                <w:bCs/>
              </w:rPr>
              <w:t>facilitation des affaires</w:t>
            </w:r>
          </w:p>
          <w:p w14:paraId="6FC76F95" w14:textId="359C8A32" w:rsidR="00EC22CC" w:rsidRDefault="00EC22CC" w:rsidP="00B605CA">
            <w:pPr>
              <w:rPr>
                <w:rFonts w:ascii="Verdana" w:hAnsi="Verdana"/>
                <w:b/>
                <w:bCs/>
                <w:sz w:val="20"/>
                <w:szCs w:val="20"/>
              </w:rPr>
            </w:pPr>
          </w:p>
        </w:tc>
      </w:tr>
      <w:tr w:rsidR="00EC22CC" w14:paraId="7F1B63D2" w14:textId="77777777" w:rsidTr="002A0933">
        <w:tc>
          <w:tcPr>
            <w:tcW w:w="7225" w:type="dxa"/>
          </w:tcPr>
          <w:p w14:paraId="056D9B10" w14:textId="263C09BD" w:rsidR="00EC22CC" w:rsidRPr="002A096E" w:rsidRDefault="005E714C" w:rsidP="002A096E">
            <w:pPr>
              <w:rPr>
                <w:rFonts w:ascii="Verdana" w:hAnsi="Verdana"/>
                <w:sz w:val="20"/>
                <w:szCs w:val="20"/>
              </w:rPr>
            </w:pPr>
            <w:r>
              <w:rPr>
                <w:rFonts w:ascii="Verdana" w:hAnsi="Verdana"/>
                <w:sz w:val="20"/>
                <w:szCs w:val="20"/>
              </w:rPr>
              <w:t>Comité des OPL 1/2023</w:t>
            </w:r>
            <w:r w:rsidR="008F18E9">
              <w:rPr>
                <w:rFonts w:ascii="Verdana" w:hAnsi="Verdana"/>
                <w:sz w:val="20"/>
                <w:szCs w:val="20"/>
              </w:rPr>
              <w:t xml:space="preserve"> des 26-27 avril 2023</w:t>
            </w:r>
          </w:p>
        </w:tc>
        <w:tc>
          <w:tcPr>
            <w:tcW w:w="1837" w:type="dxa"/>
          </w:tcPr>
          <w:p w14:paraId="58E25D1F" w14:textId="211D038E"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8F18E9">
              <w:rPr>
                <w:rFonts w:ascii="Verdana" w:hAnsi="Verdana"/>
                <w:sz w:val="20"/>
                <w:szCs w:val="20"/>
              </w:rPr>
              <w:t>2.12</w:t>
            </w:r>
          </w:p>
        </w:tc>
      </w:tr>
      <w:tr w:rsidR="00EC22CC" w14:paraId="537D1DE5" w14:textId="77777777" w:rsidTr="002A0933">
        <w:tc>
          <w:tcPr>
            <w:tcW w:w="7225" w:type="dxa"/>
          </w:tcPr>
          <w:p w14:paraId="43DEF09E" w14:textId="7E405C2E"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C23CC6">
              <w:rPr>
                <w:rFonts w:ascii="Verdana" w:hAnsi="Verdana"/>
                <w:sz w:val="20"/>
                <w:szCs w:val="20"/>
              </w:rPr>
              <w:t xml:space="preserve">Juliette JANIN, Chargée de mission </w:t>
            </w:r>
          </w:p>
        </w:tc>
        <w:tc>
          <w:tcPr>
            <w:tcW w:w="1837" w:type="dxa"/>
          </w:tcPr>
          <w:p w14:paraId="5AC1AFAB" w14:textId="3B0E1A77" w:rsidR="00EC22CC" w:rsidRPr="002A0933" w:rsidRDefault="0054513A" w:rsidP="00854EEA">
            <w:pPr>
              <w:jc w:val="center"/>
              <w:rPr>
                <w:rFonts w:ascii="Verdana" w:hAnsi="Verdana"/>
                <w:sz w:val="20"/>
                <w:szCs w:val="20"/>
              </w:rPr>
            </w:pPr>
            <w:r>
              <w:rPr>
                <w:rFonts w:ascii="Verdana" w:hAnsi="Verdana"/>
                <w:sz w:val="20"/>
                <w:szCs w:val="20"/>
              </w:rPr>
              <w:t>I</w:t>
            </w:r>
            <w:r w:rsidR="004607F7" w:rsidRPr="004A1B7A">
              <w:rPr>
                <w:rFonts w:ascii="Verdana" w:hAnsi="Verdana"/>
                <w:sz w:val="20"/>
                <w:szCs w:val="20"/>
              </w:rPr>
              <w:t>nformation</w:t>
            </w:r>
          </w:p>
        </w:tc>
      </w:tr>
      <w:tr w:rsidR="00A90305" w14:paraId="6896DB30" w14:textId="77777777" w:rsidTr="009F5233">
        <w:tc>
          <w:tcPr>
            <w:tcW w:w="9062" w:type="dxa"/>
            <w:gridSpan w:val="2"/>
          </w:tcPr>
          <w:p w14:paraId="0495241B" w14:textId="681C3FF2" w:rsidR="00A90305" w:rsidRDefault="00A90305" w:rsidP="00A90305">
            <w:pPr>
              <w:rPr>
                <w:rFonts w:ascii="Verdana" w:hAnsi="Verdana"/>
                <w:sz w:val="20"/>
                <w:szCs w:val="20"/>
              </w:rPr>
            </w:pPr>
            <w:r>
              <w:rPr>
                <w:rFonts w:ascii="Verdana" w:hAnsi="Verdana"/>
                <w:i/>
                <w:iCs/>
                <w:sz w:val="20"/>
                <w:szCs w:val="20"/>
              </w:rPr>
              <w:t xml:space="preserve">Version du </w:t>
            </w:r>
            <w:r w:rsidR="00437324">
              <w:rPr>
                <w:rFonts w:ascii="Verdana" w:hAnsi="Verdana"/>
                <w:i/>
                <w:iCs/>
                <w:sz w:val="20"/>
                <w:szCs w:val="20"/>
              </w:rPr>
              <w:t>31/03/2023</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3F493E00" w14:textId="77777777" w:rsidR="00FA5934" w:rsidRDefault="00FA5934" w:rsidP="00D26C83">
      <w:pPr>
        <w:pStyle w:val="Default"/>
        <w:jc w:val="both"/>
        <w:rPr>
          <w:b/>
          <w:bCs/>
          <w:sz w:val="20"/>
          <w:szCs w:val="20"/>
        </w:rPr>
      </w:pPr>
    </w:p>
    <w:p w14:paraId="0BB2C371" w14:textId="358E471D" w:rsidR="00FA5934" w:rsidRDefault="00FA5934" w:rsidP="00D26C83">
      <w:pPr>
        <w:pStyle w:val="Default"/>
        <w:jc w:val="both"/>
        <w:rPr>
          <w:sz w:val="20"/>
          <w:szCs w:val="20"/>
        </w:rPr>
      </w:pPr>
      <w:r w:rsidRPr="00FA5934">
        <w:rPr>
          <w:sz w:val="20"/>
          <w:szCs w:val="20"/>
        </w:rPr>
        <w:t xml:space="preserve">Le </w:t>
      </w:r>
      <w:r w:rsidR="00D26C83" w:rsidRPr="00FA5934">
        <w:rPr>
          <w:sz w:val="20"/>
          <w:szCs w:val="20"/>
        </w:rPr>
        <w:t xml:space="preserve">projet Entrepreneuriat et </w:t>
      </w:r>
      <w:r>
        <w:rPr>
          <w:sz w:val="20"/>
          <w:szCs w:val="20"/>
        </w:rPr>
        <w:t>facilitation des affaires,</w:t>
      </w:r>
      <w:r w:rsidRPr="00FA5934">
        <w:rPr>
          <w:sz w:val="20"/>
          <w:szCs w:val="20"/>
        </w:rPr>
        <w:t xml:space="preserve"> dont la Convention de financement </w:t>
      </w:r>
      <w:r w:rsidR="00D26C83" w:rsidRPr="00FA5934">
        <w:rPr>
          <w:sz w:val="20"/>
          <w:szCs w:val="20"/>
        </w:rPr>
        <w:t>a</w:t>
      </w:r>
      <w:r w:rsidRPr="00FA5934">
        <w:rPr>
          <w:sz w:val="20"/>
          <w:szCs w:val="20"/>
        </w:rPr>
        <w:t>vait</w:t>
      </w:r>
      <w:r w:rsidR="00D26C83" w:rsidRPr="00FA5934">
        <w:rPr>
          <w:sz w:val="20"/>
          <w:szCs w:val="20"/>
        </w:rPr>
        <w:t xml:space="preserve"> été signée avec l’Union européenne</w:t>
      </w:r>
      <w:r w:rsidR="00FC49C7">
        <w:rPr>
          <w:sz w:val="20"/>
          <w:szCs w:val="20"/>
        </w:rPr>
        <w:t xml:space="preserve"> en marge du 34</w:t>
      </w:r>
      <w:r w:rsidR="00FC49C7" w:rsidRPr="00FC49C7">
        <w:rPr>
          <w:sz w:val="20"/>
          <w:szCs w:val="20"/>
          <w:vertAlign w:val="superscript"/>
        </w:rPr>
        <w:t>e</w:t>
      </w:r>
      <w:r w:rsidR="00FC49C7">
        <w:rPr>
          <w:sz w:val="20"/>
          <w:szCs w:val="20"/>
        </w:rPr>
        <w:t xml:space="preserve"> Conseil du 6</w:t>
      </w:r>
      <w:r w:rsidRPr="00FA5934">
        <w:rPr>
          <w:sz w:val="20"/>
          <w:szCs w:val="20"/>
        </w:rPr>
        <w:t xml:space="preserve"> mars 2020</w:t>
      </w:r>
      <w:r w:rsidR="00FC49C7">
        <w:rPr>
          <w:sz w:val="20"/>
          <w:szCs w:val="20"/>
        </w:rPr>
        <w:t>,</w:t>
      </w:r>
      <w:r w:rsidRPr="00FA5934">
        <w:rPr>
          <w:sz w:val="20"/>
          <w:szCs w:val="20"/>
        </w:rPr>
        <w:t xml:space="preserve"> a officiellement démarré à la fin du mois de février</w:t>
      </w:r>
      <w:r w:rsidR="001E7D5B">
        <w:rPr>
          <w:sz w:val="20"/>
          <w:szCs w:val="20"/>
        </w:rPr>
        <w:t xml:space="preserve">. </w:t>
      </w:r>
    </w:p>
    <w:p w14:paraId="02400D55" w14:textId="77777777" w:rsidR="00FA5934" w:rsidRDefault="00FA5934" w:rsidP="00D26C83">
      <w:pPr>
        <w:pStyle w:val="Default"/>
        <w:jc w:val="both"/>
        <w:rPr>
          <w:sz w:val="20"/>
          <w:szCs w:val="20"/>
        </w:rPr>
      </w:pPr>
    </w:p>
    <w:p w14:paraId="3BC9D8BE" w14:textId="513D798F" w:rsidR="00D26C83" w:rsidRDefault="00FA5934" w:rsidP="00D26C83">
      <w:pPr>
        <w:pStyle w:val="Default"/>
        <w:jc w:val="both"/>
        <w:rPr>
          <w:sz w:val="20"/>
          <w:szCs w:val="20"/>
        </w:rPr>
      </w:pPr>
      <w:r w:rsidRPr="00FA5934">
        <w:rPr>
          <w:sz w:val="20"/>
          <w:szCs w:val="20"/>
        </w:rPr>
        <w:t>L’assistance technique</w:t>
      </w:r>
      <w:r>
        <w:rPr>
          <w:sz w:val="20"/>
          <w:szCs w:val="20"/>
        </w:rPr>
        <w:t>, composée de deux experts</w:t>
      </w:r>
      <w:r w:rsidRPr="00FA5934">
        <w:rPr>
          <w:sz w:val="20"/>
          <w:szCs w:val="20"/>
        </w:rPr>
        <w:t xml:space="preserve"> a</w:t>
      </w:r>
      <w:r>
        <w:rPr>
          <w:sz w:val="20"/>
          <w:szCs w:val="20"/>
        </w:rPr>
        <w:t xml:space="preserve"> procédé à la rédaction d’un rapport de démarrage dans un délais d’un mois comme requis dans les </w:t>
      </w:r>
      <w:proofErr w:type="spellStart"/>
      <w:r>
        <w:rPr>
          <w:sz w:val="20"/>
          <w:szCs w:val="20"/>
        </w:rPr>
        <w:t>TdR</w:t>
      </w:r>
      <w:proofErr w:type="spellEnd"/>
      <w:r>
        <w:rPr>
          <w:sz w:val="20"/>
          <w:szCs w:val="20"/>
        </w:rPr>
        <w:t xml:space="preserve">. </w:t>
      </w:r>
    </w:p>
    <w:p w14:paraId="3E6D3FF0" w14:textId="77777777" w:rsidR="00FA5934" w:rsidRPr="00FA5934" w:rsidRDefault="00FA5934" w:rsidP="00D26C83">
      <w:pPr>
        <w:pStyle w:val="Default"/>
        <w:jc w:val="both"/>
        <w:rPr>
          <w:sz w:val="20"/>
          <w:szCs w:val="20"/>
        </w:rPr>
      </w:pPr>
    </w:p>
    <w:p w14:paraId="1984273E" w14:textId="14E28BE6" w:rsidR="001E7D5B" w:rsidRPr="001E7D5B" w:rsidRDefault="00FA5934" w:rsidP="001E7D5B">
      <w:pPr>
        <w:pStyle w:val="Titrepartie"/>
      </w:pPr>
      <w:r w:rsidRPr="0008468B">
        <w:t>Etat d’avancement</w:t>
      </w:r>
    </w:p>
    <w:p w14:paraId="22377A67" w14:textId="34066498" w:rsidR="001E7D5B" w:rsidRPr="00901FE4" w:rsidRDefault="001E7D5B" w:rsidP="001E7D5B">
      <w:pPr>
        <w:pStyle w:val="Paragraphe"/>
        <w:spacing w:after="0"/>
      </w:pPr>
      <w:r>
        <w:t>Ce projet est en gestion directe par l’Union européenne mais la supervision de ce projet est de la responsabilité conjointe de la COI et de l</w:t>
      </w:r>
      <w:r w:rsidR="00000DB1">
        <w:t>a Délégation de l’</w:t>
      </w:r>
      <w:r>
        <w:t xml:space="preserve">Union européenne. </w:t>
      </w:r>
      <w:r w:rsidRPr="00901FE4">
        <w:t xml:space="preserve">Le démarrage des activités, prévu initialement en 2020, a été retardé par la pandémie de Covid-19. </w:t>
      </w:r>
    </w:p>
    <w:p w14:paraId="7F7528EA" w14:textId="77777777" w:rsidR="001E7D5B" w:rsidRDefault="001E7D5B" w:rsidP="001E7D5B">
      <w:pPr>
        <w:pStyle w:val="Default"/>
        <w:jc w:val="both"/>
        <w:rPr>
          <w:sz w:val="20"/>
          <w:szCs w:val="20"/>
        </w:rPr>
      </w:pPr>
    </w:p>
    <w:p w14:paraId="15AD967C" w14:textId="4793CDBE" w:rsidR="001E7D5B" w:rsidRPr="001E7D5B" w:rsidRDefault="001E7D5B" w:rsidP="001E7D5B">
      <w:pPr>
        <w:pStyle w:val="Default"/>
        <w:jc w:val="both"/>
        <w:rPr>
          <w:sz w:val="20"/>
          <w:szCs w:val="20"/>
        </w:rPr>
      </w:pPr>
      <w:r w:rsidRPr="001E7D5B">
        <w:rPr>
          <w:sz w:val="20"/>
          <w:szCs w:val="20"/>
        </w:rPr>
        <w:t xml:space="preserve">Initialement, le projet devait </w:t>
      </w:r>
      <w:r w:rsidR="00047791">
        <w:rPr>
          <w:sz w:val="20"/>
          <w:szCs w:val="20"/>
        </w:rPr>
        <w:t>s’</w:t>
      </w:r>
      <w:r w:rsidRPr="001E7D5B">
        <w:rPr>
          <w:sz w:val="20"/>
          <w:szCs w:val="20"/>
        </w:rPr>
        <w:t>insér</w:t>
      </w:r>
      <w:r w:rsidR="00047791">
        <w:rPr>
          <w:sz w:val="20"/>
          <w:szCs w:val="20"/>
        </w:rPr>
        <w:t>er</w:t>
      </w:r>
      <w:r w:rsidRPr="001E7D5B">
        <w:rPr>
          <w:sz w:val="20"/>
          <w:szCs w:val="20"/>
        </w:rPr>
        <w:t xml:space="preserve"> dans un programme plus vaste avec pour objectif de « contribuer à accroître les opportunités économiques pour les entrepreneurs de la région de la Commission de l’</w:t>
      </w:r>
      <w:r w:rsidR="00047791">
        <w:rPr>
          <w:sz w:val="20"/>
          <w:szCs w:val="20"/>
        </w:rPr>
        <w:t>o</w:t>
      </w:r>
      <w:r w:rsidRPr="001E7D5B">
        <w:rPr>
          <w:sz w:val="20"/>
          <w:szCs w:val="20"/>
        </w:rPr>
        <w:t>céan Indien dans un contexte de développement durable ». Le programme tel que conçu comprenait trois composantes :</w:t>
      </w:r>
    </w:p>
    <w:p w14:paraId="3F72CD57" w14:textId="5A31BE30" w:rsidR="001E7D5B" w:rsidRPr="001E7D5B" w:rsidRDefault="001E7D5B" w:rsidP="001E7D5B">
      <w:pPr>
        <w:pStyle w:val="Default"/>
        <w:numPr>
          <w:ilvl w:val="0"/>
          <w:numId w:val="12"/>
        </w:numPr>
        <w:jc w:val="both"/>
        <w:rPr>
          <w:sz w:val="20"/>
          <w:szCs w:val="20"/>
        </w:rPr>
      </w:pPr>
      <w:r w:rsidRPr="001E7D5B">
        <w:rPr>
          <w:sz w:val="20"/>
          <w:szCs w:val="20"/>
        </w:rPr>
        <w:t>Composante 1 : Renforcement des capacités, et des connaissances des PME (en particulier les MPME et start-ups)</w:t>
      </w:r>
    </w:p>
    <w:p w14:paraId="323C6896" w14:textId="09D8FB34" w:rsidR="001E7D5B" w:rsidRPr="001E7D5B" w:rsidRDefault="001E7D5B" w:rsidP="001E7D5B">
      <w:pPr>
        <w:pStyle w:val="Default"/>
        <w:numPr>
          <w:ilvl w:val="0"/>
          <w:numId w:val="12"/>
        </w:numPr>
        <w:jc w:val="both"/>
        <w:rPr>
          <w:sz w:val="20"/>
          <w:szCs w:val="20"/>
        </w:rPr>
      </w:pPr>
      <w:r w:rsidRPr="001E7D5B">
        <w:rPr>
          <w:sz w:val="20"/>
          <w:szCs w:val="20"/>
        </w:rPr>
        <w:t>Composante 2 : Opérationnalisation d’une facilité de crédit pour la promotion de solutions vertes</w:t>
      </w:r>
      <w:r w:rsidR="00C93474">
        <w:rPr>
          <w:sz w:val="20"/>
          <w:szCs w:val="20"/>
        </w:rPr>
        <w:t>,</w:t>
      </w:r>
      <w:r w:rsidRPr="001E7D5B">
        <w:rPr>
          <w:sz w:val="20"/>
          <w:szCs w:val="20"/>
        </w:rPr>
        <w:t xml:space="preserve"> bleue</w:t>
      </w:r>
      <w:r w:rsidR="00C93474">
        <w:rPr>
          <w:sz w:val="20"/>
          <w:szCs w:val="20"/>
        </w:rPr>
        <w:t>s</w:t>
      </w:r>
      <w:r w:rsidRPr="001E7D5B">
        <w:rPr>
          <w:sz w:val="20"/>
          <w:szCs w:val="20"/>
        </w:rPr>
        <w:t xml:space="preserve"> et circulaire</w:t>
      </w:r>
      <w:r w:rsidR="00C93474">
        <w:rPr>
          <w:sz w:val="20"/>
          <w:szCs w:val="20"/>
        </w:rPr>
        <w:t>s</w:t>
      </w:r>
    </w:p>
    <w:p w14:paraId="5284FE22" w14:textId="3769C18F" w:rsidR="001E7D5B" w:rsidRDefault="001E7D5B" w:rsidP="001E7D5B">
      <w:pPr>
        <w:pStyle w:val="Default"/>
        <w:numPr>
          <w:ilvl w:val="0"/>
          <w:numId w:val="12"/>
        </w:numPr>
        <w:jc w:val="both"/>
        <w:rPr>
          <w:sz w:val="20"/>
          <w:szCs w:val="20"/>
        </w:rPr>
      </w:pPr>
      <w:r w:rsidRPr="001E7D5B">
        <w:rPr>
          <w:sz w:val="20"/>
          <w:szCs w:val="20"/>
        </w:rPr>
        <w:t>Composante 3 : Opérationnalisation d’un dispositif régional d’information et de données commerciales</w:t>
      </w:r>
    </w:p>
    <w:p w14:paraId="31869224" w14:textId="77777777" w:rsidR="001E7D5B" w:rsidRPr="001E7D5B" w:rsidRDefault="001E7D5B" w:rsidP="001E7D5B">
      <w:pPr>
        <w:pStyle w:val="Default"/>
        <w:jc w:val="both"/>
        <w:rPr>
          <w:sz w:val="20"/>
          <w:szCs w:val="20"/>
        </w:rPr>
      </w:pPr>
    </w:p>
    <w:p w14:paraId="21A2C6D1" w14:textId="708CBA5B" w:rsidR="001E7D5B" w:rsidRDefault="001E7D5B" w:rsidP="001E7D5B">
      <w:pPr>
        <w:pStyle w:val="Default"/>
        <w:jc w:val="both"/>
        <w:rPr>
          <w:sz w:val="20"/>
          <w:szCs w:val="20"/>
        </w:rPr>
      </w:pPr>
      <w:r w:rsidRPr="001E7D5B">
        <w:rPr>
          <w:sz w:val="20"/>
          <w:szCs w:val="20"/>
        </w:rPr>
        <w:t>A la phase de démarrage, l</w:t>
      </w:r>
      <w:r>
        <w:rPr>
          <w:sz w:val="20"/>
          <w:szCs w:val="20"/>
        </w:rPr>
        <w:t xml:space="preserve">e Secrétariat général </w:t>
      </w:r>
      <w:r w:rsidRPr="001E7D5B">
        <w:rPr>
          <w:sz w:val="20"/>
          <w:szCs w:val="20"/>
        </w:rPr>
        <w:t>a informé l’</w:t>
      </w:r>
      <w:r>
        <w:rPr>
          <w:sz w:val="20"/>
          <w:szCs w:val="20"/>
        </w:rPr>
        <w:t>assistance technique</w:t>
      </w:r>
      <w:r w:rsidRPr="001E7D5B">
        <w:rPr>
          <w:sz w:val="20"/>
          <w:szCs w:val="20"/>
        </w:rPr>
        <w:t xml:space="preserve"> que le programme </w:t>
      </w:r>
      <w:r w:rsidR="00C93474">
        <w:rPr>
          <w:sz w:val="20"/>
          <w:szCs w:val="20"/>
        </w:rPr>
        <w:t xml:space="preserve">ne </w:t>
      </w:r>
      <w:r w:rsidRPr="001E7D5B">
        <w:rPr>
          <w:sz w:val="20"/>
          <w:szCs w:val="20"/>
        </w:rPr>
        <w:t xml:space="preserve">sera constitué désormais que de la composante 1 car les deux autres composantes ne pourront pas être exécutées pour des raisons d’ordre administratif et procédurale. Il a donc été recommandé à l’AT de trouver le bon positionnement et la bonne complémentarité dans la mise en œuvre du projet pour combler le vide laissé par les composantes 2 et 3.   </w:t>
      </w:r>
    </w:p>
    <w:p w14:paraId="3A6B0448" w14:textId="77777777" w:rsidR="001E7D5B" w:rsidRDefault="001E7D5B" w:rsidP="001E7D5B">
      <w:pPr>
        <w:pStyle w:val="Default"/>
        <w:jc w:val="both"/>
        <w:rPr>
          <w:sz w:val="20"/>
          <w:szCs w:val="20"/>
        </w:rPr>
      </w:pPr>
    </w:p>
    <w:p w14:paraId="752C8042" w14:textId="0C48C798" w:rsidR="00D26C83" w:rsidRDefault="001E7D5B" w:rsidP="001E7D5B">
      <w:pPr>
        <w:pStyle w:val="Default"/>
        <w:jc w:val="both"/>
        <w:rPr>
          <w:sz w:val="20"/>
          <w:szCs w:val="20"/>
        </w:rPr>
      </w:pPr>
      <w:r>
        <w:rPr>
          <w:sz w:val="20"/>
          <w:szCs w:val="20"/>
        </w:rPr>
        <w:t>L</w:t>
      </w:r>
      <w:r w:rsidRPr="001E7D5B">
        <w:rPr>
          <w:sz w:val="20"/>
          <w:szCs w:val="20"/>
        </w:rPr>
        <w:t>a logique d'intervention des actions du projet</w:t>
      </w:r>
      <w:r>
        <w:rPr>
          <w:sz w:val="20"/>
          <w:szCs w:val="20"/>
        </w:rPr>
        <w:t xml:space="preserve"> </w:t>
      </w:r>
      <w:r w:rsidRPr="001E7D5B">
        <w:rPr>
          <w:sz w:val="20"/>
          <w:szCs w:val="20"/>
        </w:rPr>
        <w:t>est basée sur le renforcement des capacités des MPME et des start-ups autour des solutions verte</w:t>
      </w:r>
      <w:r w:rsidR="00227862">
        <w:rPr>
          <w:sz w:val="20"/>
          <w:szCs w:val="20"/>
        </w:rPr>
        <w:t>s</w:t>
      </w:r>
      <w:r w:rsidRPr="001E7D5B">
        <w:rPr>
          <w:sz w:val="20"/>
          <w:szCs w:val="20"/>
        </w:rPr>
        <w:t>, bleue</w:t>
      </w:r>
      <w:r w:rsidR="00227862">
        <w:rPr>
          <w:sz w:val="20"/>
          <w:szCs w:val="20"/>
        </w:rPr>
        <w:t>s</w:t>
      </w:r>
      <w:r w:rsidRPr="001E7D5B">
        <w:rPr>
          <w:sz w:val="20"/>
          <w:szCs w:val="20"/>
        </w:rPr>
        <w:t xml:space="preserve"> et circulaire</w:t>
      </w:r>
      <w:r w:rsidR="00227862">
        <w:rPr>
          <w:sz w:val="20"/>
          <w:szCs w:val="20"/>
        </w:rPr>
        <w:t>s</w:t>
      </w:r>
      <w:r w:rsidRPr="001E7D5B">
        <w:rPr>
          <w:sz w:val="20"/>
          <w:szCs w:val="20"/>
        </w:rPr>
        <w:t xml:space="preserve"> prioritaires pour la COI avec une attention accordée aux entreprises portées par des jeunes et des femmes. Les secteurs d’activités concernés par le projet sont le tourisme, les plantes cosmétiques et les produits de la mer.</w:t>
      </w:r>
    </w:p>
    <w:p w14:paraId="45315A56" w14:textId="77777777" w:rsidR="002B57BF" w:rsidRDefault="002B57BF" w:rsidP="001A6D7D">
      <w:pPr>
        <w:pStyle w:val="Paragraphe"/>
        <w:spacing w:after="0"/>
      </w:pPr>
    </w:p>
    <w:p w14:paraId="71F13793" w14:textId="77777777" w:rsidR="001E7D5B" w:rsidRDefault="001E7D5B" w:rsidP="00D87652">
      <w:pPr>
        <w:pStyle w:val="Paragraphe"/>
        <w:spacing w:after="0"/>
      </w:pPr>
      <w:r>
        <w:t xml:space="preserve">Les résultats attendus de ce projet sont les suivants : </w:t>
      </w:r>
    </w:p>
    <w:p w14:paraId="1A6A3495" w14:textId="35B1680B" w:rsidR="00D87652" w:rsidRDefault="00D87652" w:rsidP="001E7D5B">
      <w:pPr>
        <w:pStyle w:val="Paragraphe"/>
        <w:spacing w:after="0"/>
        <w:ind w:firstLine="708"/>
      </w:pPr>
      <w:r w:rsidRPr="00CA034F">
        <w:t>Résultat 1 – Diagnostic organismes d’appui et institutions de formation</w:t>
      </w:r>
      <w:r w:rsidR="00BD282B">
        <w:t xml:space="preserve"> : </w:t>
      </w:r>
      <w:r w:rsidR="00BD282B" w:rsidRPr="00BD282B">
        <w:t xml:space="preserve">i)Inventaire des MPME et des Start-ups, entreprises informelles comprise; ii) Revue des freins au développement des MPME et des Start-ups et de leurs besoins; iii) Cartographie des organismes de soutiens aux entreprises et des centres de formation; iv) Examiner les capacités des organismes de soutiens aux entreprises et des centres de formation; v) Identification des besoins en renforcement des organismes de soutiens aux entreprises et </w:t>
      </w:r>
      <w:r w:rsidR="00BD282B" w:rsidRPr="00BD282B">
        <w:lastRenderedPageBreak/>
        <w:t>des centres de formation; vi) Aider à la mobilisation des services des organismes de soutien aux MPME et start-ups</w:t>
      </w:r>
      <w:r w:rsidR="00BD282B">
        <w:t>.</w:t>
      </w:r>
    </w:p>
    <w:p w14:paraId="64A89646" w14:textId="77777777" w:rsidR="00BD282B" w:rsidRPr="00CA034F" w:rsidRDefault="00BD282B" w:rsidP="00D87652">
      <w:pPr>
        <w:pStyle w:val="Paragraphe"/>
        <w:spacing w:after="0"/>
      </w:pPr>
    </w:p>
    <w:p w14:paraId="777003BA" w14:textId="6564986F" w:rsidR="00D87652" w:rsidRDefault="00D87652" w:rsidP="00D87652">
      <w:pPr>
        <w:pStyle w:val="Paragraphe"/>
        <w:spacing w:after="0"/>
      </w:pPr>
      <w:r w:rsidRPr="00CA034F">
        <w:t>Résultat 2 - Mise à niveau des Organismes d’appui</w:t>
      </w:r>
      <w:r w:rsidR="00BD282B">
        <w:t> </w:t>
      </w:r>
      <w:r w:rsidR="00BD282B" w:rsidRPr="00BE5BF6">
        <w:t xml:space="preserve">: </w:t>
      </w:r>
      <w:r w:rsidR="00BE5BF6" w:rsidRPr="00BE5BF6">
        <w:t>i)</w:t>
      </w:r>
      <w:r w:rsidR="00BE5BF6">
        <w:t xml:space="preserve"> </w:t>
      </w:r>
      <w:r w:rsidR="00BE5BF6" w:rsidRPr="00BE5BF6">
        <w:t xml:space="preserve">Élaborer une boîte à outils régionale y compris des guides de </w:t>
      </w:r>
      <w:r w:rsidR="0083250E" w:rsidRPr="00BE5BF6">
        <w:t>formation ;</w:t>
      </w:r>
      <w:r w:rsidR="00BE5BF6" w:rsidRPr="00BE5BF6">
        <w:t xml:space="preserve"> ii) Former les formateurs et les conseillers d’entreprise; iii) Apporter, à la demande, des appuis spécifiques aux organismes; iv) Appuyer, à la demande, les centres de formation.</w:t>
      </w:r>
    </w:p>
    <w:p w14:paraId="0A0C852E" w14:textId="77777777" w:rsidR="00BE5BF6" w:rsidRPr="00CA034F" w:rsidRDefault="00BE5BF6" w:rsidP="00D87652">
      <w:pPr>
        <w:pStyle w:val="Paragraphe"/>
        <w:spacing w:after="0"/>
      </w:pPr>
    </w:p>
    <w:p w14:paraId="1F4C0157" w14:textId="09E9C539" w:rsidR="00D87652" w:rsidRPr="00CA034F" w:rsidRDefault="00D87652" w:rsidP="00005D95">
      <w:pPr>
        <w:pStyle w:val="Paragraphe"/>
        <w:spacing w:after="0"/>
      </w:pPr>
      <w:r w:rsidRPr="00CA034F">
        <w:t>Résultat 3- Mise en réseau des organismes d'appui</w:t>
      </w:r>
      <w:r w:rsidR="00BE5BF6">
        <w:t xml:space="preserve"> : </w:t>
      </w:r>
      <w:r w:rsidR="00005D95" w:rsidRPr="00005D95">
        <w:t xml:space="preserve">i) Élaborer une proposition de cadre de concertation régulière; ii) Sensibiliser les acteurs et soutenir les premières actions de concertations et d’échanges; iii) Appuyer les organismes de soutiens aux MPME et start-ups à formuler des politiques; iv) Mettre en place un évènement régional annuel de « </w:t>
      </w:r>
      <w:proofErr w:type="spellStart"/>
      <w:r w:rsidR="00005D95" w:rsidRPr="00005D95">
        <w:t>pitching</w:t>
      </w:r>
      <w:proofErr w:type="spellEnd"/>
      <w:r w:rsidR="00005D95" w:rsidRPr="00005D95">
        <w:t xml:space="preserve"> » pour les start- up; v) Appuyer la participation des MPME et des Start- </w:t>
      </w:r>
      <w:proofErr w:type="spellStart"/>
      <w:r w:rsidR="00005D95" w:rsidRPr="00005D95">
        <w:t>ups</w:t>
      </w:r>
      <w:proofErr w:type="spellEnd"/>
      <w:r w:rsidR="00005D95" w:rsidRPr="00005D95">
        <w:t xml:space="preserve"> à des foires et forums internationaux; vi) Accompagner les </w:t>
      </w:r>
      <w:proofErr w:type="spellStart"/>
      <w:r w:rsidR="00005D95" w:rsidRPr="00005D95">
        <w:t>MPMEs</w:t>
      </w:r>
      <w:proofErr w:type="spellEnd"/>
      <w:r w:rsidR="00005D95" w:rsidRPr="00005D95">
        <w:t xml:space="preserve"> et start-ups à accéder à la facilite de crédit; vii) Mener des actions de promotion du dispositif d’accompagnement.</w:t>
      </w:r>
    </w:p>
    <w:p w14:paraId="004F8498" w14:textId="62F8F912" w:rsidR="00955BB3" w:rsidRDefault="00955BB3" w:rsidP="00005D95">
      <w:pPr>
        <w:spacing w:after="0"/>
        <w:jc w:val="both"/>
        <w:rPr>
          <w:rFonts w:ascii="Verdana" w:hAnsi="Verdana" w:cs="Calibri"/>
          <w:sz w:val="20"/>
          <w:szCs w:val="20"/>
        </w:rPr>
      </w:pPr>
    </w:p>
    <w:p w14:paraId="0FD8DE5D" w14:textId="2DA276A9" w:rsidR="001E7D5B" w:rsidRDefault="001E7D5B" w:rsidP="001E7D5B">
      <w:pPr>
        <w:pStyle w:val="Paragraphe"/>
        <w:spacing w:after="0"/>
      </w:pPr>
      <w:r w:rsidRPr="00581164">
        <w:t xml:space="preserve">Le </w:t>
      </w:r>
      <w:r>
        <w:t>lancement officiel en présentiel du projet</w:t>
      </w:r>
      <w:r w:rsidRPr="00581164">
        <w:t xml:space="preserve"> a eu lieu le 7 mars 2023 </w:t>
      </w:r>
      <w:r>
        <w:t xml:space="preserve">au siège de la COI, en présence de l’Ambassadeur de la DUE, de l’assistance technique et du personnel du Secrétariat général. </w:t>
      </w:r>
      <w:r w:rsidR="003927BB">
        <w:t>L’assistance technique dispose de bureau à Ebène à proximité du siège de la COI. Des sessions d’information</w:t>
      </w:r>
      <w:r w:rsidR="00C23DEE">
        <w:t xml:space="preserve"> avec les OPL et les experts du projet ont été organisées </w:t>
      </w:r>
      <w:r w:rsidR="0083250E">
        <w:t xml:space="preserve">aux mois de mars et avril. </w:t>
      </w:r>
      <w:r w:rsidR="00C23DEE">
        <w:t xml:space="preserve"> </w:t>
      </w:r>
    </w:p>
    <w:p w14:paraId="047822BA" w14:textId="77777777" w:rsidR="001E7D5B" w:rsidRDefault="001E7D5B" w:rsidP="00005D95">
      <w:pPr>
        <w:spacing w:after="0"/>
        <w:jc w:val="both"/>
        <w:rPr>
          <w:rFonts w:ascii="Verdana" w:hAnsi="Verdana" w:cs="Calibri"/>
          <w:sz w:val="20"/>
          <w:szCs w:val="20"/>
        </w:rPr>
      </w:pPr>
    </w:p>
    <w:p w14:paraId="43634F38" w14:textId="77777777" w:rsidR="004563BC" w:rsidRPr="00005D95" w:rsidRDefault="004563BC" w:rsidP="00005D95">
      <w:pPr>
        <w:spacing w:after="0"/>
        <w:jc w:val="both"/>
        <w:rPr>
          <w:rFonts w:ascii="Verdana" w:hAnsi="Verdana" w:cs="Calibri"/>
          <w:sz w:val="20"/>
          <w:szCs w:val="20"/>
        </w:rPr>
      </w:pPr>
    </w:p>
    <w:p w14:paraId="495CA3D7" w14:textId="77777777" w:rsidR="0008468B" w:rsidRPr="0083250E" w:rsidRDefault="0008468B" w:rsidP="0008468B">
      <w:pPr>
        <w:jc w:val="both"/>
        <w:rPr>
          <w:rFonts w:ascii="Verdana" w:hAnsi="Verdana" w:cs="Calibri"/>
          <w:sz w:val="20"/>
          <w:szCs w:val="20"/>
        </w:rPr>
      </w:pPr>
    </w:p>
    <w:p w14:paraId="7EAEB404" w14:textId="72ACB4A7" w:rsidR="00955BB3" w:rsidRPr="0008468B" w:rsidRDefault="00955BB3" w:rsidP="00FE285D">
      <w:pPr>
        <w:pStyle w:val="Titrepartie"/>
      </w:pPr>
      <w:r w:rsidRPr="0008468B">
        <w:t>Rappel des décisions antérieures</w:t>
      </w:r>
    </w:p>
    <w:bookmarkEnd w:id="0"/>
    <w:p w14:paraId="623000D0" w14:textId="7B2C5178" w:rsidR="0008468B" w:rsidRPr="00FE285D" w:rsidRDefault="00FE285D" w:rsidP="00060CA0">
      <w:pPr>
        <w:pStyle w:val="Exergue"/>
      </w:pPr>
      <w:r>
        <w:t>Cf.</w:t>
      </w:r>
      <w:r w:rsidR="0008468B" w:rsidRPr="00FE285D">
        <w:t xml:space="preserve"> </w:t>
      </w:r>
      <w:r w:rsidR="00CC383B">
        <w:t>Fiche</w:t>
      </w:r>
      <w:r w:rsidR="0008468B" w:rsidRPr="00FE285D">
        <w:t xml:space="preserve"> </w:t>
      </w:r>
      <w:r w:rsidR="00810281">
        <w:t xml:space="preserve">Projet Entrepreneuriat et </w:t>
      </w:r>
      <w:r w:rsidR="001540E7">
        <w:t>Coopération commerciale dans la région COI</w:t>
      </w:r>
      <w:r w:rsidR="00A76B07">
        <w:t xml:space="preserve">, </w:t>
      </w:r>
      <w:r w:rsidR="001540E7">
        <w:t>Comité des OPL</w:t>
      </w:r>
      <w:r w:rsidR="00A76B07">
        <w:t xml:space="preserve">, </w:t>
      </w:r>
      <w:r w:rsidR="00DC271C">
        <w:t>17-18 mai 2021</w:t>
      </w:r>
    </w:p>
    <w:p w14:paraId="1AD9B82A" w14:textId="77777777" w:rsidR="00DC271C" w:rsidRDefault="00DC271C" w:rsidP="00764AF2">
      <w:pPr>
        <w:pStyle w:val="Paragraphe"/>
        <w:spacing w:after="0"/>
        <w:rPr>
          <w:b/>
          <w:bCs/>
        </w:rPr>
      </w:pPr>
    </w:p>
    <w:p w14:paraId="1735A4AA" w14:textId="2C357BC3" w:rsidR="00810281" w:rsidRPr="00810281" w:rsidRDefault="00810281" w:rsidP="00764AF2">
      <w:pPr>
        <w:pStyle w:val="Paragraphe"/>
        <w:spacing w:after="0"/>
      </w:pPr>
      <w:r w:rsidRPr="00810281">
        <w:rPr>
          <w:b/>
          <w:bCs/>
        </w:rPr>
        <w:t xml:space="preserve">Le Comité des OPL : </w:t>
      </w:r>
    </w:p>
    <w:p w14:paraId="7FFAB9F6" w14:textId="77777777" w:rsidR="00810281" w:rsidRPr="00810281" w:rsidRDefault="00810281" w:rsidP="00810281">
      <w:pPr>
        <w:pStyle w:val="Paragraphe"/>
      </w:pPr>
      <w:r w:rsidRPr="00810281">
        <w:rPr>
          <w:b/>
          <w:bCs/>
        </w:rPr>
        <w:t xml:space="preserve">a) prend note du démarrage en cours du projet Entrepreneuriat et Coopération commerciale dans la région COI ; </w:t>
      </w:r>
    </w:p>
    <w:p w14:paraId="50BD1903" w14:textId="77777777" w:rsidR="00810281" w:rsidRPr="00810281" w:rsidRDefault="00810281" w:rsidP="00810281">
      <w:pPr>
        <w:pStyle w:val="Paragraphe"/>
      </w:pPr>
      <w:r w:rsidRPr="00810281">
        <w:rPr>
          <w:b/>
          <w:bCs/>
        </w:rPr>
        <w:t xml:space="preserve">b) remercie l’Union européenne pour son soutien au développement économique de la région ; </w:t>
      </w:r>
    </w:p>
    <w:p w14:paraId="017571AB" w14:textId="77777777" w:rsidR="00810281" w:rsidRPr="00810281" w:rsidRDefault="00810281" w:rsidP="00810281">
      <w:pPr>
        <w:pStyle w:val="Paragraphe"/>
      </w:pPr>
      <w:r w:rsidRPr="00810281">
        <w:rPr>
          <w:b/>
          <w:bCs/>
        </w:rPr>
        <w:t xml:space="preserve">c) souligne l’importance accordée par la COI au renforcement des capacités des femmes et des jeunes entrepreneurs de la région ; </w:t>
      </w:r>
    </w:p>
    <w:p w14:paraId="11965DFA" w14:textId="77777777" w:rsidR="00810281" w:rsidRPr="00810281" w:rsidRDefault="00810281" w:rsidP="00810281">
      <w:pPr>
        <w:pStyle w:val="Paragraphe"/>
      </w:pPr>
      <w:r w:rsidRPr="00810281">
        <w:rPr>
          <w:b/>
          <w:bCs/>
        </w:rPr>
        <w:t xml:space="preserve">d) exprime sa volonté de voir ce projet contribuer à la relance économique dans la région. </w:t>
      </w:r>
    </w:p>
    <w:p w14:paraId="669C15E2" w14:textId="181DC86C" w:rsidR="0008468B" w:rsidRPr="0008468B" w:rsidRDefault="0008468B" w:rsidP="00060CA0">
      <w:pPr>
        <w:pStyle w:val="Paragraphe"/>
      </w:pPr>
    </w:p>
    <w:p w14:paraId="1A08E46E" w14:textId="77777777" w:rsidR="0008468B" w:rsidRDefault="0008468B" w:rsidP="00417683">
      <w:pPr>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7FEED157" w:rsidR="00C325F5" w:rsidRDefault="00620B90" w:rsidP="00620B90">
      <w:pPr>
        <w:pStyle w:val="Paragraphe"/>
        <w:numPr>
          <w:ilvl w:val="0"/>
          <w:numId w:val="9"/>
        </w:numPr>
      </w:pPr>
      <w:r>
        <w:t xml:space="preserve">Annexe 1 : </w:t>
      </w:r>
    </w:p>
    <w:p w14:paraId="0C5ACB70" w14:textId="07E1F40A" w:rsidR="00905FCB" w:rsidRDefault="00620B90" w:rsidP="00905FCB">
      <w:pPr>
        <w:pStyle w:val="Paragraphe"/>
        <w:numPr>
          <w:ilvl w:val="0"/>
          <w:numId w:val="9"/>
        </w:numPr>
      </w:pPr>
      <w:r>
        <w:t xml:space="preserve">Annexe 2 : </w:t>
      </w:r>
    </w:p>
    <w:p w14:paraId="09C60A6B" w14:textId="77777777" w:rsidR="00905FCB" w:rsidRDefault="00905FCB" w:rsidP="00905FCB">
      <w:pPr>
        <w:pStyle w:val="Paragraphe"/>
      </w:pPr>
    </w:p>
    <w:p w14:paraId="53C7E5DE" w14:textId="12D00BC6" w:rsidR="000F3179" w:rsidRDefault="000F3179" w:rsidP="00764AF2">
      <w:pPr>
        <w:pStyle w:val="Default"/>
        <w:rPr>
          <w:sz w:val="22"/>
          <w:szCs w:val="22"/>
        </w:rPr>
      </w:pPr>
    </w:p>
    <w:sectPr w:rsidR="000F3179"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90402" w14:textId="77777777" w:rsidR="00E75AD7" w:rsidRDefault="00E75AD7">
      <w:pPr>
        <w:spacing w:after="0" w:line="240" w:lineRule="auto"/>
      </w:pPr>
      <w:r>
        <w:separator/>
      </w:r>
    </w:p>
  </w:endnote>
  <w:endnote w:type="continuationSeparator" w:id="0">
    <w:p w14:paraId="3875DFC5" w14:textId="77777777" w:rsidR="00E75AD7" w:rsidRDefault="00E7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89544" w14:textId="77777777" w:rsidR="00E75AD7" w:rsidRDefault="00E75AD7">
      <w:pPr>
        <w:spacing w:after="0" w:line="240" w:lineRule="auto"/>
      </w:pPr>
      <w:r>
        <w:separator/>
      </w:r>
    </w:p>
  </w:footnote>
  <w:footnote w:type="continuationSeparator" w:id="0">
    <w:p w14:paraId="006920E8" w14:textId="77777777" w:rsidR="00E75AD7" w:rsidRDefault="00E75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0C06E714"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8F18E9">
      <w:rPr>
        <w:rFonts w:ascii="Verdana" w:hAnsi="Verdana"/>
        <w:b/>
        <w:bCs/>
        <w:sz w:val="20"/>
        <w:szCs w:val="20"/>
      </w:rPr>
      <w:t>2.12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2E3D48"/>
    <w:multiLevelType w:val="hybridMultilevel"/>
    <w:tmpl w:val="0C5443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AB21D0"/>
    <w:multiLevelType w:val="hybridMultilevel"/>
    <w:tmpl w:val="9DC05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8973582">
    <w:abstractNumId w:val="4"/>
  </w:num>
  <w:num w:numId="2" w16cid:durableId="1255670670">
    <w:abstractNumId w:val="8"/>
  </w:num>
  <w:num w:numId="3" w16cid:durableId="481506147">
    <w:abstractNumId w:val="2"/>
  </w:num>
  <w:num w:numId="4" w16cid:durableId="1017194755">
    <w:abstractNumId w:val="0"/>
  </w:num>
  <w:num w:numId="5" w16cid:durableId="260796140">
    <w:abstractNumId w:val="7"/>
  </w:num>
  <w:num w:numId="6" w16cid:durableId="1355303167">
    <w:abstractNumId w:val="3"/>
  </w:num>
  <w:num w:numId="7" w16cid:durableId="1288853081">
    <w:abstractNumId w:val="5"/>
  </w:num>
  <w:num w:numId="8" w16cid:durableId="1199851854">
    <w:abstractNumId w:val="2"/>
    <w:lvlOverride w:ilvl="0">
      <w:startOverride w:val="1"/>
    </w:lvlOverride>
  </w:num>
  <w:num w:numId="9" w16cid:durableId="1691100606">
    <w:abstractNumId w:val="1"/>
  </w:num>
  <w:num w:numId="10" w16cid:durableId="575673943">
    <w:abstractNumId w:val="6"/>
  </w:num>
  <w:num w:numId="11" w16cid:durableId="1414739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52887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DB1"/>
    <w:rsid w:val="00005D95"/>
    <w:rsid w:val="0000725D"/>
    <w:rsid w:val="00025D07"/>
    <w:rsid w:val="000373B2"/>
    <w:rsid w:val="00042CF5"/>
    <w:rsid w:val="00047791"/>
    <w:rsid w:val="00060CA0"/>
    <w:rsid w:val="00063A26"/>
    <w:rsid w:val="0007002E"/>
    <w:rsid w:val="0008468B"/>
    <w:rsid w:val="00094183"/>
    <w:rsid w:val="000A468A"/>
    <w:rsid w:val="000B0FBD"/>
    <w:rsid w:val="000C0BAC"/>
    <w:rsid w:val="000E4B32"/>
    <w:rsid w:val="000F3179"/>
    <w:rsid w:val="000F4728"/>
    <w:rsid w:val="000F4E74"/>
    <w:rsid w:val="00107D9D"/>
    <w:rsid w:val="001540E7"/>
    <w:rsid w:val="0018252D"/>
    <w:rsid w:val="00187D57"/>
    <w:rsid w:val="001A56F1"/>
    <w:rsid w:val="001A6D7D"/>
    <w:rsid w:val="001B4738"/>
    <w:rsid w:val="001E7D5B"/>
    <w:rsid w:val="001F22E2"/>
    <w:rsid w:val="00227862"/>
    <w:rsid w:val="00244634"/>
    <w:rsid w:val="00285581"/>
    <w:rsid w:val="002874C3"/>
    <w:rsid w:val="002A0933"/>
    <w:rsid w:val="002A096E"/>
    <w:rsid w:val="002B57BF"/>
    <w:rsid w:val="002C56ED"/>
    <w:rsid w:val="00311796"/>
    <w:rsid w:val="00342EDB"/>
    <w:rsid w:val="003604B9"/>
    <w:rsid w:val="00374568"/>
    <w:rsid w:val="003772FB"/>
    <w:rsid w:val="00391152"/>
    <w:rsid w:val="003927BB"/>
    <w:rsid w:val="003C2538"/>
    <w:rsid w:val="003D485F"/>
    <w:rsid w:val="003D5328"/>
    <w:rsid w:val="0041278C"/>
    <w:rsid w:val="004165EC"/>
    <w:rsid w:val="00417683"/>
    <w:rsid w:val="00426673"/>
    <w:rsid w:val="00437324"/>
    <w:rsid w:val="004563BC"/>
    <w:rsid w:val="004607F7"/>
    <w:rsid w:val="00485F6E"/>
    <w:rsid w:val="004A1B7A"/>
    <w:rsid w:val="004F5C4B"/>
    <w:rsid w:val="00505396"/>
    <w:rsid w:val="005136AA"/>
    <w:rsid w:val="0053773D"/>
    <w:rsid w:val="00542740"/>
    <w:rsid w:val="0054513A"/>
    <w:rsid w:val="00581164"/>
    <w:rsid w:val="005E714C"/>
    <w:rsid w:val="00620B90"/>
    <w:rsid w:val="00627A2B"/>
    <w:rsid w:val="006356AF"/>
    <w:rsid w:val="006548BF"/>
    <w:rsid w:val="00660504"/>
    <w:rsid w:val="00666848"/>
    <w:rsid w:val="006E2D9E"/>
    <w:rsid w:val="00712EEB"/>
    <w:rsid w:val="00764AF2"/>
    <w:rsid w:val="00792808"/>
    <w:rsid w:val="007B245C"/>
    <w:rsid w:val="007C571D"/>
    <w:rsid w:val="007C78FC"/>
    <w:rsid w:val="007E663F"/>
    <w:rsid w:val="00810281"/>
    <w:rsid w:val="00816DAC"/>
    <w:rsid w:val="0083250E"/>
    <w:rsid w:val="0083290E"/>
    <w:rsid w:val="00843FF2"/>
    <w:rsid w:val="008453AB"/>
    <w:rsid w:val="0084717C"/>
    <w:rsid w:val="00854EEA"/>
    <w:rsid w:val="008551DA"/>
    <w:rsid w:val="00894AC9"/>
    <w:rsid w:val="008D193F"/>
    <w:rsid w:val="008D6E9E"/>
    <w:rsid w:val="008E76CF"/>
    <w:rsid w:val="008F173C"/>
    <w:rsid w:val="008F18E9"/>
    <w:rsid w:val="00901FE4"/>
    <w:rsid w:val="00905FCB"/>
    <w:rsid w:val="00943BD2"/>
    <w:rsid w:val="009525ED"/>
    <w:rsid w:val="00955BB3"/>
    <w:rsid w:val="00967E1F"/>
    <w:rsid w:val="009809E1"/>
    <w:rsid w:val="009A38AD"/>
    <w:rsid w:val="00A06FA0"/>
    <w:rsid w:val="00A148A1"/>
    <w:rsid w:val="00A36C09"/>
    <w:rsid w:val="00A37C9F"/>
    <w:rsid w:val="00A544A1"/>
    <w:rsid w:val="00A70123"/>
    <w:rsid w:val="00A76B07"/>
    <w:rsid w:val="00A81B98"/>
    <w:rsid w:val="00A85F35"/>
    <w:rsid w:val="00A90305"/>
    <w:rsid w:val="00AA63A3"/>
    <w:rsid w:val="00AB5EB7"/>
    <w:rsid w:val="00AC5346"/>
    <w:rsid w:val="00AD4D97"/>
    <w:rsid w:val="00AE2453"/>
    <w:rsid w:val="00AF5AF5"/>
    <w:rsid w:val="00B05DFC"/>
    <w:rsid w:val="00B11037"/>
    <w:rsid w:val="00B36EEA"/>
    <w:rsid w:val="00B605CA"/>
    <w:rsid w:val="00B83D5A"/>
    <w:rsid w:val="00BA0B2E"/>
    <w:rsid w:val="00BA4B55"/>
    <w:rsid w:val="00BD282B"/>
    <w:rsid w:val="00BE5BF6"/>
    <w:rsid w:val="00C12C93"/>
    <w:rsid w:val="00C22B24"/>
    <w:rsid w:val="00C23CC6"/>
    <w:rsid w:val="00C23DEE"/>
    <w:rsid w:val="00C31E59"/>
    <w:rsid w:val="00C325F5"/>
    <w:rsid w:val="00C43882"/>
    <w:rsid w:val="00C457E8"/>
    <w:rsid w:val="00C609B9"/>
    <w:rsid w:val="00C93474"/>
    <w:rsid w:val="00CA034F"/>
    <w:rsid w:val="00CC383B"/>
    <w:rsid w:val="00CE2386"/>
    <w:rsid w:val="00CE4E92"/>
    <w:rsid w:val="00CE55F7"/>
    <w:rsid w:val="00CE7974"/>
    <w:rsid w:val="00D14D90"/>
    <w:rsid w:val="00D26C83"/>
    <w:rsid w:val="00D509F7"/>
    <w:rsid w:val="00D543E5"/>
    <w:rsid w:val="00D6180C"/>
    <w:rsid w:val="00D829D4"/>
    <w:rsid w:val="00D87652"/>
    <w:rsid w:val="00DA05BE"/>
    <w:rsid w:val="00DA5541"/>
    <w:rsid w:val="00DB5699"/>
    <w:rsid w:val="00DC271C"/>
    <w:rsid w:val="00DF468C"/>
    <w:rsid w:val="00E32408"/>
    <w:rsid w:val="00E565B9"/>
    <w:rsid w:val="00E75AD7"/>
    <w:rsid w:val="00E845D4"/>
    <w:rsid w:val="00E931FA"/>
    <w:rsid w:val="00EB2223"/>
    <w:rsid w:val="00EC22CC"/>
    <w:rsid w:val="00ED6B69"/>
    <w:rsid w:val="00EE34F4"/>
    <w:rsid w:val="00EF22A4"/>
    <w:rsid w:val="00F07BA6"/>
    <w:rsid w:val="00F21624"/>
    <w:rsid w:val="00F225D8"/>
    <w:rsid w:val="00F54EA0"/>
    <w:rsid w:val="00F66649"/>
    <w:rsid w:val="00F67D91"/>
    <w:rsid w:val="00F70323"/>
    <w:rsid w:val="00F96EE9"/>
    <w:rsid w:val="00FA5934"/>
    <w:rsid w:val="00FC49C7"/>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ind w:left="108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customStyle="1" w:styleId="Default">
    <w:name w:val="Default"/>
    <w:rsid w:val="000F3179"/>
    <w:pPr>
      <w:autoSpaceDE w:val="0"/>
      <w:autoSpaceDN w:val="0"/>
      <w:adjustRightInd w:val="0"/>
      <w:spacing w:after="0" w:line="240" w:lineRule="auto"/>
    </w:pPr>
    <w:rPr>
      <w:rFonts w:ascii="Verdana" w:hAnsi="Verdana" w:cs="Verdana"/>
      <w:color w:val="000000"/>
      <w:sz w:val="24"/>
      <w:szCs w:val="24"/>
    </w:rPr>
  </w:style>
  <w:style w:type="paragraph" w:styleId="Rvision">
    <w:name w:val="Revision"/>
    <w:hidden/>
    <w:uiPriority w:val="99"/>
    <w:semiHidden/>
    <w:rsid w:val="00000D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625695707">
      <w:bodyDiv w:val="1"/>
      <w:marLeft w:val="0"/>
      <w:marRight w:val="0"/>
      <w:marTop w:val="0"/>
      <w:marBottom w:val="0"/>
      <w:divBdr>
        <w:top w:val="none" w:sz="0" w:space="0" w:color="auto"/>
        <w:left w:val="none" w:sz="0" w:space="0" w:color="auto"/>
        <w:bottom w:val="none" w:sz="0" w:space="0" w:color="auto"/>
        <w:right w:val="none" w:sz="0" w:space="0" w:color="auto"/>
      </w:divBdr>
    </w:div>
    <w:div w:id="873078012">
      <w:bodyDiv w:val="1"/>
      <w:marLeft w:val="0"/>
      <w:marRight w:val="0"/>
      <w:marTop w:val="0"/>
      <w:marBottom w:val="0"/>
      <w:divBdr>
        <w:top w:val="none" w:sz="0" w:space="0" w:color="auto"/>
        <w:left w:val="none" w:sz="0" w:space="0" w:color="auto"/>
        <w:bottom w:val="none" w:sz="0" w:space="0" w:color="auto"/>
        <w:right w:val="none" w:sz="0" w:space="0" w:color="auto"/>
      </w:divBdr>
    </w:div>
    <w:div w:id="1459450817">
      <w:bodyDiv w:val="1"/>
      <w:marLeft w:val="0"/>
      <w:marRight w:val="0"/>
      <w:marTop w:val="0"/>
      <w:marBottom w:val="0"/>
      <w:divBdr>
        <w:top w:val="none" w:sz="0" w:space="0" w:color="auto"/>
        <w:left w:val="none" w:sz="0" w:space="0" w:color="auto"/>
        <w:bottom w:val="none" w:sz="0" w:space="0" w:color="auto"/>
        <w:right w:val="none" w:sz="0" w:space="0" w:color="auto"/>
      </w:divBdr>
    </w:div>
    <w:div w:id="1493182760">
      <w:bodyDiv w:val="1"/>
      <w:marLeft w:val="0"/>
      <w:marRight w:val="0"/>
      <w:marTop w:val="0"/>
      <w:marBottom w:val="0"/>
      <w:divBdr>
        <w:top w:val="none" w:sz="0" w:space="0" w:color="auto"/>
        <w:left w:val="none" w:sz="0" w:space="0" w:color="auto"/>
        <w:bottom w:val="none" w:sz="0" w:space="0" w:color="auto"/>
        <w:right w:val="none" w:sz="0" w:space="0" w:color="auto"/>
      </w:divBdr>
    </w:div>
    <w:div w:id="188779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774</Words>
  <Characters>4258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11</cp:revision>
  <dcterms:created xsi:type="dcterms:W3CDTF">2023-03-31T14:57:00Z</dcterms:created>
  <dcterms:modified xsi:type="dcterms:W3CDTF">2023-04-10T09:20:00Z</dcterms:modified>
</cp:coreProperties>
</file>