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9668B91" w:rsidR="00EC22CC" w:rsidRDefault="00921465" w:rsidP="00854EEA">
            <w:pPr>
              <w:jc w:val="center"/>
              <w:rPr>
                <w:rFonts w:ascii="Verdana" w:hAnsi="Verdana"/>
                <w:b/>
                <w:bCs/>
                <w:sz w:val="20"/>
                <w:szCs w:val="20"/>
              </w:rPr>
            </w:pPr>
            <w:r>
              <w:rPr>
                <w:rFonts w:ascii="Verdana" w:hAnsi="Verdana"/>
                <w:b/>
                <w:bCs/>
              </w:rPr>
              <w:t>Formation</w:t>
            </w:r>
            <w:r w:rsidR="00665516">
              <w:rPr>
                <w:rFonts w:ascii="Verdana" w:hAnsi="Verdana"/>
                <w:b/>
                <w:bCs/>
              </w:rPr>
              <w:t xml:space="preserve"> professionnelle</w:t>
            </w:r>
            <w:r>
              <w:rPr>
                <w:rFonts w:ascii="Verdana" w:hAnsi="Verdana"/>
                <w:b/>
                <w:bCs/>
              </w:rPr>
              <w:t xml:space="preserve"> et coopération universitaire</w:t>
            </w:r>
          </w:p>
        </w:tc>
      </w:tr>
      <w:tr w:rsidR="00EC22CC" w14:paraId="7F1B63D2" w14:textId="77777777" w:rsidTr="002A0933">
        <w:tc>
          <w:tcPr>
            <w:tcW w:w="7225" w:type="dxa"/>
          </w:tcPr>
          <w:p w14:paraId="056D9B10" w14:textId="63E9C99E" w:rsidR="00EC22CC" w:rsidRPr="002A096E" w:rsidRDefault="006E51EB" w:rsidP="002A096E">
            <w:pPr>
              <w:rPr>
                <w:rFonts w:ascii="Verdana" w:hAnsi="Verdana"/>
                <w:sz w:val="20"/>
                <w:szCs w:val="20"/>
              </w:rPr>
            </w:pPr>
            <w:r>
              <w:rPr>
                <w:rFonts w:ascii="Verdana" w:hAnsi="Verdana"/>
                <w:sz w:val="20"/>
                <w:szCs w:val="20"/>
              </w:rPr>
              <w:t xml:space="preserve">Comité des OPL </w:t>
            </w:r>
            <w:r w:rsidR="002038B5">
              <w:rPr>
                <w:rFonts w:ascii="Verdana" w:hAnsi="Verdana"/>
                <w:sz w:val="20"/>
                <w:szCs w:val="20"/>
              </w:rPr>
              <w:t>01/2023 des 26-27 avril 2023</w:t>
            </w:r>
          </w:p>
        </w:tc>
        <w:tc>
          <w:tcPr>
            <w:tcW w:w="1837" w:type="dxa"/>
          </w:tcPr>
          <w:p w14:paraId="58E25D1F" w14:textId="59311379"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13192F">
              <w:rPr>
                <w:rFonts w:ascii="Verdana" w:hAnsi="Verdana"/>
                <w:sz w:val="20"/>
                <w:szCs w:val="20"/>
              </w:rPr>
              <w:t>2.10</w:t>
            </w:r>
          </w:p>
        </w:tc>
      </w:tr>
      <w:tr w:rsidR="00EC22CC" w14:paraId="537D1DE5" w14:textId="77777777" w:rsidTr="002A0933">
        <w:tc>
          <w:tcPr>
            <w:tcW w:w="7225" w:type="dxa"/>
          </w:tcPr>
          <w:p w14:paraId="43DEF09E" w14:textId="5C332C62" w:rsidR="00EC22CC" w:rsidRPr="00A37C9F" w:rsidRDefault="00A148A1" w:rsidP="002A096E">
            <w:pPr>
              <w:rPr>
                <w:rFonts w:ascii="Verdana" w:hAnsi="Verdana"/>
                <w:sz w:val="20"/>
                <w:szCs w:val="20"/>
              </w:rPr>
            </w:pPr>
            <w:r w:rsidRPr="00A148A1">
              <w:rPr>
                <w:rFonts w:ascii="Verdana" w:hAnsi="Verdana"/>
                <w:i/>
                <w:iCs/>
                <w:sz w:val="20"/>
                <w:szCs w:val="20"/>
              </w:rPr>
              <w:t>Dossier suivi par</w:t>
            </w:r>
            <w:r w:rsidR="006E51EB">
              <w:rPr>
                <w:rFonts w:ascii="Verdana" w:hAnsi="Verdana"/>
                <w:i/>
                <w:iCs/>
                <w:sz w:val="20"/>
                <w:szCs w:val="20"/>
              </w:rPr>
              <w:t> : Juliette Janin, Chargé</w:t>
            </w:r>
            <w:r w:rsidR="002038B5">
              <w:rPr>
                <w:rFonts w:ascii="Verdana" w:hAnsi="Verdana"/>
                <w:i/>
                <w:iCs/>
                <w:sz w:val="20"/>
                <w:szCs w:val="20"/>
              </w:rPr>
              <w:t>e</w:t>
            </w:r>
            <w:r w:rsidR="006E51EB">
              <w:rPr>
                <w:rFonts w:ascii="Verdana" w:hAnsi="Verdana"/>
                <w:i/>
                <w:iCs/>
                <w:sz w:val="20"/>
                <w:szCs w:val="20"/>
              </w:rPr>
              <w:t xml:space="preserve"> de mission</w:t>
            </w:r>
          </w:p>
        </w:tc>
        <w:tc>
          <w:tcPr>
            <w:tcW w:w="1837" w:type="dxa"/>
          </w:tcPr>
          <w:p w14:paraId="5AC1AFAB" w14:textId="45D9B21E" w:rsidR="00EC22CC" w:rsidRPr="002A0933" w:rsidRDefault="004607F7" w:rsidP="00854EEA">
            <w:pPr>
              <w:jc w:val="center"/>
              <w:rPr>
                <w:rFonts w:ascii="Verdana" w:hAnsi="Verdana"/>
                <w:sz w:val="20"/>
                <w:szCs w:val="20"/>
              </w:rPr>
            </w:pPr>
            <w:r w:rsidRPr="003E63AE">
              <w:rPr>
                <w:rFonts w:ascii="Verdana" w:hAnsi="Verdana"/>
                <w:sz w:val="20"/>
                <w:szCs w:val="20"/>
              </w:rPr>
              <w:t xml:space="preserve">Décision </w:t>
            </w:r>
          </w:p>
        </w:tc>
      </w:tr>
      <w:tr w:rsidR="00A90305" w14:paraId="6896DB30" w14:textId="77777777" w:rsidTr="009F5233">
        <w:tc>
          <w:tcPr>
            <w:tcW w:w="9062" w:type="dxa"/>
            <w:gridSpan w:val="2"/>
          </w:tcPr>
          <w:p w14:paraId="0495241B" w14:textId="21127585" w:rsidR="00A90305" w:rsidRDefault="00A90305" w:rsidP="00A90305">
            <w:pPr>
              <w:rPr>
                <w:rFonts w:ascii="Verdana" w:hAnsi="Verdana"/>
                <w:sz w:val="20"/>
                <w:szCs w:val="20"/>
              </w:rPr>
            </w:pPr>
            <w:r>
              <w:rPr>
                <w:rFonts w:ascii="Verdana" w:hAnsi="Verdana"/>
                <w:i/>
                <w:iCs/>
                <w:sz w:val="20"/>
                <w:szCs w:val="20"/>
              </w:rPr>
              <w:t xml:space="preserve">Version du </w:t>
            </w:r>
            <w:r w:rsidR="002038B5">
              <w:rPr>
                <w:rFonts w:ascii="Verdana" w:hAnsi="Verdana"/>
                <w:i/>
                <w:iCs/>
                <w:sz w:val="20"/>
                <w:szCs w:val="20"/>
              </w:rPr>
              <w:t>31/03/23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29AD1400" w14:textId="00E2E963" w:rsidR="0041278C" w:rsidRDefault="00955BB3" w:rsidP="00CE2386">
      <w:pPr>
        <w:pStyle w:val="Titrepartie"/>
      </w:pPr>
      <w:r w:rsidRPr="0008468B">
        <w:t>Résumé</w:t>
      </w:r>
    </w:p>
    <w:p w14:paraId="534248ED" w14:textId="664D839F" w:rsidR="006B5EA1" w:rsidRDefault="00544DF1" w:rsidP="00544DF1">
      <w:pPr>
        <w:pStyle w:val="Paragraphe"/>
      </w:pPr>
      <w:r>
        <w:t>En application de la décision 10c du 36</w:t>
      </w:r>
      <w:r w:rsidRPr="00544DF1">
        <w:rPr>
          <w:vertAlign w:val="superscript"/>
        </w:rPr>
        <w:t>ème</w:t>
      </w:r>
      <w:r>
        <w:t xml:space="preserve"> Conseil des ministres de la COI de février 2022, le Secrétariat général a débuté en mars 2023 </w:t>
      </w:r>
      <w:r w:rsidRPr="006A1BE7">
        <w:t xml:space="preserve">une mission d’amorçage, de consultation et d’étude d’opportunité </w:t>
      </w:r>
      <w:r w:rsidR="003E63AE">
        <w:t xml:space="preserve">pour le montage d’un </w:t>
      </w:r>
      <w:r w:rsidRPr="006A1BE7">
        <w:t>programme</w:t>
      </w:r>
      <w:r>
        <w:t xml:space="preserve"> de formation professionnelle et de mobilité. Cette mission conduite par </w:t>
      </w:r>
      <w:r w:rsidR="007640B4">
        <w:t xml:space="preserve">un </w:t>
      </w:r>
      <w:r w:rsidR="00222716">
        <w:t>expert technique international mis à disposition</w:t>
      </w:r>
      <w:r>
        <w:t xml:space="preserve"> du Secrétariat s’effectuera dans les différents Etats membres. </w:t>
      </w:r>
    </w:p>
    <w:p w14:paraId="6CB10DF6" w14:textId="77777777" w:rsidR="007640B4" w:rsidRPr="0041278C" w:rsidRDefault="007640B4" w:rsidP="00CE2386">
      <w:pPr>
        <w:pStyle w:val="Paragraphe"/>
      </w:pPr>
    </w:p>
    <w:p w14:paraId="7E198EC3" w14:textId="34B8F07D" w:rsidR="00426673" w:rsidRPr="000D1CA2" w:rsidRDefault="00955BB3" w:rsidP="005665D2">
      <w:pPr>
        <w:pStyle w:val="Titrepartie"/>
        <w:spacing w:after="120"/>
        <w:contextualSpacing w:val="0"/>
      </w:pPr>
      <w:r w:rsidRPr="0008468B">
        <w:t>Etat d’avancement</w:t>
      </w:r>
    </w:p>
    <w:p w14:paraId="48AB0783" w14:textId="534410C8" w:rsidR="00426673" w:rsidRPr="00426673" w:rsidRDefault="000D1CA2" w:rsidP="005665D2">
      <w:pPr>
        <w:pStyle w:val="Sous-partie2"/>
        <w:spacing w:after="120"/>
        <w:contextualSpacing w:val="0"/>
      </w:pPr>
      <w:r>
        <w:t>Coopération universitaire</w:t>
      </w:r>
    </w:p>
    <w:p w14:paraId="19BA7E35" w14:textId="77777777" w:rsidR="00214556" w:rsidRDefault="00823996" w:rsidP="005665D2">
      <w:pPr>
        <w:pStyle w:val="Sous-partie2"/>
        <w:numPr>
          <w:ilvl w:val="0"/>
          <w:numId w:val="0"/>
        </w:numPr>
        <w:spacing w:after="120"/>
        <w:contextualSpacing w:val="0"/>
        <w:rPr>
          <w:color w:val="auto"/>
        </w:rPr>
      </w:pPr>
      <w:r>
        <w:rPr>
          <w:color w:val="auto"/>
        </w:rPr>
        <w:t xml:space="preserve">Comme demandé lors de la session extraordinaire du Conseil des ministres de novembre 2021 en marge de laquelle un accord-cadre de coopération a été signé avec l’Université de La Réunion, le secrétariat général a pu formaliser </w:t>
      </w:r>
      <w:r w:rsidR="00214556">
        <w:rPr>
          <w:color w:val="auto"/>
        </w:rPr>
        <w:t xml:space="preserve">la relation avec l’Université des Seychelles et l’Open </w:t>
      </w:r>
      <w:proofErr w:type="spellStart"/>
      <w:r w:rsidR="00214556">
        <w:rPr>
          <w:color w:val="auto"/>
        </w:rPr>
        <w:t>University</w:t>
      </w:r>
      <w:proofErr w:type="spellEnd"/>
      <w:r w:rsidR="00214556">
        <w:rPr>
          <w:color w:val="auto"/>
        </w:rPr>
        <w:t xml:space="preserve"> of Mauritius. </w:t>
      </w:r>
    </w:p>
    <w:p w14:paraId="4DB6E82C" w14:textId="1F1E4F73" w:rsidR="00114842" w:rsidRDefault="000D1CA2" w:rsidP="005665D2">
      <w:pPr>
        <w:pStyle w:val="Sous-partie2"/>
        <w:numPr>
          <w:ilvl w:val="0"/>
          <w:numId w:val="0"/>
        </w:numPr>
        <w:spacing w:after="120"/>
        <w:contextualSpacing w:val="0"/>
        <w:rPr>
          <w:color w:val="auto"/>
        </w:rPr>
      </w:pPr>
      <w:r w:rsidRPr="000D1CA2">
        <w:rPr>
          <w:color w:val="auto"/>
        </w:rPr>
        <w:t xml:space="preserve">Le Secrétariat a sollicité à plusieurs reprises les Etats membres pour mettre en relation les universités avec la COI afin de conclure de nouveaux </w:t>
      </w:r>
      <w:r w:rsidR="00114842" w:rsidRPr="000D1CA2">
        <w:rPr>
          <w:color w:val="auto"/>
        </w:rPr>
        <w:t>accords-cadres</w:t>
      </w:r>
      <w:r w:rsidRPr="000D1CA2">
        <w:rPr>
          <w:color w:val="auto"/>
        </w:rPr>
        <w:t xml:space="preserve">. </w:t>
      </w:r>
      <w:r w:rsidR="00B4010B" w:rsidRPr="00B4010B">
        <w:rPr>
          <w:color w:val="auto"/>
        </w:rPr>
        <w:t xml:space="preserve">Des discussions sont en cours à Maurice avec </w:t>
      </w:r>
      <w:proofErr w:type="spellStart"/>
      <w:r w:rsidR="00B4010B" w:rsidRPr="00B4010B">
        <w:rPr>
          <w:color w:val="auto"/>
        </w:rPr>
        <w:t>University</w:t>
      </w:r>
      <w:proofErr w:type="spellEnd"/>
      <w:r w:rsidR="00B4010B" w:rsidRPr="00B4010B">
        <w:rPr>
          <w:color w:val="auto"/>
        </w:rPr>
        <w:t xml:space="preserve"> of Mauritius</w:t>
      </w:r>
      <w:r w:rsidR="006024A7">
        <w:rPr>
          <w:color w:val="auto"/>
        </w:rPr>
        <w:t xml:space="preserve"> et</w:t>
      </w:r>
      <w:r w:rsidR="00B4010B" w:rsidRPr="00B4010B">
        <w:rPr>
          <w:color w:val="auto"/>
        </w:rPr>
        <w:t xml:space="preserve"> Université de technologie.</w:t>
      </w:r>
      <w:r w:rsidR="007640B4">
        <w:rPr>
          <w:color w:val="auto"/>
        </w:rPr>
        <w:t xml:space="preserve"> </w:t>
      </w:r>
      <w:r w:rsidR="006024A7">
        <w:rPr>
          <w:color w:val="auto"/>
        </w:rPr>
        <w:t>Il conviendra de lancer rapidement les discussions avec l’Université des Comores et les universités de Madagascar dont certaines, impliquées dans des actions des projets de la COI, ont indiqué leur intérêt à signer un accord-cadre (Université de Tuléar</w:t>
      </w:r>
      <w:r w:rsidR="00522F9A">
        <w:rPr>
          <w:color w:val="auto"/>
        </w:rPr>
        <w:t xml:space="preserve"> et</w:t>
      </w:r>
      <w:r w:rsidR="006024A7">
        <w:rPr>
          <w:color w:val="auto"/>
        </w:rPr>
        <w:t xml:space="preserve"> IH.SM</w:t>
      </w:r>
      <w:r w:rsidR="00522F9A">
        <w:rPr>
          <w:color w:val="auto"/>
        </w:rPr>
        <w:t xml:space="preserve"> notamment). </w:t>
      </w:r>
    </w:p>
    <w:p w14:paraId="5ED936F2" w14:textId="77777777" w:rsidR="000D1CA2" w:rsidRDefault="000D1CA2" w:rsidP="005665D2">
      <w:pPr>
        <w:pStyle w:val="Sous-partie2"/>
        <w:numPr>
          <w:ilvl w:val="0"/>
          <w:numId w:val="0"/>
        </w:numPr>
        <w:spacing w:after="120"/>
        <w:ind w:left="360"/>
        <w:contextualSpacing w:val="0"/>
        <w:rPr>
          <w:color w:val="auto"/>
        </w:rPr>
      </w:pPr>
    </w:p>
    <w:p w14:paraId="54854EB5" w14:textId="7EE60CCE" w:rsidR="002C56ED" w:rsidRPr="00A76B07" w:rsidRDefault="006A1BE7" w:rsidP="005665D2">
      <w:pPr>
        <w:pStyle w:val="Sous-partie2"/>
        <w:spacing w:after="120"/>
        <w:contextualSpacing w:val="0"/>
      </w:pPr>
      <w:r>
        <w:t>Projet de f</w:t>
      </w:r>
      <w:r w:rsidR="00F2147A">
        <w:t>ormation professionnelle</w:t>
      </w:r>
      <w:r w:rsidR="00CB0D75">
        <w:t xml:space="preserve"> et mobilité</w:t>
      </w:r>
    </w:p>
    <w:p w14:paraId="20115A38" w14:textId="1F1E964C" w:rsidR="00A37AAE" w:rsidRDefault="007640B4" w:rsidP="005665D2">
      <w:pPr>
        <w:pStyle w:val="Paragraphedeliste"/>
        <w:spacing w:after="120"/>
        <w:ind w:left="0"/>
        <w:contextualSpacing w:val="0"/>
        <w:jc w:val="both"/>
        <w:rPr>
          <w:rFonts w:ascii="Verdana" w:hAnsi="Verdana" w:cs="Calibri"/>
          <w:sz w:val="20"/>
          <w:szCs w:val="20"/>
        </w:rPr>
      </w:pPr>
      <w:r>
        <w:rPr>
          <w:rFonts w:ascii="Verdana" w:hAnsi="Verdana" w:cs="Calibri"/>
          <w:sz w:val="20"/>
          <w:szCs w:val="20"/>
        </w:rPr>
        <w:t xml:space="preserve">En application de la décision du Conseil </w:t>
      </w:r>
      <w:r w:rsidR="0048439D">
        <w:rPr>
          <w:rFonts w:ascii="Verdana" w:hAnsi="Verdana" w:cs="Calibri"/>
          <w:sz w:val="20"/>
          <w:szCs w:val="20"/>
        </w:rPr>
        <w:t xml:space="preserve">extraordinaire </w:t>
      </w:r>
      <w:r>
        <w:rPr>
          <w:rFonts w:ascii="Verdana" w:hAnsi="Verdana" w:cs="Calibri"/>
          <w:sz w:val="20"/>
          <w:szCs w:val="20"/>
        </w:rPr>
        <w:t>des ministres du 26 novembre 2021, d</w:t>
      </w:r>
      <w:r w:rsidR="00A37AAE" w:rsidRPr="00A37AAE">
        <w:rPr>
          <w:rFonts w:ascii="Verdana" w:hAnsi="Verdana" w:cs="Calibri"/>
          <w:sz w:val="20"/>
          <w:szCs w:val="20"/>
        </w:rPr>
        <w:t>es Assises régionales ont été organisées en février 2022</w:t>
      </w:r>
      <w:r>
        <w:rPr>
          <w:rFonts w:ascii="Verdana" w:hAnsi="Verdana" w:cs="Calibri"/>
          <w:sz w:val="20"/>
          <w:szCs w:val="20"/>
        </w:rPr>
        <w:t xml:space="preserve">. </w:t>
      </w:r>
      <w:r w:rsidR="008C011B">
        <w:rPr>
          <w:rFonts w:ascii="Verdana" w:hAnsi="Verdana" w:cs="Calibri"/>
          <w:sz w:val="20"/>
          <w:szCs w:val="20"/>
        </w:rPr>
        <w:t>Ces Assises ont permis de faire émerger les axes prioritaires d’un futur projet de formation professionnelle</w:t>
      </w:r>
      <w:r w:rsidR="006A1BE7">
        <w:rPr>
          <w:rFonts w:ascii="Verdana" w:hAnsi="Verdana" w:cs="Calibri"/>
          <w:sz w:val="20"/>
          <w:szCs w:val="20"/>
        </w:rPr>
        <w:t xml:space="preserve"> et de mobilité</w:t>
      </w:r>
      <w:r w:rsidR="008C011B">
        <w:rPr>
          <w:rFonts w:ascii="Verdana" w:hAnsi="Verdana" w:cs="Calibri"/>
          <w:sz w:val="20"/>
          <w:szCs w:val="20"/>
        </w:rPr>
        <w:t xml:space="preserve">, à savoir notamment le développement de cadres de référence communs pour la certification et la validation d’acquis d’expérience ; la facilitation de la mobilité géographique ; la facilitation des partenariats régionaux (mise en réseau d’institutions de formation professionnelle) et le soutien à la production de ressources partagées. Une notre stratégique a été produite reprenant les grands moments forts de ces assises et des recommandations. </w:t>
      </w:r>
    </w:p>
    <w:p w14:paraId="004F8498" w14:textId="310CA4A2" w:rsidR="00955BB3" w:rsidRDefault="008C011B" w:rsidP="005665D2">
      <w:pPr>
        <w:pStyle w:val="Paragraphedeliste"/>
        <w:spacing w:after="120"/>
        <w:ind w:left="0"/>
        <w:contextualSpacing w:val="0"/>
        <w:jc w:val="both"/>
        <w:rPr>
          <w:rFonts w:ascii="Verdana" w:hAnsi="Verdana" w:cs="Calibri"/>
          <w:sz w:val="20"/>
          <w:szCs w:val="20"/>
        </w:rPr>
      </w:pPr>
      <w:r>
        <w:rPr>
          <w:rFonts w:ascii="Verdana" w:hAnsi="Verdana" w:cs="Calibri"/>
          <w:sz w:val="20"/>
          <w:szCs w:val="20"/>
        </w:rPr>
        <w:t xml:space="preserve">À la suite de ces Assises, le </w:t>
      </w:r>
      <w:r w:rsidR="00A37AAE" w:rsidRPr="008C011B">
        <w:rPr>
          <w:rFonts w:ascii="Verdana" w:hAnsi="Verdana" w:cs="Calibri"/>
          <w:sz w:val="20"/>
          <w:szCs w:val="20"/>
        </w:rPr>
        <w:t>36ème Conseil des ministres de la COI a donné mandat (décision 10.c) au Secrétaire général pour solliciter les partenaires au développement pour lancer une étude d’opportunités d’un programme régional sur la base des axes identifi</w:t>
      </w:r>
      <w:r w:rsidR="00E3675B" w:rsidRPr="008C011B">
        <w:rPr>
          <w:rFonts w:ascii="Verdana" w:hAnsi="Verdana" w:cs="Calibri"/>
          <w:sz w:val="20"/>
          <w:szCs w:val="20"/>
        </w:rPr>
        <w:t>é</w:t>
      </w:r>
      <w:r w:rsidR="00A37AAE" w:rsidRPr="008C011B">
        <w:rPr>
          <w:rFonts w:ascii="Verdana" w:hAnsi="Verdana" w:cs="Calibri"/>
          <w:sz w:val="20"/>
          <w:szCs w:val="20"/>
        </w:rPr>
        <w:t>s dans la note stratégique issue des Assises</w:t>
      </w:r>
      <w:r w:rsidR="00494060">
        <w:rPr>
          <w:rFonts w:ascii="Verdana" w:hAnsi="Verdana" w:cs="Calibri"/>
          <w:sz w:val="20"/>
          <w:szCs w:val="20"/>
        </w:rPr>
        <w:t>. Le secrétariat général a pu sécuriser auprès de l’AFD des ressources dans le cadre d’une troisième F</w:t>
      </w:r>
      <w:r w:rsidR="00352044">
        <w:rPr>
          <w:rFonts w:ascii="Verdana" w:hAnsi="Verdana" w:cs="Calibri"/>
          <w:sz w:val="20"/>
          <w:szCs w:val="20"/>
        </w:rPr>
        <w:t xml:space="preserve">APS pour lancer l’étude de faisabilité d’un projet. </w:t>
      </w:r>
    </w:p>
    <w:p w14:paraId="698B6ED3" w14:textId="77777777" w:rsidR="00544DF1" w:rsidRDefault="00E97E5B" w:rsidP="005665D2">
      <w:pPr>
        <w:pStyle w:val="Paragraphedeliste"/>
        <w:spacing w:after="120"/>
        <w:ind w:left="0"/>
        <w:contextualSpacing w:val="0"/>
        <w:jc w:val="both"/>
        <w:rPr>
          <w:rFonts w:ascii="Verdana" w:hAnsi="Verdana" w:cs="Calibri"/>
          <w:sz w:val="20"/>
          <w:szCs w:val="20"/>
        </w:rPr>
      </w:pPr>
      <w:r>
        <w:rPr>
          <w:rFonts w:ascii="Verdana" w:hAnsi="Verdana" w:cs="Calibri"/>
          <w:sz w:val="20"/>
          <w:szCs w:val="20"/>
        </w:rPr>
        <w:t>Afin de faciliter la construction de ce programme régional,</w:t>
      </w:r>
      <w:r w:rsidR="00544DF1">
        <w:rPr>
          <w:rFonts w:ascii="Verdana" w:hAnsi="Verdana" w:cs="Calibri"/>
          <w:sz w:val="20"/>
          <w:szCs w:val="20"/>
        </w:rPr>
        <w:t xml:space="preserve"> la présidence française alors en exercice en 2022 avait proposé la mise à disposition d’</w:t>
      </w:r>
      <w:r>
        <w:rPr>
          <w:rFonts w:ascii="Verdana" w:hAnsi="Verdana" w:cs="Calibri"/>
          <w:sz w:val="20"/>
          <w:szCs w:val="20"/>
        </w:rPr>
        <w:t>un</w:t>
      </w:r>
      <w:r w:rsidR="00C6637A" w:rsidRPr="00E97E5B">
        <w:rPr>
          <w:rFonts w:ascii="Verdana" w:hAnsi="Verdana" w:cs="Calibri"/>
          <w:sz w:val="20"/>
          <w:szCs w:val="20"/>
        </w:rPr>
        <w:t xml:space="preserve"> expert technique international</w:t>
      </w:r>
      <w:r w:rsidR="00E9349A" w:rsidRPr="00E97E5B">
        <w:rPr>
          <w:rFonts w:ascii="Verdana" w:hAnsi="Verdana" w:cs="Calibri"/>
          <w:sz w:val="20"/>
          <w:szCs w:val="20"/>
        </w:rPr>
        <w:t xml:space="preserve"> par Expertise </w:t>
      </w:r>
      <w:r>
        <w:rPr>
          <w:rFonts w:ascii="Verdana" w:hAnsi="Verdana" w:cs="Calibri"/>
          <w:sz w:val="20"/>
          <w:szCs w:val="20"/>
        </w:rPr>
        <w:t xml:space="preserve">France </w:t>
      </w:r>
      <w:r w:rsidR="00544DF1">
        <w:rPr>
          <w:rFonts w:ascii="Verdana" w:hAnsi="Verdana" w:cs="Calibri"/>
          <w:sz w:val="20"/>
          <w:szCs w:val="20"/>
        </w:rPr>
        <w:t>à compter de</w:t>
      </w:r>
      <w:r>
        <w:rPr>
          <w:rFonts w:ascii="Verdana" w:hAnsi="Verdana" w:cs="Calibri"/>
          <w:sz w:val="20"/>
          <w:szCs w:val="20"/>
        </w:rPr>
        <w:t xml:space="preserve"> janvier 2023. </w:t>
      </w:r>
    </w:p>
    <w:p w14:paraId="0D1AD171" w14:textId="435F5272" w:rsidR="00C6637A" w:rsidRPr="006A1BE7" w:rsidRDefault="006A1BE7" w:rsidP="005665D2">
      <w:pPr>
        <w:pStyle w:val="Paragraphedeliste"/>
        <w:spacing w:after="120"/>
        <w:ind w:left="0"/>
        <w:contextualSpacing w:val="0"/>
        <w:jc w:val="both"/>
        <w:rPr>
          <w:rFonts w:ascii="Verdana" w:hAnsi="Verdana" w:cs="Calibri"/>
          <w:sz w:val="20"/>
          <w:szCs w:val="20"/>
        </w:rPr>
      </w:pPr>
      <w:r>
        <w:rPr>
          <w:rFonts w:ascii="Verdana" w:hAnsi="Verdana" w:cs="Calibri"/>
          <w:sz w:val="20"/>
          <w:szCs w:val="20"/>
        </w:rPr>
        <w:t xml:space="preserve">Depuis son arrivée, l’expert a consulté les partenaires ayant travaillé sur les Assises et </w:t>
      </w:r>
      <w:r w:rsidR="00C80D52">
        <w:rPr>
          <w:rFonts w:ascii="Verdana" w:hAnsi="Verdana" w:cs="Calibri"/>
          <w:sz w:val="20"/>
          <w:szCs w:val="20"/>
        </w:rPr>
        <w:t>les équipes</w:t>
      </w:r>
      <w:r>
        <w:rPr>
          <w:rFonts w:ascii="Verdana" w:hAnsi="Verdana" w:cs="Calibri"/>
          <w:sz w:val="20"/>
          <w:szCs w:val="20"/>
        </w:rPr>
        <w:t xml:space="preserve"> de la COI pour</w:t>
      </w:r>
      <w:r w:rsidR="00544DF1">
        <w:rPr>
          <w:rFonts w:ascii="Verdana" w:hAnsi="Verdana" w:cs="Calibri"/>
          <w:sz w:val="20"/>
          <w:szCs w:val="20"/>
        </w:rPr>
        <w:t xml:space="preserve"> débuter la construction d’</w:t>
      </w:r>
      <w:r>
        <w:rPr>
          <w:rFonts w:ascii="Verdana" w:hAnsi="Verdana" w:cs="Calibri"/>
          <w:sz w:val="20"/>
          <w:szCs w:val="20"/>
        </w:rPr>
        <w:t xml:space="preserve">un projet de programme qui se déclinerait </w:t>
      </w:r>
      <w:r>
        <w:rPr>
          <w:rFonts w:ascii="Verdana" w:hAnsi="Verdana" w:cs="Calibri"/>
          <w:sz w:val="20"/>
          <w:szCs w:val="20"/>
        </w:rPr>
        <w:lastRenderedPageBreak/>
        <w:t>en sous-projets sectoriels et projets transversaux.</w:t>
      </w:r>
      <w:r w:rsidR="00544DF1">
        <w:rPr>
          <w:rFonts w:ascii="Verdana" w:hAnsi="Verdana" w:cs="Calibri"/>
          <w:sz w:val="20"/>
          <w:szCs w:val="20"/>
        </w:rPr>
        <w:t xml:space="preserve"> Tenant compte de la demande du Conseil des ministres de réaliser une étude d’opportunité, le Secrétariat général a convenu </w:t>
      </w:r>
      <w:r w:rsidR="00E97E5B">
        <w:rPr>
          <w:rFonts w:ascii="Verdana" w:hAnsi="Verdana" w:cs="Calibri"/>
          <w:sz w:val="20"/>
          <w:szCs w:val="20"/>
        </w:rPr>
        <w:t>dans une volonté d’optimisation de temps et de coûts, que cet expert réaliserait</w:t>
      </w:r>
      <w:r w:rsidR="00544DF1">
        <w:rPr>
          <w:rFonts w:ascii="Verdana" w:hAnsi="Verdana" w:cs="Calibri"/>
          <w:sz w:val="20"/>
          <w:szCs w:val="20"/>
        </w:rPr>
        <w:t xml:space="preserve"> lui-même</w:t>
      </w:r>
      <w:r w:rsidR="00E97E5B">
        <w:rPr>
          <w:rFonts w:ascii="Verdana" w:hAnsi="Verdana" w:cs="Calibri"/>
          <w:sz w:val="20"/>
          <w:szCs w:val="20"/>
        </w:rPr>
        <w:t xml:space="preserve"> l’étude d’opportunité</w:t>
      </w:r>
      <w:r w:rsidR="00544DF1">
        <w:rPr>
          <w:rFonts w:ascii="Verdana" w:hAnsi="Verdana" w:cs="Calibri"/>
          <w:sz w:val="20"/>
          <w:szCs w:val="20"/>
        </w:rPr>
        <w:t xml:space="preserve"> </w:t>
      </w:r>
      <w:r w:rsidR="00E97E5B" w:rsidRPr="006A1BE7">
        <w:rPr>
          <w:rFonts w:ascii="Verdana" w:hAnsi="Verdana" w:cs="Calibri"/>
          <w:sz w:val="20"/>
          <w:szCs w:val="20"/>
        </w:rPr>
        <w:t xml:space="preserve">sous la forme d’une </w:t>
      </w:r>
      <w:r w:rsidR="00C6637A" w:rsidRPr="006A1BE7">
        <w:rPr>
          <w:rFonts w:ascii="Verdana" w:hAnsi="Verdana" w:cs="Calibri"/>
          <w:sz w:val="20"/>
          <w:szCs w:val="20"/>
        </w:rPr>
        <w:t>mission d’amorçage, de consultation et d’étude d’opportunité du programme dans chacun des Etats membres</w:t>
      </w:r>
      <w:r w:rsidR="00544DF1">
        <w:rPr>
          <w:rFonts w:ascii="Verdana" w:hAnsi="Verdana" w:cs="Calibri"/>
          <w:sz w:val="20"/>
          <w:szCs w:val="20"/>
        </w:rPr>
        <w:t xml:space="preserve"> afin d’affiner le diagnostic établi par le rapport remis en amont des Assises</w:t>
      </w:r>
      <w:r w:rsidR="00C80D52">
        <w:rPr>
          <w:rFonts w:ascii="Verdana" w:hAnsi="Verdana" w:cs="Calibri"/>
          <w:sz w:val="20"/>
          <w:szCs w:val="20"/>
        </w:rPr>
        <w:t xml:space="preserve"> et de confirmer les axes d’un programme</w:t>
      </w:r>
      <w:r w:rsidR="00E97E5B" w:rsidRPr="006A1BE7">
        <w:rPr>
          <w:rFonts w:ascii="Verdana" w:hAnsi="Verdana" w:cs="Calibri"/>
          <w:sz w:val="20"/>
          <w:szCs w:val="20"/>
        </w:rPr>
        <w:t xml:space="preserve">. </w:t>
      </w:r>
      <w:r w:rsidR="00C6637A" w:rsidRPr="006A1BE7">
        <w:rPr>
          <w:rFonts w:ascii="Verdana" w:hAnsi="Verdana" w:cs="Calibri"/>
          <w:sz w:val="20"/>
          <w:szCs w:val="20"/>
        </w:rPr>
        <w:t>Cette mission aura</w:t>
      </w:r>
      <w:r w:rsidR="00544DF1">
        <w:rPr>
          <w:rFonts w:ascii="Verdana" w:hAnsi="Verdana" w:cs="Calibri"/>
          <w:sz w:val="20"/>
          <w:szCs w:val="20"/>
        </w:rPr>
        <w:t xml:space="preserve"> en outre</w:t>
      </w:r>
      <w:r w:rsidR="00C6637A" w:rsidRPr="006A1BE7">
        <w:rPr>
          <w:rFonts w:ascii="Verdana" w:hAnsi="Verdana" w:cs="Calibri"/>
          <w:sz w:val="20"/>
          <w:szCs w:val="20"/>
        </w:rPr>
        <w:t xml:space="preserve"> pour objectifs</w:t>
      </w:r>
      <w:r w:rsidR="00DF5C9B">
        <w:rPr>
          <w:rFonts w:ascii="Verdana" w:hAnsi="Verdana" w:cs="Calibri"/>
          <w:sz w:val="20"/>
          <w:szCs w:val="20"/>
        </w:rPr>
        <w:t> :</w:t>
      </w:r>
      <w:r w:rsidR="00C6637A" w:rsidRPr="006A1BE7">
        <w:rPr>
          <w:rFonts w:ascii="Verdana" w:hAnsi="Verdana" w:cs="Calibri"/>
          <w:sz w:val="20"/>
          <w:szCs w:val="20"/>
        </w:rPr>
        <w:t xml:space="preserve"> </w:t>
      </w:r>
    </w:p>
    <w:p w14:paraId="55921052" w14:textId="4BC0A037" w:rsidR="00762844" w:rsidRPr="00544DF1" w:rsidRDefault="00762844" w:rsidP="005665D2">
      <w:pPr>
        <w:pStyle w:val="Paragraphedeliste"/>
        <w:numPr>
          <w:ilvl w:val="0"/>
          <w:numId w:val="10"/>
        </w:numPr>
        <w:spacing w:after="120"/>
        <w:contextualSpacing w:val="0"/>
        <w:jc w:val="both"/>
        <w:rPr>
          <w:rFonts w:ascii="Verdana" w:hAnsi="Verdana" w:cs="Calibri"/>
          <w:sz w:val="20"/>
          <w:szCs w:val="20"/>
        </w:rPr>
      </w:pPr>
      <w:r w:rsidRPr="00C6637A">
        <w:rPr>
          <w:rFonts w:ascii="Verdana" w:hAnsi="Verdana" w:cs="Calibri"/>
          <w:sz w:val="20"/>
          <w:szCs w:val="20"/>
        </w:rPr>
        <w:t>De</w:t>
      </w:r>
      <w:r w:rsidR="00C6637A" w:rsidRPr="00C6637A">
        <w:rPr>
          <w:rFonts w:ascii="Verdana" w:hAnsi="Verdana" w:cs="Calibri"/>
          <w:sz w:val="20"/>
          <w:szCs w:val="20"/>
        </w:rPr>
        <w:t xml:space="preserve"> présenter et d’expliciter la philosophie et les grandes lignes du programme</w:t>
      </w:r>
      <w:r w:rsidR="006A1BE7">
        <w:rPr>
          <w:rFonts w:ascii="Verdana" w:hAnsi="Verdana" w:cs="Calibri"/>
          <w:sz w:val="20"/>
          <w:szCs w:val="20"/>
        </w:rPr>
        <w:t xml:space="preserve"> qui a été conçu par la COI</w:t>
      </w:r>
      <w:r w:rsidR="00C6637A" w:rsidRPr="00C6637A">
        <w:rPr>
          <w:rFonts w:ascii="Verdana" w:hAnsi="Verdana" w:cs="Calibri"/>
          <w:sz w:val="20"/>
          <w:szCs w:val="20"/>
        </w:rPr>
        <w:t xml:space="preserve"> ;</w:t>
      </w:r>
    </w:p>
    <w:p w14:paraId="26361F4C" w14:textId="388A77B4" w:rsidR="00762844" w:rsidRPr="006A1BE7" w:rsidRDefault="00762844" w:rsidP="005665D2">
      <w:pPr>
        <w:pStyle w:val="Paragraphedeliste"/>
        <w:numPr>
          <w:ilvl w:val="0"/>
          <w:numId w:val="12"/>
        </w:numPr>
        <w:spacing w:after="120"/>
        <w:contextualSpacing w:val="0"/>
        <w:jc w:val="both"/>
        <w:rPr>
          <w:rFonts w:ascii="Verdana" w:hAnsi="Verdana" w:cs="Calibri"/>
          <w:sz w:val="20"/>
          <w:szCs w:val="20"/>
        </w:rPr>
      </w:pPr>
      <w:r w:rsidRPr="00C6637A">
        <w:rPr>
          <w:rFonts w:ascii="Verdana" w:hAnsi="Verdana" w:cs="Calibri"/>
          <w:sz w:val="20"/>
          <w:szCs w:val="20"/>
        </w:rPr>
        <w:t>De</w:t>
      </w:r>
      <w:r w:rsidR="00C6637A" w:rsidRPr="00C6637A">
        <w:rPr>
          <w:rFonts w:ascii="Verdana" w:hAnsi="Verdana" w:cs="Calibri"/>
          <w:sz w:val="20"/>
          <w:szCs w:val="20"/>
        </w:rPr>
        <w:t xml:space="preserve"> recueillir les réactions, les besoins, les souhaits, les actions possibles</w:t>
      </w:r>
      <w:r w:rsidR="006A1BE7">
        <w:rPr>
          <w:rFonts w:ascii="Verdana" w:hAnsi="Verdana" w:cs="Calibri"/>
          <w:sz w:val="20"/>
          <w:szCs w:val="20"/>
        </w:rPr>
        <w:t xml:space="preserve"> </w:t>
      </w:r>
      <w:r w:rsidR="00C6637A" w:rsidRPr="00C6637A">
        <w:rPr>
          <w:rFonts w:ascii="Verdana" w:hAnsi="Verdana" w:cs="Calibri"/>
          <w:sz w:val="20"/>
          <w:szCs w:val="20"/>
        </w:rPr>
        <w:t xml:space="preserve">dans chacun des Etats membres, </w:t>
      </w:r>
      <w:r w:rsidR="00C6637A" w:rsidRPr="00762844">
        <w:rPr>
          <w:rFonts w:ascii="Verdana" w:hAnsi="Verdana" w:cs="Calibri"/>
          <w:sz w:val="20"/>
          <w:szCs w:val="20"/>
        </w:rPr>
        <w:t xml:space="preserve">par rapport au programme et aux </w:t>
      </w:r>
      <w:r w:rsidR="005F6C9D" w:rsidRPr="00762844">
        <w:rPr>
          <w:rFonts w:ascii="Verdana" w:hAnsi="Verdana" w:cs="Calibri"/>
          <w:sz w:val="20"/>
          <w:szCs w:val="20"/>
        </w:rPr>
        <w:t>projets</w:t>
      </w:r>
      <w:r w:rsidR="005F6C9D">
        <w:rPr>
          <w:rFonts w:ascii="Verdana" w:hAnsi="Verdana" w:cs="Calibri"/>
          <w:sz w:val="20"/>
          <w:szCs w:val="20"/>
        </w:rPr>
        <w:t> ;</w:t>
      </w:r>
    </w:p>
    <w:p w14:paraId="2FE9A8D2" w14:textId="376F56A8" w:rsidR="006A1BE7" w:rsidRPr="006A1BE7" w:rsidRDefault="00762844" w:rsidP="005665D2">
      <w:pPr>
        <w:pStyle w:val="Paragraphedeliste"/>
        <w:numPr>
          <w:ilvl w:val="0"/>
          <w:numId w:val="12"/>
        </w:numPr>
        <w:spacing w:after="120"/>
        <w:contextualSpacing w:val="0"/>
        <w:jc w:val="both"/>
        <w:rPr>
          <w:rFonts w:ascii="Verdana" w:hAnsi="Verdana" w:cs="Calibri"/>
          <w:sz w:val="20"/>
          <w:szCs w:val="20"/>
        </w:rPr>
      </w:pPr>
      <w:r w:rsidRPr="00762844">
        <w:rPr>
          <w:rFonts w:ascii="Verdana" w:hAnsi="Verdana" w:cs="Calibri"/>
          <w:sz w:val="20"/>
          <w:szCs w:val="20"/>
        </w:rPr>
        <w:t>D’affiner le diagnostic, en complémentarité de l’étude d’opportunité et des assises autour d’axes transversaux</w:t>
      </w:r>
      <w:r w:rsidR="00544DF1">
        <w:rPr>
          <w:rFonts w:ascii="Verdana" w:hAnsi="Verdana" w:cs="Calibri"/>
          <w:sz w:val="20"/>
          <w:szCs w:val="20"/>
        </w:rPr>
        <w:t xml:space="preserve"> identifiés ;</w:t>
      </w:r>
    </w:p>
    <w:p w14:paraId="5ACEBDC6" w14:textId="5B4ABF1A" w:rsidR="00B31A21" w:rsidRPr="006A1BE7" w:rsidRDefault="00B31A21" w:rsidP="005665D2">
      <w:pPr>
        <w:pStyle w:val="Paragraphedeliste"/>
        <w:numPr>
          <w:ilvl w:val="0"/>
          <w:numId w:val="12"/>
        </w:numPr>
        <w:spacing w:after="120"/>
        <w:contextualSpacing w:val="0"/>
        <w:jc w:val="both"/>
        <w:rPr>
          <w:rFonts w:ascii="Verdana" w:hAnsi="Verdana" w:cs="Calibri"/>
          <w:sz w:val="20"/>
          <w:szCs w:val="20"/>
        </w:rPr>
      </w:pPr>
      <w:r w:rsidRPr="006A1BE7">
        <w:rPr>
          <w:rFonts w:ascii="Verdana" w:hAnsi="Verdana" w:cs="Calibri"/>
          <w:sz w:val="20"/>
          <w:szCs w:val="20"/>
        </w:rPr>
        <w:t xml:space="preserve">De réfléchir sur des repères que pourrait prendre la mobilité dans la formation </w:t>
      </w:r>
      <w:r w:rsidR="00AA4F7C" w:rsidRPr="006A1BE7">
        <w:rPr>
          <w:rFonts w:ascii="Verdana" w:hAnsi="Verdana" w:cs="Calibri"/>
          <w:sz w:val="20"/>
          <w:szCs w:val="20"/>
        </w:rPr>
        <w:t>professionnelle</w:t>
      </w:r>
      <w:r w:rsidR="00E40055">
        <w:rPr>
          <w:rFonts w:ascii="Verdana" w:hAnsi="Verdana" w:cs="Calibri"/>
          <w:sz w:val="20"/>
          <w:szCs w:val="20"/>
        </w:rPr>
        <w:t>.</w:t>
      </w:r>
    </w:p>
    <w:p w14:paraId="11195E3F" w14:textId="30563A5B" w:rsidR="004D7E51" w:rsidRDefault="00544DF1" w:rsidP="005665D2">
      <w:pPr>
        <w:spacing w:after="120"/>
        <w:jc w:val="both"/>
        <w:rPr>
          <w:rFonts w:ascii="Verdana" w:hAnsi="Verdana" w:cs="Calibri"/>
          <w:sz w:val="20"/>
          <w:szCs w:val="20"/>
        </w:rPr>
      </w:pPr>
      <w:r>
        <w:rPr>
          <w:rFonts w:ascii="Verdana" w:hAnsi="Verdana" w:cs="Calibri"/>
          <w:sz w:val="20"/>
          <w:szCs w:val="20"/>
        </w:rPr>
        <w:t xml:space="preserve">Cette mission de consultation a débuté par Maurice où l’expert a pu s’entretenir avec les partenaires institutionnels, académiques et opérateurs privés. Les consultations à Madagascar, La Réunion, Comores et Seychelles </w:t>
      </w:r>
      <w:r w:rsidR="00E40055">
        <w:rPr>
          <w:rFonts w:ascii="Verdana" w:hAnsi="Verdana" w:cs="Calibri"/>
          <w:sz w:val="20"/>
          <w:szCs w:val="20"/>
        </w:rPr>
        <w:t>sont prévues de se tenir</w:t>
      </w:r>
      <w:r w:rsidR="003F7375">
        <w:rPr>
          <w:rFonts w:ascii="Verdana" w:hAnsi="Verdana" w:cs="Calibri"/>
          <w:sz w:val="20"/>
          <w:szCs w:val="20"/>
        </w:rPr>
        <w:t xml:space="preserve"> entre mai et septembre</w:t>
      </w:r>
      <w:r>
        <w:rPr>
          <w:rFonts w:ascii="Verdana" w:hAnsi="Verdana" w:cs="Calibri"/>
          <w:sz w:val="20"/>
          <w:szCs w:val="20"/>
        </w:rPr>
        <w:t xml:space="preserve">. </w:t>
      </w:r>
    </w:p>
    <w:p w14:paraId="032DD637" w14:textId="1238EAB1" w:rsidR="004D7E51" w:rsidRDefault="004D7E51" w:rsidP="004D7E51">
      <w:pPr>
        <w:pStyle w:val="Sous-partie2"/>
      </w:pPr>
      <w:r w:rsidRPr="004D7E51">
        <w:t>Education à l’entrepreneuriat et coopération université</w:t>
      </w:r>
      <w:r w:rsidR="00541035">
        <w:t>- entreprises dans le domaine de l’économie bleue</w:t>
      </w:r>
    </w:p>
    <w:p w14:paraId="3CDF8C48" w14:textId="450F3B7A" w:rsidR="00541035" w:rsidRDefault="004D7E51" w:rsidP="004D7E51">
      <w:pPr>
        <w:jc w:val="both"/>
        <w:rPr>
          <w:rFonts w:ascii="Verdana" w:hAnsi="Verdana" w:cs="Calibri"/>
          <w:sz w:val="20"/>
          <w:szCs w:val="20"/>
        </w:rPr>
      </w:pPr>
      <w:r>
        <w:rPr>
          <w:rFonts w:ascii="Verdana" w:hAnsi="Verdana" w:cs="Calibri"/>
          <w:sz w:val="20"/>
          <w:szCs w:val="20"/>
        </w:rPr>
        <w:t xml:space="preserve">Le Secrétariat général de la COI a été sollicité par l’Université d’Alicante (Espagne) pour intégrer un consortium afin de répondre à un appel à propositions du programme Erasmus+ de l’Union </w:t>
      </w:r>
      <w:r w:rsidR="003F7375">
        <w:rPr>
          <w:rFonts w:ascii="Verdana" w:hAnsi="Verdana" w:cs="Calibri"/>
          <w:sz w:val="20"/>
          <w:szCs w:val="20"/>
        </w:rPr>
        <w:t>e</w:t>
      </w:r>
      <w:r>
        <w:rPr>
          <w:rFonts w:ascii="Verdana" w:hAnsi="Verdana" w:cs="Calibri"/>
          <w:sz w:val="20"/>
          <w:szCs w:val="20"/>
        </w:rPr>
        <w:t xml:space="preserve">uropéenne. </w:t>
      </w:r>
      <w:r w:rsidR="0044357F">
        <w:rPr>
          <w:rFonts w:ascii="Verdana" w:hAnsi="Verdana" w:cs="Calibri"/>
          <w:sz w:val="20"/>
          <w:szCs w:val="20"/>
        </w:rPr>
        <w:t xml:space="preserve">Le consortium est composé des Universités des Comores, des Seychelles, d’Antananarivo et de Toliara (Madagascar), de All </w:t>
      </w:r>
      <w:proofErr w:type="spellStart"/>
      <w:r w:rsidR="0044357F">
        <w:rPr>
          <w:rFonts w:ascii="Verdana" w:hAnsi="Verdana" w:cs="Calibri"/>
          <w:sz w:val="20"/>
          <w:szCs w:val="20"/>
        </w:rPr>
        <w:t>Africa</w:t>
      </w:r>
      <w:proofErr w:type="spellEnd"/>
      <w:r w:rsidR="00397163">
        <w:rPr>
          <w:rFonts w:ascii="Verdana" w:hAnsi="Verdana" w:cs="Calibri"/>
          <w:sz w:val="20"/>
          <w:szCs w:val="20"/>
        </w:rPr>
        <w:t xml:space="preserve"> </w:t>
      </w:r>
      <w:proofErr w:type="spellStart"/>
      <w:r w:rsidR="00397163">
        <w:rPr>
          <w:rFonts w:ascii="Verdana" w:hAnsi="Verdana" w:cs="Calibri"/>
          <w:sz w:val="20"/>
          <w:szCs w:val="20"/>
        </w:rPr>
        <w:t>Students</w:t>
      </w:r>
      <w:proofErr w:type="spellEnd"/>
      <w:r w:rsidR="00397163">
        <w:rPr>
          <w:rFonts w:ascii="Verdana" w:hAnsi="Verdana" w:cs="Calibri"/>
          <w:sz w:val="20"/>
          <w:szCs w:val="20"/>
        </w:rPr>
        <w:t xml:space="preserve"> Union basée au Ghana, de Cap Business océan Indien, de l’Université d’Algarve </w:t>
      </w:r>
      <w:r w:rsidR="0044357F">
        <w:rPr>
          <w:rFonts w:ascii="Verdana" w:hAnsi="Verdana" w:cs="Calibri"/>
          <w:sz w:val="20"/>
          <w:szCs w:val="20"/>
        </w:rPr>
        <w:t xml:space="preserve">(Portugal) et de l’Université d’Alicante comme chef de file. </w:t>
      </w:r>
      <w:r w:rsidR="00110325">
        <w:rPr>
          <w:rFonts w:ascii="Verdana" w:hAnsi="Verdana" w:cs="Calibri"/>
          <w:sz w:val="20"/>
          <w:szCs w:val="20"/>
        </w:rPr>
        <w:t>La proposition sera soumise pour une activité de 3 ans avec un budget de 800 000</w:t>
      </w:r>
      <w:r w:rsidR="00110325">
        <w:rPr>
          <w:rFonts w:ascii="Verdana" w:hAnsi="Verdana" w:cs="Calibri"/>
          <w:sz w:val="20"/>
          <w:szCs w:val="20"/>
          <w:vertAlign w:val="superscript"/>
        </w:rPr>
        <w:t xml:space="preserve"> </w:t>
      </w:r>
      <w:r w:rsidR="00110325">
        <w:rPr>
          <w:rFonts w:ascii="Verdana" w:hAnsi="Verdana" w:cs="Calibri"/>
          <w:sz w:val="20"/>
          <w:szCs w:val="20"/>
        </w:rPr>
        <w:t xml:space="preserve">€. </w:t>
      </w:r>
    </w:p>
    <w:p w14:paraId="405D59FB" w14:textId="0C15F407" w:rsidR="00541035" w:rsidRDefault="00B34E35" w:rsidP="004D7E51">
      <w:pPr>
        <w:jc w:val="both"/>
        <w:rPr>
          <w:rFonts w:ascii="Verdana" w:hAnsi="Verdana" w:cs="Calibri"/>
          <w:sz w:val="20"/>
          <w:szCs w:val="20"/>
        </w:rPr>
      </w:pPr>
      <w:r>
        <w:rPr>
          <w:rFonts w:ascii="Verdana" w:hAnsi="Verdana" w:cs="Calibri"/>
          <w:sz w:val="20"/>
          <w:szCs w:val="20"/>
        </w:rPr>
        <w:t xml:space="preserve">En rappelant les objectifs du projet « de développement de l’esprit d’entreprise et des capacités d’innovation sociale e soutien à l’économie bleue dans les établissements d’enseignements supérieur du Sud-Ouest de l’océan Indien » : </w:t>
      </w:r>
    </w:p>
    <w:p w14:paraId="413F5C9A" w14:textId="693E757F" w:rsidR="00B34E35" w:rsidRDefault="00B34E35" w:rsidP="00B34E35">
      <w:pPr>
        <w:pStyle w:val="Paragraphedeliste"/>
        <w:numPr>
          <w:ilvl w:val="0"/>
          <w:numId w:val="17"/>
        </w:numPr>
        <w:jc w:val="both"/>
        <w:rPr>
          <w:rFonts w:ascii="Verdana" w:hAnsi="Verdana" w:cs="Calibri"/>
          <w:sz w:val="20"/>
          <w:szCs w:val="20"/>
        </w:rPr>
      </w:pPr>
      <w:r>
        <w:rPr>
          <w:rFonts w:ascii="Verdana" w:hAnsi="Verdana" w:cs="Calibri"/>
          <w:sz w:val="20"/>
          <w:szCs w:val="20"/>
        </w:rPr>
        <w:t>Promouvoir l’entreprenariat bleu dans la région par le transfert des meilleures pratiques et la facilitation des méthodologies d’apprentissage innovantes dans l’éducation à l’entreprenariat ;</w:t>
      </w:r>
    </w:p>
    <w:p w14:paraId="51018E85" w14:textId="62E96754" w:rsidR="00CF3E6E" w:rsidRPr="008C011B" w:rsidRDefault="00B34E35" w:rsidP="00CF3E6E">
      <w:pPr>
        <w:pStyle w:val="Paragraphedeliste"/>
        <w:numPr>
          <w:ilvl w:val="0"/>
          <w:numId w:val="17"/>
        </w:numPr>
        <w:jc w:val="both"/>
        <w:rPr>
          <w:rFonts w:ascii="Verdana" w:hAnsi="Verdana" w:cs="Calibri"/>
          <w:sz w:val="20"/>
          <w:szCs w:val="20"/>
        </w:rPr>
      </w:pPr>
      <w:r>
        <w:rPr>
          <w:rFonts w:ascii="Verdana" w:hAnsi="Verdana" w:cs="Calibri"/>
          <w:sz w:val="20"/>
          <w:szCs w:val="20"/>
        </w:rPr>
        <w:t>Renforcer les écosystèmes locaux d’innovation par la création d’environnements physiques orientés pour stimuler la collaboration entre les établissements commerciaux travaillant dans l’économie bleue.</w:t>
      </w:r>
    </w:p>
    <w:p w14:paraId="596E9305" w14:textId="7EC3E03A" w:rsidR="00CF3E6E" w:rsidRPr="00CF3E6E" w:rsidRDefault="00CF3E6E" w:rsidP="00CF3E6E">
      <w:pPr>
        <w:jc w:val="both"/>
        <w:rPr>
          <w:rFonts w:ascii="Verdana" w:hAnsi="Verdana" w:cs="Calibri"/>
          <w:sz w:val="20"/>
          <w:szCs w:val="20"/>
        </w:rPr>
      </w:pPr>
      <w:r>
        <w:rPr>
          <w:rFonts w:ascii="Verdana" w:hAnsi="Verdana" w:cs="Calibri"/>
          <w:sz w:val="20"/>
          <w:szCs w:val="20"/>
        </w:rPr>
        <w:t>Le Secrétariat général a répondu à la sollicitation de l’Université d’</w:t>
      </w:r>
      <w:r w:rsidR="00BD7F86">
        <w:rPr>
          <w:rFonts w:ascii="Verdana" w:hAnsi="Verdana" w:cs="Calibri"/>
          <w:sz w:val="20"/>
          <w:szCs w:val="20"/>
        </w:rPr>
        <w:t>Alicante</w:t>
      </w:r>
      <w:r w:rsidR="008C011B">
        <w:rPr>
          <w:rFonts w:ascii="Verdana" w:hAnsi="Verdana" w:cs="Calibri"/>
          <w:sz w:val="20"/>
          <w:szCs w:val="20"/>
        </w:rPr>
        <w:t xml:space="preserve">, qui a soumis la proposition en février dernier. </w:t>
      </w:r>
    </w:p>
    <w:p w14:paraId="177D0A07" w14:textId="77777777" w:rsidR="00110325" w:rsidRPr="005665D2" w:rsidRDefault="00110325" w:rsidP="004D7E51">
      <w:pPr>
        <w:jc w:val="both"/>
        <w:rPr>
          <w:rFonts w:ascii="Verdana" w:hAnsi="Verdana" w:cs="Calibri"/>
          <w:sz w:val="8"/>
          <w:szCs w:val="8"/>
        </w:rPr>
      </w:pPr>
    </w:p>
    <w:p w14:paraId="2F7F5914" w14:textId="608AD6BB" w:rsidR="00955BB3" w:rsidRPr="0008468B" w:rsidRDefault="00955BB3" w:rsidP="00A70123">
      <w:pPr>
        <w:pStyle w:val="Titrepartie"/>
      </w:pPr>
      <w:r w:rsidRPr="0008468B">
        <w:t>Proposition de décision</w:t>
      </w:r>
    </w:p>
    <w:p w14:paraId="05F1F967" w14:textId="5A88A744" w:rsidR="0008468B" w:rsidRPr="004F5C4B" w:rsidRDefault="0008468B" w:rsidP="00FE285D">
      <w:pPr>
        <w:pStyle w:val="Paragraphe"/>
      </w:pPr>
      <w:r w:rsidRPr="004F5C4B">
        <w:t>Le Comité des OPL</w:t>
      </w:r>
      <w:r w:rsidR="0057047B">
        <w:t xml:space="preserve"> recommande au Conseil des ministres</w:t>
      </w:r>
      <w:r w:rsidR="00BC3519">
        <w:t xml:space="preserve"> de</w:t>
      </w:r>
      <w:r w:rsidR="00A76B07">
        <w:t> :</w:t>
      </w:r>
    </w:p>
    <w:p w14:paraId="0A206295" w14:textId="764F2225" w:rsidR="00A76B07" w:rsidRDefault="00B4010B" w:rsidP="00A76B07">
      <w:pPr>
        <w:pStyle w:val="Paragraphe"/>
        <w:numPr>
          <w:ilvl w:val="0"/>
          <w:numId w:val="6"/>
        </w:numPr>
      </w:pPr>
      <w:r>
        <w:t>E</w:t>
      </w:r>
      <w:r w:rsidR="000031C6" w:rsidRPr="000031C6">
        <w:t>ncourage</w:t>
      </w:r>
      <w:r w:rsidR="00544DF1">
        <w:t>r</w:t>
      </w:r>
      <w:r w:rsidR="000031C6" w:rsidRPr="000031C6">
        <w:t xml:space="preserve"> les Etats membres à faciliter l’identification et la mise en contact des universités pertinentes pouvant être intéressées à </w:t>
      </w:r>
      <w:r w:rsidR="00CD5605">
        <w:t>signer</w:t>
      </w:r>
      <w:r w:rsidR="000031C6" w:rsidRPr="000031C6">
        <w:t xml:space="preserve"> des </w:t>
      </w:r>
      <w:r w:rsidR="0046263A" w:rsidRPr="000031C6">
        <w:t>accords-cadres</w:t>
      </w:r>
      <w:r w:rsidR="000031C6" w:rsidRPr="000031C6">
        <w:t xml:space="preserve"> avec la COI </w:t>
      </w:r>
    </w:p>
    <w:p w14:paraId="5AAD941B" w14:textId="4700A238" w:rsidR="006E51EB" w:rsidRDefault="006E51EB" w:rsidP="006E51EB">
      <w:pPr>
        <w:pStyle w:val="Paragraphe"/>
        <w:numPr>
          <w:ilvl w:val="0"/>
          <w:numId w:val="6"/>
        </w:numPr>
      </w:pPr>
      <w:r>
        <w:lastRenderedPageBreak/>
        <w:t>Donner mandat au Secrétariat général pour organiser des consultations nationales dans le cadre de la mission d’amorçage et de consultation du projet de formation professionnelle et de mobilité ;</w:t>
      </w:r>
    </w:p>
    <w:p w14:paraId="7E5C285D" w14:textId="3FB0545C" w:rsidR="006E51EB" w:rsidRDefault="00390D15" w:rsidP="006E51EB">
      <w:pPr>
        <w:pStyle w:val="Paragraphe"/>
        <w:numPr>
          <w:ilvl w:val="0"/>
          <w:numId w:val="6"/>
        </w:numPr>
      </w:pPr>
      <w:r>
        <w:t>Demander au</w:t>
      </w:r>
      <w:r w:rsidR="006E51EB">
        <w:t xml:space="preserve"> Secrétariat général </w:t>
      </w:r>
      <w:r>
        <w:t>d’</w:t>
      </w:r>
      <w:r w:rsidR="006E51EB">
        <w:t>organiser un atelier de validation technique</w:t>
      </w:r>
      <w:r w:rsidR="00544DF1">
        <w:t xml:space="preserve"> de niveau ministériel</w:t>
      </w:r>
      <w:r w:rsidR="006E51EB">
        <w:t xml:space="preserve"> </w:t>
      </w:r>
      <w:r w:rsidR="007E1F22">
        <w:t>d’une proposition de projet de formation professionnelle et mobilité et d’instruire ce projet validé</w:t>
      </w:r>
      <w:r w:rsidR="008357D8">
        <w:t xml:space="preserve"> auprès des bailleurs après circulation aux Etats membres ;</w:t>
      </w:r>
    </w:p>
    <w:p w14:paraId="4D7C9EFE" w14:textId="644C4043" w:rsidR="00E97E5B" w:rsidRPr="000031C6" w:rsidRDefault="00E97E5B" w:rsidP="00E97E5B">
      <w:pPr>
        <w:pStyle w:val="Paragraphe"/>
        <w:numPr>
          <w:ilvl w:val="0"/>
          <w:numId w:val="6"/>
        </w:numPr>
      </w:pPr>
      <w:r>
        <w:t xml:space="preserve">Remercier </w:t>
      </w:r>
      <w:r w:rsidR="008357D8" w:rsidRPr="008357D8">
        <w:t>la France</w:t>
      </w:r>
      <w:r>
        <w:t xml:space="preserve"> d’avoir mis à disposition un expert technique international spécialisé dans la formation professionnelle et la mobilité</w:t>
      </w:r>
      <w:r w:rsidR="008357D8">
        <w:t xml:space="preserve"> auprès du Secrétariat général de la COI</w:t>
      </w:r>
      <w:r w:rsidR="005665D2">
        <w:t>.</w:t>
      </w:r>
    </w:p>
    <w:p w14:paraId="495CA3D7" w14:textId="77777777" w:rsidR="0008468B" w:rsidRPr="000031C6"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3387F94C" w14:textId="77777777" w:rsidR="00FB2F47" w:rsidRPr="00FE285D" w:rsidRDefault="00FB2F47" w:rsidP="00FB2F47">
      <w:pPr>
        <w:pStyle w:val="Exergue"/>
      </w:pPr>
      <w:r>
        <w:t>Cf.</w:t>
      </w:r>
      <w:r w:rsidRPr="00FE285D">
        <w:t xml:space="preserve"> Décision </w:t>
      </w:r>
      <w:r>
        <w:t>10</w:t>
      </w:r>
      <w:r w:rsidRPr="00FE285D">
        <w:t xml:space="preserve">. </w:t>
      </w:r>
      <w:r>
        <w:t>Formation professionnelle et mobilité, comité des OPL 02/2022, 21/02/2022</w:t>
      </w:r>
    </w:p>
    <w:p w14:paraId="0273A1D2" w14:textId="77777777" w:rsidR="00FB2F47" w:rsidRDefault="00FB2F47" w:rsidP="00FB2F47">
      <w:pPr>
        <w:pStyle w:val="Default"/>
        <w:rPr>
          <w:sz w:val="20"/>
          <w:szCs w:val="20"/>
        </w:rPr>
      </w:pPr>
    </w:p>
    <w:p w14:paraId="29139429" w14:textId="77777777" w:rsidR="00FB2F47" w:rsidRDefault="00FB2F47" w:rsidP="00FB2F47">
      <w:pPr>
        <w:pStyle w:val="Default"/>
        <w:jc w:val="both"/>
        <w:rPr>
          <w:sz w:val="20"/>
          <w:szCs w:val="20"/>
        </w:rPr>
      </w:pPr>
      <w:r>
        <w:rPr>
          <w:sz w:val="20"/>
          <w:szCs w:val="20"/>
        </w:rPr>
        <w:t xml:space="preserve">Le Comité des OPL recommande au Conseil des ministres de : </w:t>
      </w:r>
    </w:p>
    <w:p w14:paraId="6F27BC70" w14:textId="77777777" w:rsidR="00FB2F47" w:rsidRDefault="00FB2F47" w:rsidP="00FB2F47">
      <w:pPr>
        <w:pStyle w:val="Default"/>
        <w:spacing w:line="259" w:lineRule="auto"/>
        <w:jc w:val="both"/>
        <w:rPr>
          <w:sz w:val="20"/>
          <w:szCs w:val="20"/>
        </w:rPr>
      </w:pPr>
    </w:p>
    <w:p w14:paraId="627519D5" w14:textId="77777777" w:rsidR="00FB2F47" w:rsidRDefault="00FB2F47" w:rsidP="00FB2F47">
      <w:pPr>
        <w:pStyle w:val="Default"/>
        <w:spacing w:line="259" w:lineRule="auto"/>
        <w:ind w:left="567" w:hanging="567"/>
        <w:jc w:val="both"/>
        <w:rPr>
          <w:sz w:val="20"/>
          <w:szCs w:val="20"/>
        </w:rPr>
      </w:pPr>
      <w:r>
        <w:rPr>
          <w:sz w:val="20"/>
          <w:szCs w:val="20"/>
        </w:rPr>
        <w:t>a.</w:t>
      </w:r>
      <w:r>
        <w:rPr>
          <w:sz w:val="20"/>
          <w:szCs w:val="20"/>
        </w:rPr>
        <w:tab/>
        <w:t xml:space="preserve">Encourager le Secrétariat général à identifier en lien avec les Officiers permanents de liaison ainsi que les entités nationales compétentes des institutions d’enseignement supérieur pouvant être intéressées à nouer un partenariat avec la COI dans des domaines d’intérêt commun et, le cas échéant, à établir des projets d’accord-cadre pour signature après validation par les instances ; </w:t>
      </w:r>
    </w:p>
    <w:p w14:paraId="416CF80A" w14:textId="77777777" w:rsidR="00FB2F47" w:rsidRDefault="00FB2F47" w:rsidP="00FB2F47">
      <w:pPr>
        <w:pStyle w:val="Default"/>
        <w:numPr>
          <w:ilvl w:val="0"/>
          <w:numId w:val="18"/>
        </w:numPr>
        <w:spacing w:line="259" w:lineRule="auto"/>
        <w:jc w:val="both"/>
        <w:rPr>
          <w:sz w:val="20"/>
          <w:szCs w:val="20"/>
        </w:rPr>
      </w:pPr>
    </w:p>
    <w:p w14:paraId="0C74748C" w14:textId="77777777" w:rsidR="00FB2F47" w:rsidRDefault="00FB2F47" w:rsidP="00FB2F47">
      <w:pPr>
        <w:pStyle w:val="Default"/>
        <w:spacing w:line="259" w:lineRule="auto"/>
        <w:ind w:left="567" w:hanging="567"/>
        <w:jc w:val="both"/>
        <w:rPr>
          <w:sz w:val="20"/>
          <w:szCs w:val="20"/>
        </w:rPr>
      </w:pPr>
      <w:r w:rsidRPr="006E06DC">
        <w:rPr>
          <w:sz w:val="20"/>
          <w:szCs w:val="20"/>
        </w:rPr>
        <w:t>b.</w:t>
      </w:r>
      <w:r>
        <w:rPr>
          <w:sz w:val="20"/>
          <w:szCs w:val="20"/>
        </w:rPr>
        <w:tab/>
      </w:r>
      <w:r w:rsidRPr="006E06DC">
        <w:rPr>
          <w:sz w:val="20"/>
          <w:szCs w:val="20"/>
        </w:rPr>
        <w:t xml:space="preserve">Prendre note de la tenue des Assises régionales de la formation professionnelle et de </w:t>
      </w:r>
      <w:proofErr w:type="gramStart"/>
      <w:r w:rsidRPr="006E06DC">
        <w:rPr>
          <w:sz w:val="20"/>
          <w:szCs w:val="20"/>
        </w:rPr>
        <w:t>la</w:t>
      </w:r>
      <w:proofErr w:type="gramEnd"/>
      <w:r w:rsidRPr="006E06DC">
        <w:rPr>
          <w:sz w:val="20"/>
          <w:szCs w:val="20"/>
        </w:rPr>
        <w:t xml:space="preserve"> mobilité les 10 et 11 février et de la note stratégique qui en est issue ;</w:t>
      </w:r>
    </w:p>
    <w:p w14:paraId="6AA7DB53" w14:textId="77777777" w:rsidR="00FB2F47" w:rsidRPr="006E06DC" w:rsidRDefault="00FB2F47" w:rsidP="00FB2F47">
      <w:pPr>
        <w:pStyle w:val="Default"/>
        <w:numPr>
          <w:ilvl w:val="0"/>
          <w:numId w:val="18"/>
        </w:numPr>
        <w:spacing w:line="259" w:lineRule="auto"/>
        <w:jc w:val="both"/>
        <w:rPr>
          <w:sz w:val="20"/>
          <w:szCs w:val="20"/>
        </w:rPr>
      </w:pPr>
    </w:p>
    <w:p w14:paraId="4495EF65" w14:textId="77777777" w:rsidR="00FB2F47" w:rsidRDefault="00FB2F47" w:rsidP="00FB2F47">
      <w:pPr>
        <w:pStyle w:val="Default"/>
        <w:spacing w:line="259" w:lineRule="auto"/>
        <w:ind w:left="567" w:hanging="567"/>
        <w:jc w:val="both"/>
        <w:rPr>
          <w:sz w:val="20"/>
          <w:szCs w:val="20"/>
        </w:rPr>
      </w:pPr>
      <w:r>
        <w:rPr>
          <w:sz w:val="20"/>
          <w:szCs w:val="20"/>
        </w:rPr>
        <w:t>c.</w:t>
      </w:r>
      <w:r>
        <w:rPr>
          <w:sz w:val="20"/>
          <w:szCs w:val="20"/>
        </w:rPr>
        <w:tab/>
        <w:t xml:space="preserve">Donner mandat au Secrétariat général à solliciter les partenaires au développement pour lancer une étude d’opportunités d’un programme régional sur la base des axes identifiés dans la note stratégique issue des Assises ; </w:t>
      </w:r>
    </w:p>
    <w:p w14:paraId="470DD347" w14:textId="77777777" w:rsidR="00FB2F47" w:rsidRPr="006E06DC" w:rsidRDefault="00FB2F47" w:rsidP="00FB2F47">
      <w:pPr>
        <w:pStyle w:val="Default"/>
        <w:numPr>
          <w:ilvl w:val="0"/>
          <w:numId w:val="19"/>
        </w:numPr>
        <w:spacing w:line="259" w:lineRule="auto"/>
        <w:jc w:val="both"/>
        <w:rPr>
          <w:color w:val="auto"/>
          <w:sz w:val="20"/>
          <w:szCs w:val="20"/>
        </w:rPr>
      </w:pPr>
    </w:p>
    <w:p w14:paraId="786F1F9C" w14:textId="77777777" w:rsidR="00FB2F47" w:rsidRDefault="00FB2F47" w:rsidP="00FB2F47">
      <w:pPr>
        <w:pStyle w:val="Default"/>
        <w:spacing w:line="259" w:lineRule="auto"/>
        <w:ind w:left="567" w:hanging="567"/>
        <w:jc w:val="both"/>
        <w:rPr>
          <w:color w:val="auto"/>
          <w:sz w:val="20"/>
          <w:szCs w:val="20"/>
        </w:rPr>
      </w:pPr>
      <w:r>
        <w:rPr>
          <w:rFonts w:cstheme="minorBidi"/>
          <w:color w:val="auto"/>
          <w:sz w:val="20"/>
          <w:szCs w:val="20"/>
        </w:rPr>
        <w:t>d.</w:t>
      </w:r>
      <w:r>
        <w:rPr>
          <w:rFonts w:cstheme="minorBidi"/>
          <w:color w:val="auto"/>
          <w:sz w:val="20"/>
          <w:szCs w:val="20"/>
        </w:rPr>
        <w:tab/>
      </w:r>
      <w:r>
        <w:rPr>
          <w:color w:val="auto"/>
          <w:sz w:val="20"/>
          <w:szCs w:val="20"/>
        </w:rPr>
        <w:t xml:space="preserve">Remercier l’AFD pour son soutien à l’organisation des Assises régionales de la formation professionnelle, l’Organisation internationale du Travail et Cap Business océan Indien pour leurs contributions et le Secrétariat général pour leur organisation dans de courts délais ; </w:t>
      </w:r>
    </w:p>
    <w:p w14:paraId="5A1C9530" w14:textId="77777777" w:rsidR="00FB2F47" w:rsidRDefault="00FB2F47" w:rsidP="00FB2F47">
      <w:pPr>
        <w:pStyle w:val="Default"/>
        <w:numPr>
          <w:ilvl w:val="0"/>
          <w:numId w:val="19"/>
        </w:numPr>
        <w:spacing w:line="259" w:lineRule="auto"/>
        <w:jc w:val="both"/>
        <w:rPr>
          <w:color w:val="auto"/>
          <w:sz w:val="20"/>
          <w:szCs w:val="20"/>
        </w:rPr>
      </w:pPr>
    </w:p>
    <w:p w14:paraId="15943379" w14:textId="77777777" w:rsidR="00FB2F47" w:rsidRDefault="00FB2F47" w:rsidP="00FB2F47">
      <w:pPr>
        <w:pStyle w:val="Default"/>
        <w:spacing w:line="259" w:lineRule="auto"/>
        <w:ind w:left="567" w:hanging="567"/>
        <w:jc w:val="both"/>
        <w:rPr>
          <w:color w:val="auto"/>
          <w:sz w:val="20"/>
          <w:szCs w:val="20"/>
        </w:rPr>
      </w:pPr>
      <w:r>
        <w:rPr>
          <w:color w:val="auto"/>
          <w:sz w:val="20"/>
          <w:szCs w:val="20"/>
        </w:rPr>
        <w:t>e.</w:t>
      </w:r>
      <w:r>
        <w:rPr>
          <w:color w:val="auto"/>
          <w:sz w:val="20"/>
          <w:szCs w:val="20"/>
        </w:rPr>
        <w:tab/>
        <w:t xml:space="preserve">Confirmer l’intérêt pour la COI de participer à un projet de promotion de l’entrepreneuriat et de l’innovation dans le domaine de l’économie bleue avec un consortium composé, entre autres, d’universités régionales et européennes et demander au Secrétariat général d’informer les Etats membres des suites qui seront données à la soumission d’une proposition pour financement sous le programme Erasmus+. </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3D3E9824" w:rsidR="00C325F5" w:rsidRDefault="00620B90" w:rsidP="00620B90">
      <w:pPr>
        <w:pStyle w:val="Paragraphe"/>
        <w:numPr>
          <w:ilvl w:val="0"/>
          <w:numId w:val="9"/>
        </w:numPr>
      </w:pPr>
      <w:r>
        <w:t xml:space="preserve">Annexe 1 : </w:t>
      </w:r>
      <w:r w:rsidRPr="00620B90">
        <w:rPr>
          <w:highlight w:val="yellow"/>
        </w:rPr>
        <w:t>titre de l’annexe</w:t>
      </w:r>
    </w:p>
    <w:p w14:paraId="4648F921" w14:textId="7564BA39" w:rsidR="008F173C" w:rsidRPr="00620B90" w:rsidRDefault="00620B90" w:rsidP="00620B90">
      <w:pPr>
        <w:pStyle w:val="Paragraphe"/>
        <w:numPr>
          <w:ilvl w:val="0"/>
          <w:numId w:val="9"/>
        </w:numPr>
      </w:pPr>
      <w:r>
        <w:t xml:space="preserve">Annexe 2 : </w:t>
      </w:r>
      <w:r w:rsidRPr="00620B90">
        <w:rPr>
          <w:highlight w:val="yellow"/>
        </w:rPr>
        <w:t>titre de l’annexe</w:t>
      </w: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1237" w14:textId="77777777" w:rsidR="001963A1" w:rsidRDefault="001963A1">
      <w:pPr>
        <w:spacing w:after="0" w:line="240" w:lineRule="auto"/>
      </w:pPr>
      <w:r>
        <w:separator/>
      </w:r>
    </w:p>
  </w:endnote>
  <w:endnote w:type="continuationSeparator" w:id="0">
    <w:p w14:paraId="42DBA2F5" w14:textId="77777777" w:rsidR="001963A1" w:rsidRDefault="0019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8B67" w14:textId="77777777" w:rsidR="001963A1" w:rsidRDefault="001963A1">
      <w:pPr>
        <w:spacing w:after="0" w:line="240" w:lineRule="auto"/>
      </w:pPr>
      <w:r>
        <w:separator/>
      </w:r>
    </w:p>
  </w:footnote>
  <w:footnote w:type="continuationSeparator" w:id="0">
    <w:p w14:paraId="7440353D" w14:textId="77777777" w:rsidR="001963A1" w:rsidRDefault="0019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945EF4F"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3192F">
      <w:rPr>
        <w:rFonts w:ascii="Verdana" w:hAnsi="Verdana"/>
        <w:b/>
        <w:bCs/>
        <w:sz w:val="20"/>
        <w:szCs w:val="20"/>
      </w:rPr>
      <w:t>2.10</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A5D6B"/>
    <w:multiLevelType w:val="hybridMultilevel"/>
    <w:tmpl w:val="59CA2DE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C25698"/>
    <w:multiLevelType w:val="hybridMultilevel"/>
    <w:tmpl w:val="B5D2BC30"/>
    <w:lvl w:ilvl="0" w:tplc="040C0003">
      <w:start w:val="1"/>
      <w:numFmt w:val="bullet"/>
      <w:lvlText w:val="o"/>
      <w:lvlJc w:val="left"/>
      <w:pPr>
        <w:ind w:left="2206" w:hanging="360"/>
      </w:pPr>
      <w:rPr>
        <w:rFonts w:ascii="Courier New" w:hAnsi="Courier New" w:cs="Courier New" w:hint="default"/>
      </w:rPr>
    </w:lvl>
    <w:lvl w:ilvl="1" w:tplc="040C0003" w:tentative="1">
      <w:start w:val="1"/>
      <w:numFmt w:val="bullet"/>
      <w:lvlText w:val="o"/>
      <w:lvlJc w:val="left"/>
      <w:pPr>
        <w:ind w:left="2926" w:hanging="360"/>
      </w:pPr>
      <w:rPr>
        <w:rFonts w:ascii="Courier New" w:hAnsi="Courier New" w:cs="Courier New" w:hint="default"/>
      </w:rPr>
    </w:lvl>
    <w:lvl w:ilvl="2" w:tplc="040C0005" w:tentative="1">
      <w:start w:val="1"/>
      <w:numFmt w:val="bullet"/>
      <w:lvlText w:val=""/>
      <w:lvlJc w:val="left"/>
      <w:pPr>
        <w:ind w:left="3646" w:hanging="360"/>
      </w:pPr>
      <w:rPr>
        <w:rFonts w:ascii="Wingdings" w:hAnsi="Wingdings" w:hint="default"/>
      </w:rPr>
    </w:lvl>
    <w:lvl w:ilvl="3" w:tplc="040C0001" w:tentative="1">
      <w:start w:val="1"/>
      <w:numFmt w:val="bullet"/>
      <w:lvlText w:val=""/>
      <w:lvlJc w:val="left"/>
      <w:pPr>
        <w:ind w:left="4366" w:hanging="360"/>
      </w:pPr>
      <w:rPr>
        <w:rFonts w:ascii="Symbol" w:hAnsi="Symbol" w:hint="default"/>
      </w:rPr>
    </w:lvl>
    <w:lvl w:ilvl="4" w:tplc="040C0003" w:tentative="1">
      <w:start w:val="1"/>
      <w:numFmt w:val="bullet"/>
      <w:lvlText w:val="o"/>
      <w:lvlJc w:val="left"/>
      <w:pPr>
        <w:ind w:left="5086" w:hanging="360"/>
      </w:pPr>
      <w:rPr>
        <w:rFonts w:ascii="Courier New" w:hAnsi="Courier New" w:cs="Courier New" w:hint="default"/>
      </w:rPr>
    </w:lvl>
    <w:lvl w:ilvl="5" w:tplc="040C0005" w:tentative="1">
      <w:start w:val="1"/>
      <w:numFmt w:val="bullet"/>
      <w:lvlText w:val=""/>
      <w:lvlJc w:val="left"/>
      <w:pPr>
        <w:ind w:left="5806" w:hanging="360"/>
      </w:pPr>
      <w:rPr>
        <w:rFonts w:ascii="Wingdings" w:hAnsi="Wingdings" w:hint="default"/>
      </w:rPr>
    </w:lvl>
    <w:lvl w:ilvl="6" w:tplc="040C0001" w:tentative="1">
      <w:start w:val="1"/>
      <w:numFmt w:val="bullet"/>
      <w:lvlText w:val=""/>
      <w:lvlJc w:val="left"/>
      <w:pPr>
        <w:ind w:left="6526" w:hanging="360"/>
      </w:pPr>
      <w:rPr>
        <w:rFonts w:ascii="Symbol" w:hAnsi="Symbol" w:hint="default"/>
      </w:rPr>
    </w:lvl>
    <w:lvl w:ilvl="7" w:tplc="040C0003" w:tentative="1">
      <w:start w:val="1"/>
      <w:numFmt w:val="bullet"/>
      <w:lvlText w:val="o"/>
      <w:lvlJc w:val="left"/>
      <w:pPr>
        <w:ind w:left="7246" w:hanging="360"/>
      </w:pPr>
      <w:rPr>
        <w:rFonts w:ascii="Courier New" w:hAnsi="Courier New" w:cs="Courier New" w:hint="default"/>
      </w:rPr>
    </w:lvl>
    <w:lvl w:ilvl="8" w:tplc="040C0005" w:tentative="1">
      <w:start w:val="1"/>
      <w:numFmt w:val="bullet"/>
      <w:lvlText w:val=""/>
      <w:lvlJc w:val="left"/>
      <w:pPr>
        <w:ind w:left="7966"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B62226"/>
    <w:multiLevelType w:val="hybridMultilevel"/>
    <w:tmpl w:val="89CCED46"/>
    <w:lvl w:ilvl="0" w:tplc="6FFCB418">
      <w:numFmt w:val="bullet"/>
      <w:lvlText w:val="-"/>
      <w:lvlJc w:val="left"/>
      <w:pPr>
        <w:ind w:left="1080" w:hanging="360"/>
      </w:pPr>
      <w:rPr>
        <w:rFonts w:ascii="Verdana" w:eastAsiaTheme="minorHAnsi" w:hAnsi="Verdana"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40F5076"/>
    <w:multiLevelType w:val="hybridMultilevel"/>
    <w:tmpl w:val="E4D0831C"/>
    <w:lvl w:ilvl="0" w:tplc="040C0003">
      <w:start w:val="1"/>
      <w:numFmt w:val="bullet"/>
      <w:lvlText w:val="o"/>
      <w:lvlJc w:val="left"/>
      <w:pPr>
        <w:ind w:left="1486" w:hanging="360"/>
      </w:pPr>
      <w:rPr>
        <w:rFonts w:ascii="Courier New" w:hAnsi="Courier New" w:cs="Courier New"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3" w15:restartNumberingAfterBreak="0">
    <w:nsid w:val="3A70174F"/>
    <w:multiLevelType w:val="hybridMultilevel"/>
    <w:tmpl w:val="BEBC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813016193">
    <w:abstractNumId w:val="9"/>
  </w:num>
  <w:num w:numId="2" w16cid:durableId="867378142">
    <w:abstractNumId w:val="16"/>
  </w:num>
  <w:num w:numId="3" w16cid:durableId="1814787941">
    <w:abstractNumId w:val="5"/>
  </w:num>
  <w:num w:numId="4" w16cid:durableId="843208115">
    <w:abstractNumId w:val="3"/>
  </w:num>
  <w:num w:numId="5" w16cid:durableId="1290819922">
    <w:abstractNumId w:val="15"/>
  </w:num>
  <w:num w:numId="6" w16cid:durableId="266886769">
    <w:abstractNumId w:val="7"/>
  </w:num>
  <w:num w:numId="7" w16cid:durableId="738332907">
    <w:abstractNumId w:val="10"/>
  </w:num>
  <w:num w:numId="8" w16cid:durableId="2083090878">
    <w:abstractNumId w:val="5"/>
    <w:lvlOverride w:ilvl="0">
      <w:startOverride w:val="1"/>
    </w:lvlOverride>
  </w:num>
  <w:num w:numId="9" w16cid:durableId="83111763">
    <w:abstractNumId w:val="4"/>
  </w:num>
  <w:num w:numId="10" w16cid:durableId="789279674">
    <w:abstractNumId w:val="17"/>
  </w:num>
  <w:num w:numId="11" w16cid:durableId="754782576">
    <w:abstractNumId w:val="11"/>
  </w:num>
  <w:num w:numId="12" w16cid:durableId="1535119941">
    <w:abstractNumId w:val="14"/>
  </w:num>
  <w:num w:numId="13" w16cid:durableId="1978947049">
    <w:abstractNumId w:val="6"/>
  </w:num>
  <w:num w:numId="14" w16cid:durableId="2115781881">
    <w:abstractNumId w:val="13"/>
  </w:num>
  <w:num w:numId="15" w16cid:durableId="1985963682">
    <w:abstractNumId w:val="12"/>
  </w:num>
  <w:num w:numId="16" w16cid:durableId="1676302868">
    <w:abstractNumId w:val="1"/>
  </w:num>
  <w:num w:numId="17" w16cid:durableId="1730029884">
    <w:abstractNumId w:val="8"/>
  </w:num>
  <w:num w:numId="18" w16cid:durableId="2055807991">
    <w:abstractNumId w:val="2"/>
  </w:num>
  <w:num w:numId="19" w16cid:durableId="175670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1C6"/>
    <w:rsid w:val="000373B2"/>
    <w:rsid w:val="00042CF5"/>
    <w:rsid w:val="00043BB5"/>
    <w:rsid w:val="00060CA0"/>
    <w:rsid w:val="00063A26"/>
    <w:rsid w:val="0008468B"/>
    <w:rsid w:val="00091A2B"/>
    <w:rsid w:val="000A468A"/>
    <w:rsid w:val="000B0FBD"/>
    <w:rsid w:val="000D1CA2"/>
    <w:rsid w:val="000D6FC1"/>
    <w:rsid w:val="000F4728"/>
    <w:rsid w:val="00107D9D"/>
    <w:rsid w:val="00110325"/>
    <w:rsid w:val="00114842"/>
    <w:rsid w:val="0013192F"/>
    <w:rsid w:val="001606E5"/>
    <w:rsid w:val="0018252D"/>
    <w:rsid w:val="001963A1"/>
    <w:rsid w:val="001A56F1"/>
    <w:rsid w:val="001B4738"/>
    <w:rsid w:val="001D31BB"/>
    <w:rsid w:val="002038B5"/>
    <w:rsid w:val="00214556"/>
    <w:rsid w:val="00222716"/>
    <w:rsid w:val="002A0933"/>
    <w:rsid w:val="002A096E"/>
    <w:rsid w:val="002C56ED"/>
    <w:rsid w:val="0030501E"/>
    <w:rsid w:val="00352044"/>
    <w:rsid w:val="0035675C"/>
    <w:rsid w:val="003604B9"/>
    <w:rsid w:val="003772FB"/>
    <w:rsid w:val="00390D15"/>
    <w:rsid w:val="00391152"/>
    <w:rsid w:val="00397163"/>
    <w:rsid w:val="003C2538"/>
    <w:rsid w:val="003D485F"/>
    <w:rsid w:val="003D5328"/>
    <w:rsid w:val="003E63AE"/>
    <w:rsid w:val="003F7375"/>
    <w:rsid w:val="00403567"/>
    <w:rsid w:val="0041278C"/>
    <w:rsid w:val="00416670"/>
    <w:rsid w:val="00417683"/>
    <w:rsid w:val="00426673"/>
    <w:rsid w:val="0044357F"/>
    <w:rsid w:val="004607F7"/>
    <w:rsid w:val="0046263A"/>
    <w:rsid w:val="0048439D"/>
    <w:rsid w:val="00494060"/>
    <w:rsid w:val="004D7E51"/>
    <w:rsid w:val="004F5C4B"/>
    <w:rsid w:val="00522F9A"/>
    <w:rsid w:val="0053773D"/>
    <w:rsid w:val="00541035"/>
    <w:rsid w:val="00544DF1"/>
    <w:rsid w:val="005665D2"/>
    <w:rsid w:val="0057047B"/>
    <w:rsid w:val="005B655D"/>
    <w:rsid w:val="005E0804"/>
    <w:rsid w:val="005F6C9D"/>
    <w:rsid w:val="006024A7"/>
    <w:rsid w:val="006072AF"/>
    <w:rsid w:val="00620B90"/>
    <w:rsid w:val="00622DEF"/>
    <w:rsid w:val="006356AF"/>
    <w:rsid w:val="006548BF"/>
    <w:rsid w:val="00660504"/>
    <w:rsid w:val="00665516"/>
    <w:rsid w:val="006A1BE7"/>
    <w:rsid w:val="006B5EA1"/>
    <w:rsid w:val="006D6BC6"/>
    <w:rsid w:val="006E2D9E"/>
    <w:rsid w:val="006E51EB"/>
    <w:rsid w:val="00762844"/>
    <w:rsid w:val="007640B4"/>
    <w:rsid w:val="007B245C"/>
    <w:rsid w:val="007C78FC"/>
    <w:rsid w:val="007E1F22"/>
    <w:rsid w:val="00816DAC"/>
    <w:rsid w:val="00823996"/>
    <w:rsid w:val="0083290E"/>
    <w:rsid w:val="008357D8"/>
    <w:rsid w:val="00843FF2"/>
    <w:rsid w:val="008453AB"/>
    <w:rsid w:val="00854EEA"/>
    <w:rsid w:val="008551DA"/>
    <w:rsid w:val="008737B1"/>
    <w:rsid w:val="008C011B"/>
    <w:rsid w:val="008D193F"/>
    <w:rsid w:val="008F173C"/>
    <w:rsid w:val="00921465"/>
    <w:rsid w:val="00927F12"/>
    <w:rsid w:val="00955BB3"/>
    <w:rsid w:val="009A38AD"/>
    <w:rsid w:val="00A148A1"/>
    <w:rsid w:val="00A36C09"/>
    <w:rsid w:val="00A37AAE"/>
    <w:rsid w:val="00A37C9F"/>
    <w:rsid w:val="00A70123"/>
    <w:rsid w:val="00A76B07"/>
    <w:rsid w:val="00A81B98"/>
    <w:rsid w:val="00A90305"/>
    <w:rsid w:val="00A971E5"/>
    <w:rsid w:val="00AA4F7C"/>
    <w:rsid w:val="00AA63A3"/>
    <w:rsid w:val="00AB5EB7"/>
    <w:rsid w:val="00AC7F11"/>
    <w:rsid w:val="00AD4D97"/>
    <w:rsid w:val="00AE2453"/>
    <w:rsid w:val="00B051C3"/>
    <w:rsid w:val="00B05DFC"/>
    <w:rsid w:val="00B31A21"/>
    <w:rsid w:val="00B34E35"/>
    <w:rsid w:val="00B36EEA"/>
    <w:rsid w:val="00B4010B"/>
    <w:rsid w:val="00B65F6B"/>
    <w:rsid w:val="00BA4B55"/>
    <w:rsid w:val="00BC3519"/>
    <w:rsid w:val="00BD7F86"/>
    <w:rsid w:val="00C12C93"/>
    <w:rsid w:val="00C325F5"/>
    <w:rsid w:val="00C457E8"/>
    <w:rsid w:val="00C609B9"/>
    <w:rsid w:val="00C6637A"/>
    <w:rsid w:val="00C80D52"/>
    <w:rsid w:val="00CB0D75"/>
    <w:rsid w:val="00CC2CF5"/>
    <w:rsid w:val="00CD5605"/>
    <w:rsid w:val="00CE2386"/>
    <w:rsid w:val="00CF3E6E"/>
    <w:rsid w:val="00D12F93"/>
    <w:rsid w:val="00D63732"/>
    <w:rsid w:val="00DF5C9B"/>
    <w:rsid w:val="00E32408"/>
    <w:rsid w:val="00E3675B"/>
    <w:rsid w:val="00E37E65"/>
    <w:rsid w:val="00E40055"/>
    <w:rsid w:val="00E571CB"/>
    <w:rsid w:val="00E64668"/>
    <w:rsid w:val="00E845D4"/>
    <w:rsid w:val="00E9349A"/>
    <w:rsid w:val="00E97E5B"/>
    <w:rsid w:val="00EC22CC"/>
    <w:rsid w:val="00ED5FAE"/>
    <w:rsid w:val="00ED6B69"/>
    <w:rsid w:val="00EE34F4"/>
    <w:rsid w:val="00EF22A4"/>
    <w:rsid w:val="00F17176"/>
    <w:rsid w:val="00F2147A"/>
    <w:rsid w:val="00F54EA0"/>
    <w:rsid w:val="00F96EE9"/>
    <w:rsid w:val="00FB2F47"/>
    <w:rsid w:val="00FE285D"/>
    <w:rsid w:val="00FF0908"/>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Default">
    <w:name w:val="Default"/>
    <w:rsid w:val="00FB2F4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1313</Words>
  <Characters>7226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27</cp:revision>
  <dcterms:created xsi:type="dcterms:W3CDTF">2023-03-31T13:30:00Z</dcterms:created>
  <dcterms:modified xsi:type="dcterms:W3CDTF">2023-04-10T15:26:00Z</dcterms:modified>
</cp:coreProperties>
</file>