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16EC19B9" w:rsidR="00EC22CC" w:rsidRDefault="00B133B6" w:rsidP="00854EEA">
            <w:pPr>
              <w:jc w:val="center"/>
              <w:rPr>
                <w:rFonts w:ascii="Verdana" w:hAnsi="Verdana"/>
                <w:b/>
                <w:bCs/>
                <w:sz w:val="20"/>
                <w:szCs w:val="20"/>
              </w:rPr>
            </w:pPr>
            <w:r>
              <w:rPr>
                <w:rFonts w:ascii="Verdana" w:hAnsi="Verdana"/>
                <w:b/>
                <w:bCs/>
              </w:rPr>
              <w:t>Projet Gouvernance, Paix, Stabilité (GPS)</w:t>
            </w:r>
          </w:p>
        </w:tc>
      </w:tr>
      <w:tr w:rsidR="00EC22CC" w14:paraId="7F1B63D2" w14:textId="77777777" w:rsidTr="002A0933">
        <w:tc>
          <w:tcPr>
            <w:tcW w:w="7225" w:type="dxa"/>
          </w:tcPr>
          <w:p w14:paraId="056D9B10" w14:textId="44892B40" w:rsidR="00EC22CC" w:rsidRPr="002A096E" w:rsidRDefault="003062E8" w:rsidP="002A096E">
            <w:pPr>
              <w:rPr>
                <w:rFonts w:ascii="Verdana" w:hAnsi="Verdana"/>
                <w:sz w:val="20"/>
                <w:szCs w:val="20"/>
              </w:rPr>
            </w:pPr>
            <w:r>
              <w:rPr>
                <w:rFonts w:ascii="Verdana" w:hAnsi="Verdana"/>
                <w:sz w:val="20"/>
                <w:szCs w:val="20"/>
              </w:rPr>
              <w:t>COPL 01/2023 du 26-27 avril 2023</w:t>
            </w:r>
          </w:p>
        </w:tc>
        <w:tc>
          <w:tcPr>
            <w:tcW w:w="1837" w:type="dxa"/>
          </w:tcPr>
          <w:p w14:paraId="58E25D1F" w14:textId="251DBC97"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3062E8">
              <w:rPr>
                <w:rFonts w:ascii="Verdana" w:hAnsi="Verdana"/>
                <w:sz w:val="20"/>
                <w:szCs w:val="20"/>
              </w:rPr>
              <w:t>2.1.</w:t>
            </w:r>
          </w:p>
        </w:tc>
      </w:tr>
      <w:tr w:rsidR="00EC22CC" w:rsidRPr="003E306E" w14:paraId="537D1DE5" w14:textId="77777777" w:rsidTr="002A0933">
        <w:tc>
          <w:tcPr>
            <w:tcW w:w="7225" w:type="dxa"/>
          </w:tcPr>
          <w:p w14:paraId="43DEF09E" w14:textId="13B0B5DA" w:rsidR="00EC22CC" w:rsidRPr="00A37C9F" w:rsidRDefault="00A148A1" w:rsidP="00B133B6">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B133B6" w:rsidRPr="003E306E">
              <w:rPr>
                <w:rFonts w:ascii="Verdana" w:hAnsi="Verdana"/>
                <w:sz w:val="20"/>
                <w:szCs w:val="20"/>
              </w:rPr>
              <w:t>Marc Maminiaina, chargé</w:t>
            </w:r>
            <w:r w:rsidR="00B133B6">
              <w:rPr>
                <w:rFonts w:ascii="Verdana" w:hAnsi="Verdana"/>
                <w:sz w:val="20"/>
                <w:szCs w:val="20"/>
              </w:rPr>
              <w:t xml:space="preserve"> de mission DI 3</w:t>
            </w:r>
          </w:p>
        </w:tc>
        <w:tc>
          <w:tcPr>
            <w:tcW w:w="1837" w:type="dxa"/>
          </w:tcPr>
          <w:p w14:paraId="5AC1AFAB" w14:textId="2A9C167D" w:rsidR="00EC22CC" w:rsidRPr="003E306E" w:rsidRDefault="004607F7" w:rsidP="00854EEA">
            <w:pPr>
              <w:jc w:val="center"/>
              <w:rPr>
                <w:rFonts w:ascii="Verdana" w:hAnsi="Verdana"/>
                <w:sz w:val="20"/>
                <w:szCs w:val="20"/>
              </w:rPr>
            </w:pPr>
            <w:r w:rsidRPr="003E306E">
              <w:rPr>
                <w:rFonts w:ascii="Verdana" w:hAnsi="Verdana"/>
                <w:sz w:val="20"/>
                <w:szCs w:val="20"/>
              </w:rPr>
              <w:t xml:space="preserve">Décision </w:t>
            </w:r>
          </w:p>
        </w:tc>
      </w:tr>
      <w:tr w:rsidR="00A90305" w14:paraId="6896DB30" w14:textId="77777777" w:rsidTr="009F5233">
        <w:tc>
          <w:tcPr>
            <w:tcW w:w="9062" w:type="dxa"/>
            <w:gridSpan w:val="2"/>
          </w:tcPr>
          <w:p w14:paraId="0495241B" w14:textId="6E444CFC" w:rsidR="00A90305" w:rsidRDefault="00A90305" w:rsidP="00B133B6">
            <w:pPr>
              <w:rPr>
                <w:rFonts w:ascii="Verdana" w:hAnsi="Verdana"/>
                <w:sz w:val="20"/>
                <w:szCs w:val="20"/>
              </w:rPr>
            </w:pPr>
            <w:r>
              <w:rPr>
                <w:rFonts w:ascii="Verdana" w:hAnsi="Verdana"/>
                <w:i/>
                <w:iCs/>
                <w:sz w:val="20"/>
                <w:szCs w:val="20"/>
              </w:rPr>
              <w:t xml:space="preserve">Version du </w:t>
            </w:r>
            <w:r w:rsidR="00BE259C">
              <w:rPr>
                <w:rFonts w:ascii="Verdana" w:hAnsi="Verdana"/>
                <w:i/>
                <w:iCs/>
                <w:sz w:val="20"/>
                <w:szCs w:val="20"/>
              </w:rPr>
              <w:t>31</w:t>
            </w:r>
            <w:r w:rsidR="00B133B6">
              <w:rPr>
                <w:rFonts w:ascii="Verdana" w:hAnsi="Verdana"/>
                <w:i/>
                <w:iCs/>
                <w:sz w:val="20"/>
                <w:szCs w:val="20"/>
              </w:rPr>
              <w:t xml:space="preserve"> </w:t>
            </w:r>
            <w:r w:rsidR="00BE259C">
              <w:rPr>
                <w:rFonts w:ascii="Verdana" w:hAnsi="Verdana"/>
                <w:i/>
                <w:iCs/>
                <w:sz w:val="20"/>
                <w:szCs w:val="20"/>
              </w:rPr>
              <w:t>mars</w:t>
            </w:r>
            <w:r w:rsidR="00B133B6">
              <w:rPr>
                <w:rFonts w:ascii="Verdana" w:hAnsi="Verdana"/>
                <w:i/>
                <w:iCs/>
                <w:sz w:val="20"/>
                <w:szCs w:val="20"/>
              </w:rPr>
              <w:t xml:space="preserve"> 2023</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21091756" w14:textId="3F607BBB" w:rsidR="00B133B6" w:rsidRDefault="00B133B6" w:rsidP="003C5B8F">
      <w:pPr>
        <w:jc w:val="both"/>
        <w:rPr>
          <w:rFonts w:ascii="Verdana" w:hAnsi="Verdana" w:cstheme="minorHAnsi"/>
          <w:sz w:val="20"/>
          <w:szCs w:val="20"/>
        </w:rPr>
      </w:pPr>
      <w:r w:rsidRPr="00B133B6">
        <w:rPr>
          <w:rFonts w:ascii="Verdana" w:hAnsi="Verdana" w:cs="Arial"/>
          <w:sz w:val="20"/>
          <w:szCs w:val="20"/>
          <w:lang w:val="fr-BE"/>
        </w:rPr>
        <w:t>La mise en œuvre du projet « Gouvernance, paix et stabilité » fait suite à la signature d’une</w:t>
      </w:r>
      <w:r w:rsidRPr="00B133B6">
        <w:rPr>
          <w:rFonts w:ascii="Verdana" w:hAnsi="Verdana" w:cs="Arial"/>
          <w:iCs/>
          <w:sz w:val="20"/>
          <w:szCs w:val="20"/>
        </w:rPr>
        <w:t xml:space="preserve"> Convention de Financement entre la COI et l’Agence </w:t>
      </w:r>
      <w:r w:rsidR="00D86D40">
        <w:rPr>
          <w:rFonts w:ascii="Verdana" w:hAnsi="Verdana" w:cs="Arial"/>
          <w:iCs/>
          <w:sz w:val="20"/>
          <w:szCs w:val="20"/>
        </w:rPr>
        <w:t>f</w:t>
      </w:r>
      <w:r w:rsidRPr="00B133B6">
        <w:rPr>
          <w:rFonts w:ascii="Verdana" w:hAnsi="Verdana" w:cs="Arial"/>
          <w:iCs/>
          <w:sz w:val="20"/>
          <w:szCs w:val="20"/>
        </w:rPr>
        <w:t xml:space="preserve">rançaise de </w:t>
      </w:r>
      <w:r w:rsidR="00D86D40">
        <w:rPr>
          <w:rFonts w:ascii="Verdana" w:hAnsi="Verdana" w:cs="Arial"/>
          <w:iCs/>
          <w:sz w:val="20"/>
          <w:szCs w:val="20"/>
        </w:rPr>
        <w:t>d</w:t>
      </w:r>
      <w:r w:rsidRPr="00B133B6">
        <w:rPr>
          <w:rFonts w:ascii="Verdana" w:hAnsi="Verdana" w:cs="Arial"/>
          <w:iCs/>
          <w:sz w:val="20"/>
          <w:szCs w:val="20"/>
        </w:rPr>
        <w:t>éveloppement (AFD) le 3 février 2021</w:t>
      </w:r>
      <w:r w:rsidR="003C5B8F">
        <w:rPr>
          <w:rFonts w:ascii="Verdana" w:hAnsi="Verdana" w:cs="Arial"/>
          <w:iCs/>
          <w:sz w:val="20"/>
          <w:szCs w:val="20"/>
        </w:rPr>
        <w:t xml:space="preserve"> d’un </w:t>
      </w:r>
      <w:r w:rsidRPr="00B133B6">
        <w:rPr>
          <w:rFonts w:ascii="Verdana" w:hAnsi="Verdana" w:cstheme="minorHAnsi"/>
          <w:sz w:val="20"/>
          <w:szCs w:val="20"/>
        </w:rPr>
        <w:t>montant de huit millions d’euros (8.000.000 €) pour une période de 54 mois.</w:t>
      </w:r>
      <w:r w:rsidR="003C5B8F">
        <w:rPr>
          <w:rFonts w:ascii="Verdana" w:hAnsi="Verdana" w:cstheme="minorHAnsi"/>
          <w:sz w:val="20"/>
          <w:szCs w:val="20"/>
        </w:rPr>
        <w:t xml:space="preserve"> </w:t>
      </w:r>
      <w:r w:rsidRPr="00B133B6">
        <w:rPr>
          <w:rFonts w:ascii="Verdana" w:hAnsi="Verdana" w:cstheme="minorHAnsi"/>
          <w:sz w:val="20"/>
          <w:szCs w:val="20"/>
        </w:rPr>
        <w:t>Le démarrage effectif du projet a débuté avec la signature du contrat d</w:t>
      </w:r>
      <w:r w:rsidR="00D323F1" w:rsidRPr="00D323F1">
        <w:rPr>
          <w:rFonts w:ascii="Verdana" w:hAnsi="Verdana" w:cstheme="minorHAnsi"/>
          <w:sz w:val="20"/>
          <w:szCs w:val="20"/>
        </w:rPr>
        <w:t>’</w:t>
      </w:r>
      <w:r w:rsidRPr="00B133B6">
        <w:rPr>
          <w:rFonts w:ascii="Verdana" w:hAnsi="Verdana" w:cstheme="minorHAnsi"/>
          <w:sz w:val="20"/>
          <w:szCs w:val="20"/>
        </w:rPr>
        <w:t>assistance technique, assurée par le Groupement ECES-CFI, le 1</w:t>
      </w:r>
      <w:r w:rsidRPr="00B133B6">
        <w:rPr>
          <w:rFonts w:ascii="Verdana" w:hAnsi="Verdana" w:cstheme="minorHAnsi"/>
          <w:sz w:val="20"/>
          <w:szCs w:val="20"/>
          <w:vertAlign w:val="superscript"/>
        </w:rPr>
        <w:t>er</w:t>
      </w:r>
      <w:r w:rsidRPr="00B133B6">
        <w:rPr>
          <w:rFonts w:ascii="Verdana" w:hAnsi="Verdana" w:cstheme="minorHAnsi"/>
          <w:sz w:val="20"/>
          <w:szCs w:val="20"/>
        </w:rPr>
        <w:t xml:space="preserve"> février 2022.</w:t>
      </w:r>
    </w:p>
    <w:p w14:paraId="49EC6EF1" w14:textId="0A5FD580" w:rsidR="00B133B6" w:rsidRPr="00B133B6" w:rsidRDefault="00D9010E" w:rsidP="00B133B6">
      <w:pPr>
        <w:suppressAutoHyphens/>
        <w:autoSpaceDN w:val="0"/>
        <w:spacing w:line="240" w:lineRule="auto"/>
        <w:jc w:val="both"/>
        <w:textAlignment w:val="baseline"/>
        <w:rPr>
          <w:rFonts w:ascii="Verdana" w:hAnsi="Verdana"/>
          <w:sz w:val="20"/>
          <w:szCs w:val="20"/>
        </w:rPr>
      </w:pPr>
      <w:r>
        <w:rPr>
          <w:rFonts w:ascii="Verdana" w:hAnsi="Verdana"/>
          <w:sz w:val="20"/>
          <w:szCs w:val="20"/>
        </w:rPr>
        <w:t xml:space="preserve">La première année </w:t>
      </w:r>
      <w:r w:rsidR="00AD2D69">
        <w:rPr>
          <w:rFonts w:ascii="Verdana" w:hAnsi="Verdana"/>
          <w:sz w:val="20"/>
          <w:szCs w:val="20"/>
        </w:rPr>
        <w:t>d</w:t>
      </w:r>
      <w:r>
        <w:rPr>
          <w:rFonts w:ascii="Verdana" w:hAnsi="Verdana"/>
          <w:sz w:val="20"/>
          <w:szCs w:val="20"/>
        </w:rPr>
        <w:t xml:space="preserve">’exécution des </w:t>
      </w:r>
      <w:r w:rsidR="00B133B6" w:rsidRPr="00B133B6">
        <w:rPr>
          <w:rFonts w:ascii="Verdana" w:hAnsi="Verdana"/>
          <w:sz w:val="20"/>
          <w:szCs w:val="20"/>
        </w:rPr>
        <w:t>activités</w:t>
      </w:r>
      <w:r>
        <w:rPr>
          <w:rFonts w:ascii="Verdana" w:hAnsi="Verdana"/>
          <w:sz w:val="20"/>
          <w:szCs w:val="20"/>
        </w:rPr>
        <w:t xml:space="preserve"> </w:t>
      </w:r>
      <w:r w:rsidR="00AD2D69">
        <w:rPr>
          <w:rFonts w:ascii="Verdana" w:hAnsi="Verdana"/>
          <w:sz w:val="20"/>
          <w:szCs w:val="20"/>
        </w:rPr>
        <w:t>a permis</w:t>
      </w:r>
      <w:r w:rsidR="00560CFC">
        <w:rPr>
          <w:rFonts w:ascii="Verdana" w:hAnsi="Verdana"/>
          <w:sz w:val="20"/>
          <w:szCs w:val="20"/>
        </w:rPr>
        <w:t xml:space="preserve"> </w:t>
      </w:r>
      <w:r>
        <w:rPr>
          <w:rFonts w:ascii="Verdana" w:hAnsi="Verdana"/>
          <w:sz w:val="20"/>
          <w:szCs w:val="20"/>
        </w:rPr>
        <w:t xml:space="preserve">la </w:t>
      </w:r>
      <w:r w:rsidR="00B133B6" w:rsidRPr="00B133B6">
        <w:rPr>
          <w:rFonts w:ascii="Verdana" w:hAnsi="Verdana"/>
          <w:sz w:val="20"/>
          <w:szCs w:val="20"/>
        </w:rPr>
        <w:t>cré</w:t>
      </w:r>
      <w:r>
        <w:rPr>
          <w:rFonts w:ascii="Verdana" w:hAnsi="Verdana"/>
          <w:sz w:val="20"/>
          <w:szCs w:val="20"/>
        </w:rPr>
        <w:t xml:space="preserve">ation </w:t>
      </w:r>
      <w:r w:rsidR="00B133B6" w:rsidRPr="00B133B6">
        <w:rPr>
          <w:rFonts w:ascii="Verdana" w:hAnsi="Verdana"/>
          <w:sz w:val="20"/>
          <w:szCs w:val="20"/>
        </w:rPr>
        <w:t>des espaces</w:t>
      </w:r>
      <w:r w:rsidR="000C28A4">
        <w:rPr>
          <w:rFonts w:ascii="Verdana" w:hAnsi="Verdana"/>
          <w:sz w:val="20"/>
          <w:szCs w:val="20"/>
        </w:rPr>
        <w:t xml:space="preserve"> structurés </w:t>
      </w:r>
      <w:r>
        <w:rPr>
          <w:rFonts w:ascii="Verdana" w:hAnsi="Verdana"/>
          <w:sz w:val="20"/>
          <w:szCs w:val="20"/>
        </w:rPr>
        <w:t>d’</w:t>
      </w:r>
      <w:r w:rsidR="00AD2D69">
        <w:rPr>
          <w:rFonts w:ascii="Verdana" w:hAnsi="Verdana"/>
          <w:sz w:val="20"/>
          <w:szCs w:val="20"/>
        </w:rPr>
        <w:t>échanges</w:t>
      </w:r>
      <w:r>
        <w:rPr>
          <w:rFonts w:ascii="Verdana" w:hAnsi="Verdana"/>
          <w:sz w:val="20"/>
          <w:szCs w:val="20"/>
        </w:rPr>
        <w:t xml:space="preserve"> </w:t>
      </w:r>
      <w:r w:rsidR="00AD2D69">
        <w:rPr>
          <w:rFonts w:ascii="Verdana" w:hAnsi="Verdana"/>
          <w:sz w:val="20"/>
          <w:szCs w:val="20"/>
        </w:rPr>
        <w:t xml:space="preserve">entre </w:t>
      </w:r>
      <w:r w:rsidR="00B133B6" w:rsidRPr="00B133B6">
        <w:rPr>
          <w:rFonts w:ascii="Verdana" w:hAnsi="Verdana"/>
          <w:sz w:val="20"/>
          <w:szCs w:val="20"/>
        </w:rPr>
        <w:t xml:space="preserve">les acteurs </w:t>
      </w:r>
      <w:r>
        <w:rPr>
          <w:rFonts w:ascii="Verdana" w:hAnsi="Verdana"/>
          <w:sz w:val="20"/>
          <w:szCs w:val="20"/>
        </w:rPr>
        <w:t>et bénéficiaires du projet</w:t>
      </w:r>
      <w:r w:rsidR="00AD2D69">
        <w:rPr>
          <w:rFonts w:ascii="Verdana" w:hAnsi="Verdana"/>
          <w:sz w:val="20"/>
          <w:szCs w:val="20"/>
        </w:rPr>
        <w:t xml:space="preserve"> </w:t>
      </w:r>
      <w:r w:rsidR="00B133B6" w:rsidRPr="00B133B6">
        <w:rPr>
          <w:rFonts w:ascii="Verdana" w:hAnsi="Verdana"/>
          <w:sz w:val="20"/>
          <w:szCs w:val="20"/>
        </w:rPr>
        <w:t xml:space="preserve">afin de contribuer à la formulation des besoins précis et de s’assurer que le projet réponde à leurs </w:t>
      </w:r>
      <w:r w:rsidR="00AD2D69">
        <w:rPr>
          <w:rFonts w:ascii="Verdana" w:hAnsi="Verdana"/>
          <w:sz w:val="20"/>
          <w:szCs w:val="20"/>
        </w:rPr>
        <w:t>priorités</w:t>
      </w:r>
      <w:r w:rsidR="00560CFC">
        <w:rPr>
          <w:rFonts w:ascii="Verdana" w:hAnsi="Verdana"/>
          <w:sz w:val="20"/>
          <w:szCs w:val="20"/>
        </w:rPr>
        <w:t xml:space="preserve"> </w:t>
      </w:r>
      <w:r w:rsidR="00D86D40">
        <w:rPr>
          <w:rFonts w:ascii="Verdana" w:hAnsi="Verdana"/>
          <w:sz w:val="20"/>
          <w:szCs w:val="20"/>
        </w:rPr>
        <w:t>tout en veillant à une bonne appropriation des activités et de la logique d’intervention du projet par les acteurs.</w:t>
      </w:r>
    </w:p>
    <w:p w14:paraId="68009DDB" w14:textId="73C3C24B" w:rsidR="0008468B" w:rsidRPr="0008468B" w:rsidRDefault="00D323F1" w:rsidP="00A70123">
      <w:pPr>
        <w:pStyle w:val="Titrepartie"/>
      </w:pPr>
      <w:r w:rsidRPr="0008468B">
        <w:t>État</w:t>
      </w:r>
      <w:r w:rsidR="00955BB3" w:rsidRPr="0008468B">
        <w:t xml:space="preserve"> d’avancement</w:t>
      </w:r>
    </w:p>
    <w:p w14:paraId="7D8926BE" w14:textId="7F659E4F" w:rsidR="00350CD0" w:rsidRPr="00605105" w:rsidRDefault="00BB5580" w:rsidP="00605105">
      <w:pPr>
        <w:pStyle w:val="Paragraphedeliste"/>
        <w:numPr>
          <w:ilvl w:val="0"/>
          <w:numId w:val="17"/>
        </w:numPr>
        <w:jc w:val="both"/>
        <w:rPr>
          <w:rFonts w:ascii="Verdana" w:hAnsi="Verdana"/>
          <w:b/>
          <w:sz w:val="20"/>
          <w:szCs w:val="20"/>
        </w:rPr>
      </w:pPr>
      <w:r w:rsidRPr="00605105">
        <w:rPr>
          <w:rFonts w:ascii="Verdana" w:hAnsi="Verdana"/>
          <w:b/>
          <w:sz w:val="20"/>
          <w:szCs w:val="20"/>
        </w:rPr>
        <w:t>L</w:t>
      </w:r>
      <w:r w:rsidR="000C28A4" w:rsidRPr="00605105">
        <w:rPr>
          <w:rFonts w:ascii="Verdana" w:hAnsi="Verdana"/>
          <w:b/>
          <w:sz w:val="20"/>
          <w:szCs w:val="20"/>
        </w:rPr>
        <w:t>es r</w:t>
      </w:r>
      <w:r w:rsidR="00350CD0" w:rsidRPr="00605105">
        <w:rPr>
          <w:rFonts w:ascii="Verdana" w:hAnsi="Verdana"/>
          <w:b/>
          <w:sz w:val="20"/>
          <w:szCs w:val="20"/>
        </w:rPr>
        <w:t>éalisations lors de la première année de mise en œuvre</w:t>
      </w:r>
      <w:r w:rsidR="000C28A4" w:rsidRPr="00605105">
        <w:rPr>
          <w:rFonts w:ascii="Verdana" w:hAnsi="Verdana"/>
          <w:b/>
          <w:sz w:val="20"/>
          <w:szCs w:val="20"/>
        </w:rPr>
        <w:t xml:space="preserve"> sont les suivantes : </w:t>
      </w:r>
    </w:p>
    <w:p w14:paraId="11A04FD4" w14:textId="77777777" w:rsidR="00350CD0" w:rsidRDefault="00350CD0" w:rsidP="00350CD0">
      <w:pPr>
        <w:pStyle w:val="Paragraphedeliste"/>
        <w:numPr>
          <w:ilvl w:val="0"/>
          <w:numId w:val="10"/>
        </w:numPr>
        <w:autoSpaceDN w:val="0"/>
        <w:spacing w:after="0" w:line="240" w:lineRule="auto"/>
        <w:contextualSpacing w:val="0"/>
        <w:jc w:val="both"/>
        <w:textAlignment w:val="baseline"/>
        <w:rPr>
          <w:rFonts w:ascii="Verdana" w:hAnsi="Verdana"/>
          <w:sz w:val="20"/>
          <w:szCs w:val="20"/>
        </w:rPr>
      </w:pPr>
      <w:r w:rsidRPr="00CC35CC">
        <w:rPr>
          <w:rFonts w:ascii="Verdana" w:hAnsi="Verdana"/>
          <w:sz w:val="20"/>
          <w:szCs w:val="20"/>
        </w:rPr>
        <w:t>La mise en place des structures de gestion du projet :</w:t>
      </w:r>
    </w:p>
    <w:p w14:paraId="37D3DD2E" w14:textId="77777777" w:rsidR="001160FF" w:rsidRDefault="00350CD0" w:rsidP="001160FF">
      <w:pPr>
        <w:pStyle w:val="Paragraphedeliste"/>
        <w:numPr>
          <w:ilvl w:val="1"/>
          <w:numId w:val="10"/>
        </w:numPr>
        <w:autoSpaceDN w:val="0"/>
        <w:spacing w:after="0" w:line="240" w:lineRule="auto"/>
        <w:contextualSpacing w:val="0"/>
        <w:jc w:val="both"/>
        <w:textAlignment w:val="baseline"/>
        <w:rPr>
          <w:rFonts w:ascii="Verdana" w:hAnsi="Verdana"/>
          <w:sz w:val="20"/>
          <w:szCs w:val="20"/>
        </w:rPr>
      </w:pPr>
      <w:r w:rsidRPr="00CC35CC">
        <w:rPr>
          <w:rFonts w:ascii="Verdana" w:hAnsi="Verdana"/>
          <w:sz w:val="20"/>
          <w:szCs w:val="20"/>
        </w:rPr>
        <w:t>L’unité de gestion (UGP) : contractualisation de l’assistance technique internationale, recrutement du personnel d’appui, installation du bureau</w:t>
      </w:r>
      <w:r w:rsidR="001160FF">
        <w:rPr>
          <w:rFonts w:ascii="Verdana" w:hAnsi="Verdana"/>
          <w:sz w:val="20"/>
          <w:szCs w:val="20"/>
        </w:rPr>
        <w:t>.</w:t>
      </w:r>
    </w:p>
    <w:p w14:paraId="359BDA35" w14:textId="17CB646A" w:rsidR="00350CD0" w:rsidRPr="001160FF" w:rsidRDefault="00350CD0" w:rsidP="001160FF">
      <w:pPr>
        <w:pStyle w:val="Paragraphedeliste"/>
        <w:numPr>
          <w:ilvl w:val="1"/>
          <w:numId w:val="10"/>
        </w:numPr>
        <w:autoSpaceDN w:val="0"/>
        <w:spacing w:after="0" w:line="240" w:lineRule="auto"/>
        <w:contextualSpacing w:val="0"/>
        <w:jc w:val="both"/>
        <w:textAlignment w:val="baseline"/>
        <w:rPr>
          <w:rFonts w:ascii="Verdana" w:hAnsi="Verdana"/>
          <w:sz w:val="20"/>
          <w:szCs w:val="20"/>
        </w:rPr>
      </w:pPr>
      <w:r w:rsidRPr="001160FF">
        <w:rPr>
          <w:rFonts w:ascii="Verdana" w:hAnsi="Verdana"/>
          <w:sz w:val="20"/>
          <w:szCs w:val="20"/>
        </w:rPr>
        <w:t xml:space="preserve">Le comité de suivi (comité interne au </w:t>
      </w:r>
      <w:r w:rsidR="001160FF" w:rsidRPr="001160FF">
        <w:rPr>
          <w:rFonts w:ascii="Verdana" w:hAnsi="Verdana"/>
          <w:sz w:val="20"/>
          <w:szCs w:val="20"/>
        </w:rPr>
        <w:t>S</w:t>
      </w:r>
      <w:r w:rsidR="001160FF">
        <w:rPr>
          <w:rFonts w:ascii="Verdana" w:hAnsi="Verdana"/>
          <w:sz w:val="20"/>
          <w:szCs w:val="20"/>
        </w:rPr>
        <w:t xml:space="preserve">ecrétariat </w:t>
      </w:r>
      <w:r w:rsidR="004B2598">
        <w:rPr>
          <w:rFonts w:ascii="Verdana" w:hAnsi="Verdana"/>
          <w:sz w:val="20"/>
          <w:szCs w:val="20"/>
        </w:rPr>
        <w:t>g</w:t>
      </w:r>
      <w:r w:rsidR="001160FF">
        <w:rPr>
          <w:rFonts w:ascii="Verdana" w:hAnsi="Verdana"/>
          <w:sz w:val="20"/>
          <w:szCs w:val="20"/>
        </w:rPr>
        <w:t xml:space="preserve">énéral </w:t>
      </w:r>
      <w:r w:rsidRPr="001160FF">
        <w:rPr>
          <w:rFonts w:ascii="Verdana" w:hAnsi="Verdana"/>
          <w:sz w:val="20"/>
          <w:szCs w:val="20"/>
        </w:rPr>
        <w:t>de la COI en charge du suivi opérationnel du projet)</w:t>
      </w:r>
    </w:p>
    <w:p w14:paraId="51CEB8E5" w14:textId="25AE406E" w:rsidR="00350CD0" w:rsidRPr="00560CFC" w:rsidRDefault="00350CD0" w:rsidP="00560CFC">
      <w:pPr>
        <w:pStyle w:val="Paragraphedeliste"/>
        <w:numPr>
          <w:ilvl w:val="0"/>
          <w:numId w:val="10"/>
        </w:numPr>
        <w:autoSpaceDN w:val="0"/>
        <w:spacing w:after="0" w:line="240" w:lineRule="auto"/>
        <w:contextualSpacing w:val="0"/>
        <w:jc w:val="both"/>
        <w:textAlignment w:val="baseline"/>
        <w:rPr>
          <w:rFonts w:ascii="Verdana" w:hAnsi="Verdana"/>
          <w:sz w:val="20"/>
          <w:szCs w:val="20"/>
        </w:rPr>
      </w:pPr>
      <w:r w:rsidRPr="00CC35CC">
        <w:rPr>
          <w:rFonts w:ascii="Verdana" w:hAnsi="Verdana"/>
          <w:sz w:val="20"/>
          <w:szCs w:val="20"/>
        </w:rPr>
        <w:t xml:space="preserve">La mise en place des structures de gouvernance :  le comité de pilotage, composé de 3 représentants par </w:t>
      </w:r>
      <w:r w:rsidR="0049566A" w:rsidRPr="00CC35CC">
        <w:rPr>
          <w:rFonts w:ascii="Verdana" w:hAnsi="Verdana"/>
          <w:sz w:val="20"/>
          <w:szCs w:val="20"/>
        </w:rPr>
        <w:t>É</w:t>
      </w:r>
      <w:r w:rsidR="0049566A">
        <w:rPr>
          <w:rFonts w:ascii="Verdana" w:hAnsi="Verdana"/>
          <w:sz w:val="20"/>
          <w:szCs w:val="20"/>
        </w:rPr>
        <w:t xml:space="preserve">tat </w:t>
      </w:r>
      <w:r w:rsidR="004B2598">
        <w:rPr>
          <w:rFonts w:ascii="Verdana" w:hAnsi="Verdana"/>
          <w:sz w:val="20"/>
          <w:szCs w:val="20"/>
        </w:rPr>
        <w:t>m</w:t>
      </w:r>
      <w:r w:rsidR="0049566A">
        <w:rPr>
          <w:rFonts w:ascii="Verdana" w:hAnsi="Verdana"/>
          <w:sz w:val="20"/>
          <w:szCs w:val="20"/>
        </w:rPr>
        <w:t>e</w:t>
      </w:r>
      <w:r w:rsidR="0049566A" w:rsidRPr="0049566A">
        <w:rPr>
          <w:rFonts w:ascii="Verdana" w:hAnsi="Verdana"/>
          <w:sz w:val="20"/>
          <w:szCs w:val="20"/>
        </w:rPr>
        <w:t>m</w:t>
      </w:r>
      <w:r w:rsidR="0049566A">
        <w:rPr>
          <w:rFonts w:ascii="Verdana" w:hAnsi="Verdana"/>
          <w:sz w:val="20"/>
          <w:szCs w:val="20"/>
        </w:rPr>
        <w:t>bre</w:t>
      </w:r>
      <w:r w:rsidRPr="00CC35CC">
        <w:rPr>
          <w:rFonts w:ascii="Verdana" w:hAnsi="Verdana"/>
          <w:sz w:val="20"/>
          <w:szCs w:val="20"/>
        </w:rPr>
        <w:t xml:space="preserve"> issus des domaines d’intervention du projet.</w:t>
      </w:r>
      <w:r w:rsidR="00560CFC">
        <w:rPr>
          <w:rFonts w:ascii="Verdana" w:hAnsi="Verdana"/>
          <w:sz w:val="20"/>
          <w:szCs w:val="20"/>
        </w:rPr>
        <w:t xml:space="preserve"> </w:t>
      </w:r>
      <w:r w:rsidRPr="00CC35CC">
        <w:rPr>
          <w:rFonts w:ascii="Verdana" w:hAnsi="Verdana"/>
          <w:sz w:val="20"/>
          <w:szCs w:val="20"/>
        </w:rPr>
        <w:t>Les OPL sont observateurs dans le COPIL.</w:t>
      </w:r>
      <w:r w:rsidRPr="00CC35CC">
        <w:rPr>
          <w:rFonts w:ascii="Verdana" w:hAnsi="Verdana"/>
          <w:sz w:val="20"/>
          <w:szCs w:val="20"/>
        </w:rPr>
        <w:tab/>
      </w:r>
      <w:r w:rsidR="00560CFC">
        <w:rPr>
          <w:rFonts w:ascii="Verdana" w:hAnsi="Verdana"/>
          <w:sz w:val="20"/>
          <w:szCs w:val="20"/>
        </w:rPr>
        <w:t xml:space="preserve"> Deux réunions de COPIL ont été organisées respectivement les </w:t>
      </w:r>
      <w:r w:rsidRPr="00560CFC">
        <w:rPr>
          <w:rFonts w:ascii="Verdana" w:hAnsi="Verdana"/>
          <w:sz w:val="20"/>
          <w:szCs w:val="20"/>
        </w:rPr>
        <w:t>31 mai</w:t>
      </w:r>
      <w:r w:rsidR="00D323F1">
        <w:rPr>
          <w:rFonts w:ascii="Verdana" w:hAnsi="Verdana"/>
          <w:sz w:val="20"/>
          <w:szCs w:val="20"/>
        </w:rPr>
        <w:t xml:space="preserve"> et </w:t>
      </w:r>
      <w:r w:rsidRPr="00560CFC">
        <w:rPr>
          <w:rFonts w:ascii="Verdana" w:hAnsi="Verdana"/>
          <w:sz w:val="20"/>
          <w:szCs w:val="20"/>
        </w:rPr>
        <w:t>1 juin</w:t>
      </w:r>
      <w:r w:rsidR="00560CFC">
        <w:rPr>
          <w:rFonts w:ascii="Verdana" w:hAnsi="Verdana"/>
          <w:sz w:val="20"/>
          <w:szCs w:val="20"/>
        </w:rPr>
        <w:t xml:space="preserve"> 2022, 09 et 10 mars 2023.</w:t>
      </w:r>
    </w:p>
    <w:p w14:paraId="0298086E" w14:textId="2DE5A3DA" w:rsidR="00350CD0" w:rsidRDefault="00350CD0" w:rsidP="00350CD0">
      <w:pPr>
        <w:pStyle w:val="Paragraphedeliste"/>
        <w:numPr>
          <w:ilvl w:val="0"/>
          <w:numId w:val="10"/>
        </w:numPr>
        <w:autoSpaceDN w:val="0"/>
        <w:spacing w:after="0" w:line="240" w:lineRule="auto"/>
        <w:contextualSpacing w:val="0"/>
        <w:jc w:val="both"/>
        <w:textAlignment w:val="baseline"/>
        <w:rPr>
          <w:rFonts w:ascii="Verdana" w:hAnsi="Verdana"/>
          <w:sz w:val="20"/>
          <w:szCs w:val="20"/>
        </w:rPr>
      </w:pPr>
      <w:r w:rsidRPr="00CC35CC">
        <w:rPr>
          <w:rFonts w:ascii="Verdana" w:hAnsi="Verdana"/>
          <w:sz w:val="20"/>
          <w:szCs w:val="20"/>
        </w:rPr>
        <w:t>La rédaction des documents de base du projet</w:t>
      </w:r>
      <w:r w:rsidR="00560CFC">
        <w:rPr>
          <w:rFonts w:ascii="Verdana" w:hAnsi="Verdana"/>
          <w:sz w:val="20"/>
          <w:szCs w:val="20"/>
        </w:rPr>
        <w:t> : manuel de procédures, TDRs pour les auditeurs.</w:t>
      </w:r>
    </w:p>
    <w:p w14:paraId="1D881245" w14:textId="348F24E7" w:rsidR="00350CD0" w:rsidRPr="00E52E9D" w:rsidRDefault="002D6E31" w:rsidP="00350CD0">
      <w:pPr>
        <w:pStyle w:val="Paragraphedeliste"/>
        <w:numPr>
          <w:ilvl w:val="0"/>
          <w:numId w:val="10"/>
        </w:numPr>
        <w:autoSpaceDN w:val="0"/>
        <w:spacing w:after="0" w:line="240" w:lineRule="auto"/>
        <w:contextualSpacing w:val="0"/>
        <w:jc w:val="both"/>
        <w:textAlignment w:val="baseline"/>
        <w:rPr>
          <w:rFonts w:ascii="Verdana" w:hAnsi="Verdana"/>
          <w:sz w:val="20"/>
          <w:szCs w:val="20"/>
        </w:rPr>
      </w:pPr>
      <w:r>
        <w:rPr>
          <w:rFonts w:ascii="Verdana" w:hAnsi="Verdana"/>
          <w:sz w:val="20"/>
          <w:szCs w:val="20"/>
        </w:rPr>
        <w:t xml:space="preserve">Les réalisations </w:t>
      </w:r>
      <w:r w:rsidR="00350CD0">
        <w:rPr>
          <w:rFonts w:ascii="Verdana" w:hAnsi="Verdana"/>
          <w:sz w:val="20"/>
          <w:szCs w:val="20"/>
        </w:rPr>
        <w:t>de la première année de mise en œuvre</w:t>
      </w:r>
      <w:r w:rsidR="00350CD0" w:rsidRPr="00E52E9D">
        <w:rPr>
          <w:rFonts w:ascii="Verdana" w:hAnsi="Verdana"/>
          <w:sz w:val="20"/>
          <w:szCs w:val="20"/>
        </w:rPr>
        <w:t xml:space="preserve"> : </w:t>
      </w:r>
    </w:p>
    <w:p w14:paraId="08319E4A" w14:textId="0BAFC7B5" w:rsidR="00350CD0" w:rsidRDefault="00350CD0" w:rsidP="00350CD0">
      <w:pPr>
        <w:pStyle w:val="Paragraphedeliste"/>
        <w:numPr>
          <w:ilvl w:val="0"/>
          <w:numId w:val="11"/>
        </w:numPr>
        <w:autoSpaceDN w:val="0"/>
        <w:spacing w:after="0" w:line="240" w:lineRule="auto"/>
        <w:contextualSpacing w:val="0"/>
        <w:jc w:val="both"/>
        <w:textAlignment w:val="baseline"/>
        <w:rPr>
          <w:rFonts w:ascii="Verdana" w:hAnsi="Verdana"/>
          <w:sz w:val="20"/>
          <w:szCs w:val="20"/>
        </w:rPr>
      </w:pPr>
      <w:r w:rsidRPr="00CC35CC">
        <w:rPr>
          <w:rFonts w:ascii="Verdana" w:hAnsi="Verdana"/>
          <w:sz w:val="20"/>
          <w:szCs w:val="20"/>
        </w:rPr>
        <w:t>Le lancement officiel du projet</w:t>
      </w:r>
      <w:r w:rsidR="003E306E">
        <w:rPr>
          <w:rFonts w:ascii="Verdana" w:hAnsi="Verdana"/>
          <w:sz w:val="20"/>
          <w:szCs w:val="20"/>
        </w:rPr>
        <w:t xml:space="preserve"> le 22 septembre 2022 à </w:t>
      </w:r>
      <w:r w:rsidR="003E306E" w:rsidRPr="003E306E">
        <w:rPr>
          <w:rFonts w:ascii="Verdana" w:hAnsi="Verdana"/>
          <w:sz w:val="20"/>
          <w:szCs w:val="20"/>
        </w:rPr>
        <w:t>Antananarivo</w:t>
      </w:r>
      <w:r w:rsidR="003E306E">
        <w:rPr>
          <w:rFonts w:ascii="Verdana" w:hAnsi="Verdana"/>
          <w:sz w:val="20"/>
          <w:szCs w:val="20"/>
        </w:rPr>
        <w:t>.</w:t>
      </w:r>
    </w:p>
    <w:p w14:paraId="7292305B" w14:textId="2020833B" w:rsidR="00350CD0" w:rsidRDefault="00350CD0" w:rsidP="00350CD0">
      <w:pPr>
        <w:pStyle w:val="Paragraphedeliste"/>
        <w:numPr>
          <w:ilvl w:val="0"/>
          <w:numId w:val="11"/>
        </w:numPr>
        <w:autoSpaceDN w:val="0"/>
        <w:spacing w:after="0" w:line="240" w:lineRule="auto"/>
        <w:contextualSpacing w:val="0"/>
        <w:jc w:val="both"/>
        <w:textAlignment w:val="baseline"/>
        <w:rPr>
          <w:rFonts w:ascii="Verdana" w:hAnsi="Verdana"/>
          <w:sz w:val="20"/>
          <w:szCs w:val="20"/>
        </w:rPr>
      </w:pPr>
      <w:r w:rsidRPr="00CC35CC">
        <w:rPr>
          <w:rFonts w:ascii="Verdana" w:hAnsi="Verdana"/>
          <w:sz w:val="20"/>
          <w:szCs w:val="20"/>
        </w:rPr>
        <w:t>La redynamisation de l’Association des parlementaires de</w:t>
      </w:r>
      <w:r w:rsidR="00C67ACA">
        <w:rPr>
          <w:rFonts w:ascii="Verdana" w:hAnsi="Verdana"/>
          <w:sz w:val="20"/>
          <w:szCs w:val="20"/>
        </w:rPr>
        <w:t>s Etats membres de</w:t>
      </w:r>
      <w:r w:rsidRPr="00CC35CC">
        <w:rPr>
          <w:rFonts w:ascii="Verdana" w:hAnsi="Verdana"/>
          <w:sz w:val="20"/>
          <w:szCs w:val="20"/>
        </w:rPr>
        <w:t xml:space="preserve"> la Commission de l’océan Indien (AP-COI)</w:t>
      </w:r>
      <w:r w:rsidR="00560CFC">
        <w:rPr>
          <w:rFonts w:ascii="Verdana" w:hAnsi="Verdana"/>
          <w:sz w:val="20"/>
          <w:szCs w:val="20"/>
        </w:rPr>
        <w:t xml:space="preserve"> </w:t>
      </w:r>
      <w:r>
        <w:rPr>
          <w:rFonts w:ascii="Verdana" w:hAnsi="Verdana"/>
          <w:sz w:val="20"/>
          <w:szCs w:val="20"/>
        </w:rPr>
        <w:t xml:space="preserve">à travers la réunion des présidents </w:t>
      </w:r>
      <w:r w:rsidR="00560CFC">
        <w:rPr>
          <w:rFonts w:ascii="Verdana" w:hAnsi="Verdana"/>
          <w:sz w:val="20"/>
          <w:szCs w:val="20"/>
        </w:rPr>
        <w:t xml:space="preserve">(09 novembre 2022 à Antananarivo) </w:t>
      </w:r>
      <w:r>
        <w:rPr>
          <w:rFonts w:ascii="Verdana" w:hAnsi="Verdana"/>
          <w:sz w:val="20"/>
          <w:szCs w:val="20"/>
        </w:rPr>
        <w:t>et celle du Comité exécutif</w:t>
      </w:r>
      <w:r w:rsidR="00560CFC">
        <w:rPr>
          <w:rFonts w:ascii="Verdana" w:hAnsi="Verdana"/>
          <w:sz w:val="20"/>
          <w:szCs w:val="20"/>
        </w:rPr>
        <w:t xml:space="preserve"> </w:t>
      </w:r>
      <w:r w:rsidR="00DB185D">
        <w:rPr>
          <w:rFonts w:ascii="Verdana" w:hAnsi="Verdana"/>
          <w:sz w:val="20"/>
          <w:szCs w:val="20"/>
        </w:rPr>
        <w:t>(09 et 10 février 2023 à Antananarivo).</w:t>
      </w:r>
    </w:p>
    <w:p w14:paraId="6D560B17" w14:textId="478672F2" w:rsidR="00350CD0" w:rsidRDefault="00350CD0" w:rsidP="00350CD0">
      <w:pPr>
        <w:pStyle w:val="Paragraphedeliste"/>
        <w:numPr>
          <w:ilvl w:val="0"/>
          <w:numId w:val="11"/>
        </w:numPr>
        <w:autoSpaceDN w:val="0"/>
        <w:spacing w:after="0" w:line="240" w:lineRule="auto"/>
        <w:contextualSpacing w:val="0"/>
        <w:jc w:val="both"/>
        <w:textAlignment w:val="baseline"/>
        <w:rPr>
          <w:rFonts w:ascii="Verdana" w:hAnsi="Verdana"/>
          <w:sz w:val="20"/>
          <w:szCs w:val="20"/>
        </w:rPr>
      </w:pPr>
      <w:r w:rsidRPr="00522386">
        <w:rPr>
          <w:rFonts w:ascii="Verdana" w:hAnsi="Verdana"/>
          <w:sz w:val="20"/>
          <w:szCs w:val="20"/>
        </w:rPr>
        <w:t xml:space="preserve">La redynamisation de la plateforme des </w:t>
      </w:r>
      <w:r w:rsidR="00D323F1">
        <w:rPr>
          <w:rFonts w:ascii="Verdana" w:hAnsi="Verdana"/>
          <w:sz w:val="20"/>
          <w:szCs w:val="20"/>
        </w:rPr>
        <w:t>f</w:t>
      </w:r>
      <w:r w:rsidRPr="00522386">
        <w:rPr>
          <w:rFonts w:ascii="Verdana" w:hAnsi="Verdana"/>
          <w:sz w:val="20"/>
          <w:szCs w:val="20"/>
        </w:rPr>
        <w:t>emmes en politique de l’océan Indien (PFPOI)</w:t>
      </w:r>
      <w:r w:rsidR="00560CFC">
        <w:rPr>
          <w:rFonts w:ascii="Verdana" w:hAnsi="Verdana"/>
          <w:sz w:val="20"/>
          <w:szCs w:val="20"/>
        </w:rPr>
        <w:t xml:space="preserve"> </w:t>
      </w:r>
      <w:r w:rsidR="00DB185D">
        <w:rPr>
          <w:rFonts w:ascii="Verdana" w:hAnsi="Verdana"/>
          <w:sz w:val="20"/>
          <w:szCs w:val="20"/>
        </w:rPr>
        <w:t>à travers le séminaire du 24 et</w:t>
      </w:r>
      <w:r w:rsidR="00C67ACA">
        <w:rPr>
          <w:rFonts w:ascii="Verdana" w:hAnsi="Verdana"/>
          <w:sz w:val="20"/>
          <w:szCs w:val="20"/>
        </w:rPr>
        <w:t xml:space="preserve"> 25</w:t>
      </w:r>
      <w:r w:rsidR="00DB185D">
        <w:rPr>
          <w:rFonts w:ascii="Verdana" w:hAnsi="Verdana"/>
          <w:sz w:val="20"/>
          <w:szCs w:val="20"/>
        </w:rPr>
        <w:t xml:space="preserve"> janvier 2023 à Moroni.</w:t>
      </w:r>
    </w:p>
    <w:p w14:paraId="18F47143" w14:textId="33B45B88" w:rsidR="00350CD0" w:rsidRDefault="00350CD0" w:rsidP="00350CD0">
      <w:pPr>
        <w:pStyle w:val="Paragraphedeliste"/>
        <w:numPr>
          <w:ilvl w:val="0"/>
          <w:numId w:val="11"/>
        </w:numPr>
        <w:autoSpaceDN w:val="0"/>
        <w:spacing w:after="0" w:line="240" w:lineRule="auto"/>
        <w:contextualSpacing w:val="0"/>
        <w:jc w:val="both"/>
        <w:textAlignment w:val="baseline"/>
        <w:rPr>
          <w:rFonts w:ascii="Verdana" w:hAnsi="Verdana"/>
          <w:sz w:val="20"/>
          <w:szCs w:val="20"/>
        </w:rPr>
      </w:pPr>
      <w:r w:rsidRPr="00522386">
        <w:rPr>
          <w:rFonts w:ascii="Verdana" w:hAnsi="Verdana"/>
          <w:sz w:val="20"/>
          <w:szCs w:val="20"/>
        </w:rPr>
        <w:t>La création du Réseau électoral de l’océan Indien (REOI)</w:t>
      </w:r>
      <w:r w:rsidR="009C3D4D">
        <w:rPr>
          <w:rFonts w:ascii="Verdana" w:hAnsi="Verdana"/>
          <w:sz w:val="20"/>
          <w:szCs w:val="20"/>
        </w:rPr>
        <w:t xml:space="preserve"> avec la proposition d’un secrétariat au niveau d’un des OGE membres</w:t>
      </w:r>
      <w:r w:rsidR="00DB185D">
        <w:rPr>
          <w:rFonts w:ascii="Verdana" w:hAnsi="Verdana"/>
          <w:sz w:val="20"/>
          <w:szCs w:val="20"/>
        </w:rPr>
        <w:t xml:space="preserve"> lors du </w:t>
      </w:r>
      <w:r w:rsidR="00900DBC">
        <w:rPr>
          <w:rFonts w:ascii="Verdana" w:hAnsi="Verdana"/>
          <w:sz w:val="20"/>
          <w:szCs w:val="20"/>
        </w:rPr>
        <w:t>séminaire</w:t>
      </w:r>
      <w:r w:rsidR="00DB185D">
        <w:rPr>
          <w:rFonts w:ascii="Verdana" w:hAnsi="Verdana"/>
          <w:sz w:val="20"/>
          <w:szCs w:val="20"/>
        </w:rPr>
        <w:t xml:space="preserve"> du 13 et 14 octobre </w:t>
      </w:r>
      <w:r w:rsidR="00900DBC">
        <w:rPr>
          <w:rFonts w:ascii="Verdana" w:hAnsi="Verdana"/>
          <w:sz w:val="20"/>
          <w:szCs w:val="20"/>
        </w:rPr>
        <w:t>2022 aux</w:t>
      </w:r>
      <w:r w:rsidR="00DB185D">
        <w:rPr>
          <w:rFonts w:ascii="Verdana" w:hAnsi="Verdana"/>
          <w:sz w:val="20"/>
          <w:szCs w:val="20"/>
        </w:rPr>
        <w:t xml:space="preserve"> Seychelles.</w:t>
      </w:r>
    </w:p>
    <w:p w14:paraId="292841DB" w14:textId="5A53AE68" w:rsidR="00132957" w:rsidRDefault="00132957" w:rsidP="00350CD0">
      <w:pPr>
        <w:pStyle w:val="Paragraphedeliste"/>
        <w:numPr>
          <w:ilvl w:val="0"/>
          <w:numId w:val="11"/>
        </w:numPr>
        <w:autoSpaceDN w:val="0"/>
        <w:spacing w:after="0" w:line="240" w:lineRule="auto"/>
        <w:contextualSpacing w:val="0"/>
        <w:jc w:val="both"/>
        <w:textAlignment w:val="baseline"/>
        <w:rPr>
          <w:rFonts w:ascii="Verdana" w:hAnsi="Verdana"/>
          <w:sz w:val="20"/>
          <w:szCs w:val="20"/>
        </w:rPr>
      </w:pPr>
      <w:r>
        <w:rPr>
          <w:rFonts w:ascii="Verdana" w:hAnsi="Verdana"/>
          <w:sz w:val="20"/>
          <w:szCs w:val="20"/>
        </w:rPr>
        <w:t>Organisation de la conférence des Présidents des OGE les 04 et 05 avril 2023 à Maurice.</w:t>
      </w:r>
    </w:p>
    <w:p w14:paraId="74A9CD36" w14:textId="69D5D618" w:rsidR="00350CD0" w:rsidRDefault="00350CD0" w:rsidP="00350CD0">
      <w:pPr>
        <w:pStyle w:val="Paragraphedeliste"/>
        <w:numPr>
          <w:ilvl w:val="0"/>
          <w:numId w:val="11"/>
        </w:numPr>
        <w:autoSpaceDN w:val="0"/>
        <w:spacing w:after="0" w:line="240" w:lineRule="auto"/>
        <w:contextualSpacing w:val="0"/>
        <w:jc w:val="both"/>
        <w:textAlignment w:val="baseline"/>
        <w:rPr>
          <w:rFonts w:ascii="Verdana" w:hAnsi="Verdana"/>
          <w:sz w:val="20"/>
          <w:szCs w:val="20"/>
        </w:rPr>
      </w:pPr>
      <w:r w:rsidRPr="00522386">
        <w:rPr>
          <w:rFonts w:ascii="Verdana" w:hAnsi="Verdana"/>
          <w:sz w:val="20"/>
          <w:szCs w:val="20"/>
        </w:rPr>
        <w:t>Les échanges sur la collaboration avec l’Association des Radios et Télévisions de l’océan Indien (ARTOI)</w:t>
      </w:r>
      <w:r w:rsidR="003E306E">
        <w:rPr>
          <w:rFonts w:ascii="Verdana" w:hAnsi="Verdana"/>
          <w:sz w:val="20"/>
          <w:szCs w:val="20"/>
        </w:rPr>
        <w:t>, le 31 octobre et 1 novembre 2022 à La Réunion.</w:t>
      </w:r>
    </w:p>
    <w:p w14:paraId="31328176" w14:textId="44626B4C" w:rsidR="00350CD0" w:rsidRDefault="00900DBC" w:rsidP="00350CD0">
      <w:pPr>
        <w:pStyle w:val="Paragraphedeliste"/>
        <w:numPr>
          <w:ilvl w:val="0"/>
          <w:numId w:val="11"/>
        </w:numPr>
        <w:autoSpaceDN w:val="0"/>
        <w:spacing w:after="0" w:line="240" w:lineRule="auto"/>
        <w:contextualSpacing w:val="0"/>
        <w:jc w:val="both"/>
        <w:textAlignment w:val="baseline"/>
        <w:rPr>
          <w:rFonts w:ascii="Verdana" w:hAnsi="Verdana"/>
          <w:sz w:val="20"/>
          <w:szCs w:val="20"/>
        </w:rPr>
      </w:pPr>
      <w:r>
        <w:rPr>
          <w:rFonts w:ascii="Verdana" w:hAnsi="Verdana"/>
          <w:sz w:val="20"/>
          <w:szCs w:val="20"/>
        </w:rPr>
        <w:t xml:space="preserve">Les </w:t>
      </w:r>
      <w:r w:rsidR="00350CD0" w:rsidRPr="00522386">
        <w:rPr>
          <w:rFonts w:ascii="Verdana" w:hAnsi="Verdana"/>
          <w:sz w:val="20"/>
          <w:szCs w:val="20"/>
        </w:rPr>
        <w:t>renforcements de capacités de la Commission électorale nationale indépendante (CENI) de Madagascar au sujet de sa stratégie de communication et de sensibilisation</w:t>
      </w:r>
      <w:r>
        <w:rPr>
          <w:rFonts w:ascii="Verdana" w:hAnsi="Verdana"/>
          <w:sz w:val="20"/>
          <w:szCs w:val="20"/>
        </w:rPr>
        <w:t xml:space="preserve"> </w:t>
      </w:r>
      <w:r w:rsidR="00350CD0" w:rsidRPr="00522386">
        <w:rPr>
          <w:rFonts w:ascii="Verdana" w:hAnsi="Verdana"/>
          <w:sz w:val="20"/>
          <w:szCs w:val="20"/>
        </w:rPr>
        <w:t>à travers le partage d’expériences de l’Uni</w:t>
      </w:r>
      <w:r w:rsidR="003E306E">
        <w:rPr>
          <w:rFonts w:ascii="Verdana" w:hAnsi="Verdana"/>
          <w:sz w:val="20"/>
          <w:szCs w:val="20"/>
        </w:rPr>
        <w:t xml:space="preserve">on des Comores et des Seychelles, le 23 septembre 2022 à </w:t>
      </w:r>
      <w:r w:rsidR="003E306E" w:rsidRPr="003E306E">
        <w:rPr>
          <w:rFonts w:ascii="Verdana" w:hAnsi="Verdana"/>
          <w:sz w:val="20"/>
          <w:szCs w:val="20"/>
        </w:rPr>
        <w:t>Antananarivo</w:t>
      </w:r>
      <w:r w:rsidR="003E306E">
        <w:rPr>
          <w:rFonts w:ascii="Verdana" w:hAnsi="Verdana"/>
          <w:sz w:val="20"/>
          <w:szCs w:val="20"/>
        </w:rPr>
        <w:t>.</w:t>
      </w:r>
    </w:p>
    <w:p w14:paraId="799D549F" w14:textId="1CFB1A3A" w:rsidR="00350CD0" w:rsidRDefault="00900DBC" w:rsidP="00350CD0">
      <w:pPr>
        <w:pStyle w:val="Paragraphedeliste"/>
        <w:numPr>
          <w:ilvl w:val="0"/>
          <w:numId w:val="11"/>
        </w:numPr>
        <w:autoSpaceDN w:val="0"/>
        <w:spacing w:after="0" w:line="240" w:lineRule="auto"/>
        <w:contextualSpacing w:val="0"/>
        <w:jc w:val="both"/>
        <w:textAlignment w:val="baseline"/>
        <w:rPr>
          <w:rFonts w:ascii="Verdana" w:hAnsi="Verdana"/>
          <w:sz w:val="20"/>
          <w:szCs w:val="20"/>
        </w:rPr>
      </w:pPr>
      <w:r>
        <w:rPr>
          <w:rFonts w:ascii="Verdana" w:hAnsi="Verdana"/>
          <w:sz w:val="20"/>
          <w:szCs w:val="20"/>
        </w:rPr>
        <w:t>La réalisation d’une f</w:t>
      </w:r>
      <w:r w:rsidR="00350CD0" w:rsidRPr="00522386">
        <w:rPr>
          <w:rFonts w:ascii="Verdana" w:hAnsi="Verdana"/>
          <w:sz w:val="20"/>
          <w:szCs w:val="20"/>
        </w:rPr>
        <w:t xml:space="preserve">ormation sur la couverture électorale pour </w:t>
      </w:r>
      <w:r w:rsidR="001512C6">
        <w:rPr>
          <w:rFonts w:ascii="Verdana" w:hAnsi="Verdana"/>
          <w:sz w:val="20"/>
          <w:szCs w:val="20"/>
        </w:rPr>
        <w:t>25</w:t>
      </w:r>
      <w:r w:rsidR="00350CD0" w:rsidRPr="00522386">
        <w:rPr>
          <w:rFonts w:ascii="Verdana" w:hAnsi="Verdana"/>
          <w:sz w:val="20"/>
          <w:szCs w:val="20"/>
        </w:rPr>
        <w:t xml:space="preserve"> journalistes </w:t>
      </w:r>
      <w:r w:rsidR="003E306E">
        <w:rPr>
          <w:rFonts w:ascii="Verdana" w:hAnsi="Verdana"/>
          <w:sz w:val="20"/>
          <w:szCs w:val="20"/>
        </w:rPr>
        <w:t xml:space="preserve">du 26 au 28 septembre 2022 à </w:t>
      </w:r>
      <w:r w:rsidR="003E306E" w:rsidRPr="003E306E">
        <w:rPr>
          <w:rFonts w:ascii="Verdana" w:hAnsi="Verdana"/>
          <w:sz w:val="20"/>
          <w:szCs w:val="20"/>
        </w:rPr>
        <w:t>Antananarivo</w:t>
      </w:r>
      <w:r w:rsidR="003E306E">
        <w:rPr>
          <w:rFonts w:ascii="Verdana" w:hAnsi="Verdana"/>
          <w:sz w:val="20"/>
          <w:szCs w:val="20"/>
        </w:rPr>
        <w:t>.</w:t>
      </w:r>
    </w:p>
    <w:p w14:paraId="23C43FEA" w14:textId="24141905" w:rsidR="00350CD0" w:rsidRDefault="00350CD0" w:rsidP="00350CD0">
      <w:pPr>
        <w:pStyle w:val="Paragraphedeliste"/>
        <w:numPr>
          <w:ilvl w:val="0"/>
          <w:numId w:val="11"/>
        </w:numPr>
        <w:autoSpaceDN w:val="0"/>
        <w:spacing w:after="0" w:line="240" w:lineRule="auto"/>
        <w:contextualSpacing w:val="0"/>
        <w:jc w:val="both"/>
        <w:textAlignment w:val="baseline"/>
        <w:rPr>
          <w:rFonts w:ascii="Verdana" w:hAnsi="Verdana"/>
          <w:sz w:val="20"/>
          <w:szCs w:val="20"/>
        </w:rPr>
      </w:pPr>
      <w:r w:rsidRPr="00522386">
        <w:rPr>
          <w:rFonts w:ascii="Verdana" w:hAnsi="Verdana"/>
          <w:sz w:val="20"/>
          <w:szCs w:val="20"/>
        </w:rPr>
        <w:lastRenderedPageBreak/>
        <w:t>L</w:t>
      </w:r>
      <w:r w:rsidR="00900DBC">
        <w:rPr>
          <w:rFonts w:ascii="Verdana" w:hAnsi="Verdana"/>
          <w:sz w:val="20"/>
          <w:szCs w:val="20"/>
        </w:rPr>
        <w:t>’organisation de l</w:t>
      </w:r>
      <w:r w:rsidRPr="00522386">
        <w:rPr>
          <w:rFonts w:ascii="Verdana" w:hAnsi="Verdana"/>
          <w:sz w:val="20"/>
          <w:szCs w:val="20"/>
        </w:rPr>
        <w:t xml:space="preserve">a </w:t>
      </w:r>
      <w:r w:rsidR="00A67FBB">
        <w:rPr>
          <w:rFonts w:ascii="Verdana" w:hAnsi="Verdana"/>
          <w:sz w:val="20"/>
          <w:szCs w:val="20"/>
        </w:rPr>
        <w:t>« </w:t>
      </w:r>
      <w:r w:rsidRPr="00522386">
        <w:rPr>
          <w:rFonts w:ascii="Verdana" w:hAnsi="Verdana"/>
          <w:sz w:val="20"/>
          <w:szCs w:val="20"/>
        </w:rPr>
        <w:t>conférence régionale sur la paix et la stabilité : Prévention de crise et efforts de médiation dans la région de l’océan Indien</w:t>
      </w:r>
      <w:r w:rsidR="00A67FBB">
        <w:rPr>
          <w:rFonts w:ascii="Verdana" w:hAnsi="Verdana"/>
          <w:sz w:val="20"/>
          <w:szCs w:val="20"/>
        </w:rPr>
        <w:t> »</w:t>
      </w:r>
      <w:r>
        <w:rPr>
          <w:rFonts w:ascii="Verdana" w:hAnsi="Verdana"/>
          <w:sz w:val="20"/>
          <w:szCs w:val="20"/>
        </w:rPr>
        <w:t xml:space="preserve"> organisée conjointement avec les Nations Unies à travers </w:t>
      </w:r>
      <w:r w:rsidRPr="00522386">
        <w:rPr>
          <w:rFonts w:ascii="Verdana" w:hAnsi="Verdana"/>
          <w:sz w:val="20"/>
          <w:szCs w:val="20"/>
        </w:rPr>
        <w:t xml:space="preserve">le </w:t>
      </w:r>
      <w:r w:rsidRPr="00522386">
        <w:rPr>
          <w:rFonts w:ascii="Verdana" w:eastAsia="Times New Roman" w:hAnsi="Verdana"/>
          <w:bCs/>
          <w:sz w:val="20"/>
          <w:szCs w:val="20"/>
          <w:lang w:eastAsia="fr-FR"/>
        </w:rPr>
        <w:t xml:space="preserve">Cadre de Coopération </w:t>
      </w:r>
      <w:r>
        <w:rPr>
          <w:rFonts w:ascii="Verdana" w:hAnsi="Verdana"/>
          <w:bCs/>
          <w:sz w:val="20"/>
          <w:szCs w:val="20"/>
        </w:rPr>
        <w:t xml:space="preserve">signé le 15 juin 2018 pour </w:t>
      </w:r>
      <w:r w:rsidRPr="00522386">
        <w:rPr>
          <w:rFonts w:ascii="Verdana" w:eastAsia="Times New Roman" w:hAnsi="Verdana"/>
          <w:sz w:val="20"/>
          <w:szCs w:val="20"/>
          <w:lang w:eastAsia="fr-FR"/>
        </w:rPr>
        <w:t>la promotion et la consolidation de la paix, la sécurité et le développement durable</w:t>
      </w:r>
      <w:r w:rsidR="003E306E">
        <w:rPr>
          <w:rFonts w:ascii="Verdana" w:hAnsi="Verdana"/>
          <w:sz w:val="20"/>
          <w:szCs w:val="20"/>
        </w:rPr>
        <w:t>, le 30 novembre et 1</w:t>
      </w:r>
      <w:r w:rsidR="003E306E" w:rsidRPr="003E306E">
        <w:rPr>
          <w:rFonts w:ascii="Verdana" w:hAnsi="Verdana"/>
          <w:sz w:val="20"/>
          <w:szCs w:val="20"/>
          <w:vertAlign w:val="superscript"/>
        </w:rPr>
        <w:t>er</w:t>
      </w:r>
      <w:r w:rsidR="003E306E">
        <w:rPr>
          <w:rFonts w:ascii="Verdana" w:hAnsi="Verdana"/>
          <w:sz w:val="20"/>
          <w:szCs w:val="20"/>
        </w:rPr>
        <w:t xml:space="preserve"> décembre 2022 à Maurice.</w:t>
      </w:r>
    </w:p>
    <w:p w14:paraId="3AD4BA11" w14:textId="77777777" w:rsidR="00350CD0" w:rsidRDefault="00350CD0" w:rsidP="00350CD0">
      <w:pPr>
        <w:pStyle w:val="Paragraphedeliste"/>
        <w:numPr>
          <w:ilvl w:val="0"/>
          <w:numId w:val="11"/>
        </w:numPr>
        <w:autoSpaceDN w:val="0"/>
        <w:spacing w:after="0" w:line="240" w:lineRule="auto"/>
        <w:contextualSpacing w:val="0"/>
        <w:jc w:val="both"/>
        <w:textAlignment w:val="baseline"/>
        <w:rPr>
          <w:rFonts w:ascii="Verdana" w:hAnsi="Verdana"/>
          <w:sz w:val="20"/>
          <w:szCs w:val="20"/>
        </w:rPr>
      </w:pPr>
      <w:r w:rsidRPr="0034459F">
        <w:rPr>
          <w:rFonts w:ascii="Verdana" w:hAnsi="Verdana"/>
          <w:sz w:val="20"/>
          <w:szCs w:val="20"/>
        </w:rPr>
        <w:t xml:space="preserve">Consultations pour la création d'une base de données d’expertise régionale et de la documentation existante (bibliothèque virtuelle) en collaboration avec le centre de documentation de la COI. </w:t>
      </w:r>
    </w:p>
    <w:p w14:paraId="5D828805" w14:textId="78A547E0" w:rsidR="00943C13" w:rsidRPr="00943C13" w:rsidRDefault="00943C13" w:rsidP="00943C13">
      <w:pPr>
        <w:pStyle w:val="Paragraphedeliste"/>
        <w:numPr>
          <w:ilvl w:val="0"/>
          <w:numId w:val="11"/>
        </w:numPr>
        <w:autoSpaceDN w:val="0"/>
        <w:spacing w:after="0" w:line="240" w:lineRule="auto"/>
        <w:contextualSpacing w:val="0"/>
        <w:jc w:val="both"/>
        <w:textAlignment w:val="baseline"/>
        <w:rPr>
          <w:rFonts w:ascii="Verdana" w:hAnsi="Verdana"/>
          <w:sz w:val="20"/>
          <w:szCs w:val="20"/>
        </w:rPr>
      </w:pPr>
      <w:r>
        <w:rPr>
          <w:rFonts w:ascii="Verdana" w:hAnsi="Verdana"/>
          <w:sz w:val="20"/>
          <w:szCs w:val="20"/>
        </w:rPr>
        <w:t xml:space="preserve">Réalisation </w:t>
      </w:r>
      <w:r w:rsidR="00350CD0">
        <w:rPr>
          <w:rFonts w:ascii="Verdana" w:hAnsi="Verdana"/>
          <w:sz w:val="20"/>
          <w:szCs w:val="20"/>
        </w:rPr>
        <w:t>des études comparatives</w:t>
      </w:r>
      <w:r>
        <w:rPr>
          <w:rFonts w:ascii="Verdana" w:hAnsi="Verdana"/>
          <w:sz w:val="20"/>
          <w:szCs w:val="20"/>
        </w:rPr>
        <w:t xml:space="preserve">, </w:t>
      </w:r>
      <w:r w:rsidRPr="00943C13">
        <w:rPr>
          <w:rFonts w:ascii="Verdana" w:hAnsi="Verdana"/>
          <w:sz w:val="20"/>
          <w:szCs w:val="20"/>
        </w:rPr>
        <w:t>menée</w:t>
      </w:r>
      <w:r>
        <w:rPr>
          <w:rFonts w:ascii="Verdana" w:hAnsi="Verdana"/>
          <w:sz w:val="20"/>
          <w:szCs w:val="20"/>
        </w:rPr>
        <w:t>s respectivement</w:t>
      </w:r>
      <w:r w:rsidRPr="00943C13">
        <w:rPr>
          <w:rFonts w:ascii="Verdana" w:hAnsi="Verdana"/>
          <w:sz w:val="20"/>
          <w:szCs w:val="20"/>
        </w:rPr>
        <w:t xml:space="preserve"> à la demande du REOI et l’AP-COI</w:t>
      </w:r>
      <w:r>
        <w:rPr>
          <w:rFonts w:ascii="Verdana" w:hAnsi="Verdana"/>
          <w:sz w:val="20"/>
          <w:szCs w:val="20"/>
        </w:rPr>
        <w:t> :</w:t>
      </w:r>
    </w:p>
    <w:p w14:paraId="48456193" w14:textId="4126A173" w:rsidR="00943C13" w:rsidRPr="00D323F1" w:rsidRDefault="00A67FBB" w:rsidP="00943C13">
      <w:pPr>
        <w:pStyle w:val="Paragraphedeliste"/>
        <w:numPr>
          <w:ilvl w:val="1"/>
          <w:numId w:val="11"/>
        </w:numPr>
        <w:autoSpaceDN w:val="0"/>
        <w:spacing w:after="0" w:line="240" w:lineRule="auto"/>
        <w:contextualSpacing w:val="0"/>
        <w:jc w:val="both"/>
        <w:textAlignment w:val="baseline"/>
        <w:rPr>
          <w:rFonts w:ascii="Verdana" w:hAnsi="Verdana"/>
          <w:sz w:val="20"/>
          <w:szCs w:val="20"/>
        </w:rPr>
      </w:pPr>
      <w:r w:rsidRPr="00D323F1">
        <w:rPr>
          <w:rFonts w:ascii="Verdana" w:hAnsi="Verdana"/>
          <w:sz w:val="20"/>
          <w:szCs w:val="20"/>
        </w:rPr>
        <w:t>Sur</w:t>
      </w:r>
      <w:r w:rsidR="00350CD0" w:rsidRPr="00D323F1">
        <w:rPr>
          <w:rFonts w:ascii="Verdana" w:hAnsi="Verdana"/>
          <w:sz w:val="20"/>
          <w:szCs w:val="20"/>
        </w:rPr>
        <w:t xml:space="preserve"> les systèmes électoraux et le fonctionnement des O</w:t>
      </w:r>
      <w:r w:rsidR="00943C13" w:rsidRPr="00D323F1">
        <w:rPr>
          <w:rFonts w:ascii="Verdana" w:hAnsi="Verdana"/>
          <w:sz w:val="20"/>
          <w:szCs w:val="20"/>
        </w:rPr>
        <w:t>GE.</w:t>
      </w:r>
    </w:p>
    <w:p w14:paraId="0DF2F1A6" w14:textId="38477EBA" w:rsidR="00350CD0" w:rsidRPr="00D323F1" w:rsidRDefault="00A67FBB" w:rsidP="00943C13">
      <w:pPr>
        <w:pStyle w:val="Paragraphedeliste"/>
        <w:numPr>
          <w:ilvl w:val="1"/>
          <w:numId w:val="11"/>
        </w:numPr>
        <w:autoSpaceDN w:val="0"/>
        <w:spacing w:after="0" w:line="240" w:lineRule="auto"/>
        <w:contextualSpacing w:val="0"/>
        <w:jc w:val="both"/>
        <w:textAlignment w:val="baseline"/>
        <w:rPr>
          <w:rFonts w:ascii="Verdana" w:hAnsi="Verdana"/>
          <w:sz w:val="20"/>
          <w:szCs w:val="20"/>
        </w:rPr>
      </w:pPr>
      <w:r w:rsidRPr="00D323F1">
        <w:rPr>
          <w:rFonts w:ascii="Verdana" w:hAnsi="Verdana"/>
          <w:sz w:val="20"/>
          <w:szCs w:val="20"/>
        </w:rPr>
        <w:t>Sur</w:t>
      </w:r>
      <w:r w:rsidR="00350CD0" w:rsidRPr="00D323F1">
        <w:rPr>
          <w:rFonts w:ascii="Verdana" w:hAnsi="Verdana"/>
          <w:sz w:val="20"/>
          <w:szCs w:val="20"/>
        </w:rPr>
        <w:t xml:space="preserve"> les </w:t>
      </w:r>
      <w:r w:rsidR="003E306E" w:rsidRPr="00D323F1">
        <w:rPr>
          <w:rFonts w:ascii="Verdana" w:hAnsi="Verdana"/>
          <w:sz w:val="20"/>
          <w:szCs w:val="20"/>
        </w:rPr>
        <w:t>systèmes parlementaires et le fonctionnement des Assemblées parlementaires</w:t>
      </w:r>
    </w:p>
    <w:p w14:paraId="6FF22108" w14:textId="0628C40A" w:rsidR="00943C13" w:rsidRDefault="00943C13" w:rsidP="00943C13">
      <w:pPr>
        <w:autoSpaceDN w:val="0"/>
        <w:spacing w:after="0" w:line="240" w:lineRule="auto"/>
        <w:jc w:val="both"/>
        <w:textAlignment w:val="baseline"/>
        <w:rPr>
          <w:rFonts w:ascii="Verdana" w:hAnsi="Verdana"/>
          <w:sz w:val="20"/>
          <w:szCs w:val="20"/>
          <w:highlight w:val="yellow"/>
        </w:rPr>
      </w:pPr>
    </w:p>
    <w:p w14:paraId="112B7BE8" w14:textId="108155A8" w:rsidR="00403535" w:rsidRDefault="00B16796" w:rsidP="00403535">
      <w:pPr>
        <w:pStyle w:val="Paragraphedeliste"/>
        <w:numPr>
          <w:ilvl w:val="0"/>
          <w:numId w:val="17"/>
        </w:numPr>
        <w:jc w:val="both"/>
        <w:rPr>
          <w:rFonts w:ascii="Verdana" w:hAnsi="Verdana"/>
          <w:b/>
          <w:sz w:val="20"/>
          <w:szCs w:val="20"/>
        </w:rPr>
      </w:pPr>
      <w:r w:rsidRPr="00605105">
        <w:rPr>
          <w:rFonts w:ascii="Verdana" w:hAnsi="Verdana"/>
          <w:b/>
          <w:sz w:val="20"/>
          <w:szCs w:val="20"/>
        </w:rPr>
        <w:t>R</w:t>
      </w:r>
      <w:r w:rsidR="00943C13" w:rsidRPr="00605105">
        <w:rPr>
          <w:rFonts w:ascii="Verdana" w:hAnsi="Verdana"/>
          <w:b/>
          <w:sz w:val="20"/>
          <w:szCs w:val="20"/>
        </w:rPr>
        <w:t>éflexion sur la stratégie de transfert de compétences et la pérennisation</w:t>
      </w:r>
      <w:r w:rsidRPr="00605105">
        <w:rPr>
          <w:rFonts w:ascii="Verdana" w:hAnsi="Verdana"/>
          <w:b/>
          <w:sz w:val="20"/>
          <w:szCs w:val="20"/>
        </w:rPr>
        <w:t xml:space="preserve"> des actions de la COI dans le domaine de la Gouvernance, Paix et Stabilité :</w:t>
      </w:r>
    </w:p>
    <w:p w14:paraId="4CBFD390" w14:textId="77777777" w:rsidR="00BF4895" w:rsidRPr="00247580" w:rsidRDefault="00BF4895" w:rsidP="00BF4895">
      <w:pPr>
        <w:pStyle w:val="Paragraphedeliste"/>
        <w:ind w:left="1080"/>
        <w:jc w:val="both"/>
        <w:rPr>
          <w:rFonts w:ascii="Verdana" w:hAnsi="Verdana"/>
          <w:b/>
          <w:sz w:val="20"/>
          <w:szCs w:val="20"/>
        </w:rPr>
      </w:pPr>
    </w:p>
    <w:p w14:paraId="19B11694" w14:textId="77777777" w:rsidR="00BF4895" w:rsidRDefault="00403535" w:rsidP="00BF4895">
      <w:pPr>
        <w:pStyle w:val="Paragraphedeliste"/>
        <w:numPr>
          <w:ilvl w:val="0"/>
          <w:numId w:val="23"/>
        </w:numPr>
        <w:jc w:val="both"/>
        <w:rPr>
          <w:rFonts w:ascii="Verdana" w:hAnsi="Verdana"/>
          <w:b/>
          <w:sz w:val="20"/>
          <w:szCs w:val="20"/>
        </w:rPr>
      </w:pPr>
      <w:r w:rsidRPr="00BF4895">
        <w:rPr>
          <w:rFonts w:ascii="Verdana" w:hAnsi="Verdana"/>
          <w:b/>
          <w:sz w:val="20"/>
          <w:szCs w:val="20"/>
        </w:rPr>
        <w:t>Contexte :</w:t>
      </w:r>
    </w:p>
    <w:p w14:paraId="27828B88" w14:textId="22747AB3" w:rsidR="00BF4895" w:rsidRDefault="00247580" w:rsidP="00BF4895">
      <w:pPr>
        <w:jc w:val="both"/>
        <w:rPr>
          <w:rFonts w:ascii="Verdana" w:hAnsi="Verdana" w:cs="Arial"/>
          <w:sz w:val="20"/>
          <w:szCs w:val="20"/>
          <w:lang w:val="fr-BE"/>
        </w:rPr>
      </w:pPr>
      <w:r w:rsidRPr="00BF4895">
        <w:rPr>
          <w:rFonts w:ascii="Verdana" w:hAnsi="Verdana" w:cs="Arial"/>
          <w:sz w:val="20"/>
          <w:szCs w:val="20"/>
          <w:lang w:val="fr-BE"/>
        </w:rPr>
        <w:t>Les questions relatives à la capacit</w:t>
      </w:r>
      <w:r w:rsidR="00051385">
        <w:rPr>
          <w:rFonts w:ascii="Verdana" w:hAnsi="Verdana" w:cs="Arial"/>
          <w:sz w:val="20"/>
          <w:szCs w:val="20"/>
          <w:lang w:val="fr-BE"/>
        </w:rPr>
        <w:t>é</w:t>
      </w:r>
      <w:r w:rsidRPr="00BF4895">
        <w:rPr>
          <w:rFonts w:ascii="Verdana" w:hAnsi="Verdana" w:cs="Arial"/>
          <w:sz w:val="20"/>
          <w:szCs w:val="20"/>
          <w:lang w:val="fr-BE"/>
        </w:rPr>
        <w:t xml:space="preserve"> de la COI à jouer pleinement son rôle dans le cadre de la mise en œuvre d’un projet sur la gouvernance, la paix et la stabilité ont été discutées avec les États membres à l’occasion de l’instruction du projet GPS.</w:t>
      </w:r>
      <w:r w:rsidR="00051385">
        <w:rPr>
          <w:rFonts w:ascii="Verdana" w:hAnsi="Verdana" w:cs="Arial"/>
          <w:sz w:val="20"/>
          <w:szCs w:val="20"/>
          <w:lang w:val="fr-BE"/>
        </w:rPr>
        <w:t xml:space="preserve"> </w:t>
      </w:r>
      <w:r w:rsidRPr="00BF4895">
        <w:rPr>
          <w:rFonts w:ascii="Verdana" w:hAnsi="Verdana" w:cs="Arial"/>
          <w:sz w:val="20"/>
          <w:szCs w:val="20"/>
          <w:lang w:val="fr-BE"/>
        </w:rPr>
        <w:t>Il a été ainsi question d’appuyer les initiatives de la COI sur des thématiques liées à la prévention des conflits, le maintien de la paix et la stabilité, la consolidation de la démocratie, l’État de droit et la bonne gouvernance.</w:t>
      </w:r>
    </w:p>
    <w:p w14:paraId="72E1B268" w14:textId="77777777" w:rsidR="00BF4895" w:rsidRDefault="00247580" w:rsidP="00BF4895">
      <w:pPr>
        <w:jc w:val="both"/>
        <w:rPr>
          <w:rFonts w:ascii="Verdana" w:hAnsi="Verdana" w:cs="Arial"/>
          <w:sz w:val="20"/>
          <w:szCs w:val="20"/>
          <w:lang w:val="fr-BE"/>
        </w:rPr>
      </w:pPr>
      <w:r w:rsidRPr="00BF4895">
        <w:rPr>
          <w:rFonts w:ascii="Verdana" w:hAnsi="Verdana" w:cs="Arial"/>
          <w:sz w:val="20"/>
          <w:szCs w:val="20"/>
          <w:lang w:val="fr-BE"/>
        </w:rPr>
        <w:t>Ces initiatives sont portées par la COI à travers le projet GPS qui prévoit déjà un mécanisme de pérennisation permettant à l’Organisation d’intervenir dans ces domaines au-delà de la période de mise en œuvre du projet.</w:t>
      </w:r>
    </w:p>
    <w:p w14:paraId="157FA805" w14:textId="1206034E" w:rsidR="00BF4895" w:rsidRDefault="00247580" w:rsidP="00BF4895">
      <w:pPr>
        <w:jc w:val="both"/>
        <w:rPr>
          <w:rFonts w:ascii="Verdana" w:hAnsi="Verdana" w:cs="Arial"/>
          <w:sz w:val="20"/>
          <w:szCs w:val="20"/>
          <w:lang w:val="fr-BE"/>
        </w:rPr>
      </w:pPr>
      <w:r w:rsidRPr="00BF4895">
        <w:rPr>
          <w:rFonts w:ascii="Verdana" w:hAnsi="Verdana" w:cs="Arial"/>
          <w:sz w:val="20"/>
          <w:szCs w:val="20"/>
          <w:lang w:val="fr-BE"/>
        </w:rPr>
        <w:t>A cet effet, le rapport de faisabilité du projet GPS a préconisé le besoin de création d’un département en charge de gouvernance démocratique à la COI.</w:t>
      </w:r>
      <w:r w:rsidR="00A5286E">
        <w:rPr>
          <w:rFonts w:ascii="Verdana" w:hAnsi="Verdana" w:cs="Arial"/>
          <w:sz w:val="20"/>
          <w:szCs w:val="20"/>
          <w:lang w:val="fr-BE"/>
        </w:rPr>
        <w:t xml:space="preserve"> </w:t>
      </w:r>
      <w:r w:rsidRPr="00BF4895">
        <w:rPr>
          <w:rFonts w:ascii="Verdana" w:hAnsi="Verdana" w:cs="Arial"/>
          <w:sz w:val="20"/>
          <w:szCs w:val="20"/>
          <w:lang w:val="fr-BE"/>
        </w:rPr>
        <w:t xml:space="preserve">Cette proposition est en phase avec le mandat renouvelé de la COI </w:t>
      </w:r>
      <w:r w:rsidR="00BF4895">
        <w:rPr>
          <w:rFonts w:ascii="Verdana" w:hAnsi="Verdana" w:cs="Arial"/>
          <w:sz w:val="20"/>
          <w:szCs w:val="20"/>
          <w:lang w:val="fr-BE"/>
        </w:rPr>
        <w:t xml:space="preserve">qui </w:t>
      </w:r>
      <w:r w:rsidRPr="00BF4895">
        <w:rPr>
          <w:rFonts w:ascii="Verdana" w:hAnsi="Verdana" w:cs="Arial"/>
          <w:sz w:val="20"/>
          <w:szCs w:val="20"/>
          <w:lang w:val="fr-BE"/>
        </w:rPr>
        <w:t xml:space="preserve">doit « couvrir, entre autres, les questions relatives à la paix et la sécurité » conformément l’article 3 de </w:t>
      </w:r>
      <w:r w:rsidR="00BF4895">
        <w:rPr>
          <w:rFonts w:ascii="Verdana" w:hAnsi="Verdana" w:cs="Arial"/>
          <w:sz w:val="20"/>
          <w:szCs w:val="20"/>
          <w:lang w:val="fr-BE"/>
        </w:rPr>
        <w:t>l</w:t>
      </w:r>
      <w:r w:rsidRPr="00BF4895">
        <w:rPr>
          <w:rFonts w:ascii="Verdana" w:hAnsi="Verdana" w:cs="Arial"/>
          <w:sz w:val="20"/>
          <w:szCs w:val="20"/>
          <w:lang w:val="fr-BE"/>
        </w:rPr>
        <w:t>a déclaration de Moroni, adopt</w:t>
      </w:r>
      <w:r w:rsidR="00BF4895">
        <w:rPr>
          <w:rFonts w:ascii="Verdana" w:hAnsi="Verdana" w:cs="Arial"/>
          <w:sz w:val="20"/>
          <w:szCs w:val="20"/>
          <w:lang w:val="fr-BE"/>
        </w:rPr>
        <w:t>é</w:t>
      </w:r>
      <w:r w:rsidRPr="00BF4895">
        <w:rPr>
          <w:rFonts w:ascii="Verdana" w:hAnsi="Verdana" w:cs="Arial"/>
          <w:sz w:val="20"/>
          <w:szCs w:val="20"/>
          <w:lang w:val="fr-BE"/>
        </w:rPr>
        <w:t xml:space="preserve"> par le 34</w:t>
      </w:r>
      <w:r w:rsidRPr="00A5286E">
        <w:rPr>
          <w:rFonts w:ascii="Verdana" w:hAnsi="Verdana" w:cs="Arial"/>
          <w:sz w:val="20"/>
          <w:szCs w:val="20"/>
          <w:vertAlign w:val="superscript"/>
          <w:lang w:val="fr-BE"/>
        </w:rPr>
        <w:t xml:space="preserve">eme </w:t>
      </w:r>
      <w:r w:rsidRPr="00BF4895">
        <w:rPr>
          <w:rFonts w:ascii="Verdana" w:hAnsi="Verdana" w:cs="Arial"/>
          <w:sz w:val="20"/>
          <w:szCs w:val="20"/>
          <w:lang w:val="fr-BE"/>
        </w:rPr>
        <w:t>Conseil.</w:t>
      </w:r>
    </w:p>
    <w:p w14:paraId="59003851" w14:textId="6F2FBD57" w:rsidR="00247580" w:rsidRPr="00BF4895" w:rsidRDefault="00247580" w:rsidP="00BF4895">
      <w:pPr>
        <w:jc w:val="both"/>
        <w:rPr>
          <w:rFonts w:ascii="Verdana" w:hAnsi="Verdana" w:cs="Arial"/>
          <w:sz w:val="20"/>
          <w:szCs w:val="20"/>
          <w:lang w:val="fr-BE"/>
        </w:rPr>
      </w:pPr>
      <w:r w:rsidRPr="00BF4895">
        <w:rPr>
          <w:rFonts w:ascii="Verdana" w:hAnsi="Verdana" w:cs="Arial"/>
          <w:sz w:val="20"/>
          <w:szCs w:val="20"/>
          <w:lang w:val="fr-BE"/>
        </w:rPr>
        <w:t xml:space="preserve">Outre le processus d’évolution institutionnelle et la modernisation de la COI, cette perspective s’inscrit également dans le cadre de la restructuration interne à travers le projet de Plan de Développement Stratégique (PDS) 2023-2033. </w:t>
      </w:r>
    </w:p>
    <w:p w14:paraId="22E24749" w14:textId="4EC271B8" w:rsidR="002F5500" w:rsidRPr="00403535" w:rsidRDefault="002F5500" w:rsidP="00BF4895">
      <w:pPr>
        <w:pStyle w:val="Paragraphedeliste"/>
        <w:numPr>
          <w:ilvl w:val="0"/>
          <w:numId w:val="23"/>
        </w:numPr>
        <w:jc w:val="both"/>
        <w:rPr>
          <w:rFonts w:ascii="Verdana" w:hAnsi="Verdana"/>
          <w:b/>
          <w:sz w:val="20"/>
          <w:szCs w:val="20"/>
        </w:rPr>
      </w:pPr>
      <w:r>
        <w:rPr>
          <w:rFonts w:ascii="Verdana" w:hAnsi="Verdana"/>
          <w:b/>
          <w:sz w:val="20"/>
          <w:szCs w:val="20"/>
        </w:rPr>
        <w:t xml:space="preserve">Modalités </w:t>
      </w:r>
    </w:p>
    <w:p w14:paraId="4E1418A6" w14:textId="740265C7" w:rsidR="00943C13" w:rsidRDefault="00943C13" w:rsidP="00943C13">
      <w:pPr>
        <w:pStyle w:val="Paragraphedeliste"/>
        <w:autoSpaceDN w:val="0"/>
        <w:spacing w:after="0" w:line="240" w:lineRule="auto"/>
        <w:ind w:left="1080"/>
        <w:contextualSpacing w:val="0"/>
        <w:jc w:val="both"/>
        <w:textAlignment w:val="baseline"/>
        <w:rPr>
          <w:rFonts w:ascii="Verdana" w:hAnsi="Verdana"/>
          <w:sz w:val="20"/>
          <w:szCs w:val="20"/>
          <w:highlight w:val="yellow"/>
        </w:rPr>
      </w:pPr>
    </w:p>
    <w:p w14:paraId="00704037" w14:textId="450CB4AA" w:rsidR="00BC4CAE" w:rsidRPr="0055518E" w:rsidRDefault="00B16796" w:rsidP="0055518E">
      <w:pPr>
        <w:jc w:val="both"/>
        <w:rPr>
          <w:rFonts w:ascii="Verdana" w:hAnsi="Verdana" w:cs="Arial"/>
          <w:sz w:val="20"/>
          <w:szCs w:val="20"/>
          <w:lang w:val="fr-BE"/>
        </w:rPr>
      </w:pPr>
      <w:r w:rsidRPr="00321ECC">
        <w:rPr>
          <w:rFonts w:ascii="Verdana" w:hAnsi="Verdana" w:cs="Arial"/>
          <w:sz w:val="20"/>
          <w:szCs w:val="20"/>
          <w:lang w:val="fr-BE"/>
        </w:rPr>
        <w:t xml:space="preserve">Dans le cadre de la mise en œuvre de la composante 4, le projet GPS a procédé à </w:t>
      </w:r>
      <w:r w:rsidR="00D326BF" w:rsidRPr="00321ECC">
        <w:rPr>
          <w:rFonts w:ascii="Verdana" w:hAnsi="Verdana" w:cs="Arial"/>
          <w:sz w:val="20"/>
          <w:szCs w:val="20"/>
          <w:lang w:val="fr-BE"/>
        </w:rPr>
        <w:t>l’</w:t>
      </w:r>
      <w:r w:rsidR="00350CD0" w:rsidRPr="00321ECC">
        <w:rPr>
          <w:rFonts w:ascii="Verdana" w:hAnsi="Verdana" w:cs="Arial"/>
          <w:sz w:val="20"/>
          <w:szCs w:val="20"/>
          <w:lang w:val="fr-BE"/>
        </w:rPr>
        <w:t xml:space="preserve">élaboration d’une première proposition de stratégie de transfert de compétences et de mise en place des secrétariats pour </w:t>
      </w:r>
      <w:r w:rsidR="00D326BF" w:rsidRPr="00321ECC">
        <w:rPr>
          <w:rFonts w:ascii="Verdana" w:hAnsi="Verdana" w:cs="Arial"/>
          <w:sz w:val="20"/>
          <w:szCs w:val="20"/>
          <w:lang w:val="fr-BE"/>
        </w:rPr>
        <w:t xml:space="preserve">appuyer </w:t>
      </w:r>
      <w:r w:rsidR="00350CD0" w:rsidRPr="00321ECC">
        <w:rPr>
          <w:rFonts w:ascii="Verdana" w:hAnsi="Verdana" w:cs="Arial"/>
          <w:sz w:val="20"/>
          <w:szCs w:val="20"/>
          <w:lang w:val="fr-BE"/>
        </w:rPr>
        <w:t>les plateformes régionales</w:t>
      </w:r>
      <w:r w:rsidRPr="00321ECC">
        <w:rPr>
          <w:rFonts w:ascii="Verdana" w:hAnsi="Verdana" w:cs="Arial"/>
          <w:sz w:val="20"/>
          <w:szCs w:val="20"/>
          <w:lang w:val="fr-BE"/>
        </w:rPr>
        <w:t>. Une réflexion a été menée en vue de l</w:t>
      </w:r>
      <w:r w:rsidR="00350CD0" w:rsidRPr="00321ECC">
        <w:rPr>
          <w:rFonts w:ascii="Verdana" w:hAnsi="Verdana" w:cs="Arial"/>
          <w:sz w:val="20"/>
          <w:szCs w:val="20"/>
          <w:lang w:val="fr-BE"/>
        </w:rPr>
        <w:t xml:space="preserve">a fusion des </w:t>
      </w:r>
      <w:r w:rsidRPr="00321ECC">
        <w:rPr>
          <w:rFonts w:ascii="Verdana" w:hAnsi="Verdana" w:cs="Arial"/>
          <w:sz w:val="20"/>
          <w:szCs w:val="20"/>
          <w:lang w:val="fr-BE"/>
        </w:rPr>
        <w:t>S</w:t>
      </w:r>
      <w:r w:rsidR="00350CD0" w:rsidRPr="00321ECC">
        <w:rPr>
          <w:rFonts w:ascii="Verdana" w:hAnsi="Verdana" w:cs="Arial"/>
          <w:sz w:val="20"/>
          <w:szCs w:val="20"/>
          <w:lang w:val="fr-BE"/>
        </w:rPr>
        <w:t>ecrétariats de l’AP-COI et de la plateforme FPOI pour une meilleure efficacité et efficience</w:t>
      </w:r>
      <w:r w:rsidRPr="00321ECC">
        <w:rPr>
          <w:rFonts w:ascii="Verdana" w:hAnsi="Verdana" w:cs="Arial"/>
          <w:sz w:val="20"/>
          <w:szCs w:val="20"/>
          <w:lang w:val="fr-BE"/>
        </w:rPr>
        <w:t xml:space="preserve">. </w:t>
      </w:r>
      <w:r w:rsidR="00BC4CAE" w:rsidRPr="00321ECC">
        <w:rPr>
          <w:rFonts w:ascii="Verdana" w:hAnsi="Verdana" w:cs="Arial"/>
          <w:sz w:val="20"/>
          <w:szCs w:val="20"/>
          <w:lang w:val="fr-BE"/>
        </w:rPr>
        <w:t xml:space="preserve">Ces deux Secrétariats seront hébergés auprès du Secrétariat général de la COI pour constituer </w:t>
      </w:r>
      <w:r w:rsidR="00F75018">
        <w:rPr>
          <w:rFonts w:ascii="Verdana" w:hAnsi="Verdana" w:cs="Arial"/>
          <w:sz w:val="20"/>
          <w:szCs w:val="20"/>
          <w:lang w:val="fr-BE"/>
        </w:rPr>
        <w:t>une « </w:t>
      </w:r>
      <w:r w:rsidR="00BC4CAE" w:rsidRPr="00321ECC">
        <w:rPr>
          <w:rFonts w:ascii="Verdana" w:hAnsi="Verdana" w:cs="Arial"/>
          <w:sz w:val="20"/>
          <w:szCs w:val="20"/>
          <w:lang w:val="fr-BE"/>
        </w:rPr>
        <w:t>U</w:t>
      </w:r>
      <w:r w:rsidR="00350CD0" w:rsidRPr="00321ECC">
        <w:rPr>
          <w:rFonts w:ascii="Verdana" w:hAnsi="Verdana" w:cs="Arial"/>
          <w:sz w:val="20"/>
          <w:szCs w:val="20"/>
          <w:lang w:val="fr-BE"/>
        </w:rPr>
        <w:t>nité</w:t>
      </w:r>
      <w:r w:rsidR="009E2780" w:rsidRPr="00321ECC">
        <w:rPr>
          <w:rFonts w:ascii="Verdana" w:hAnsi="Verdana" w:cs="Arial"/>
          <w:sz w:val="20"/>
          <w:szCs w:val="20"/>
          <w:lang w:val="fr-BE"/>
        </w:rPr>
        <w:t xml:space="preserve"> </w:t>
      </w:r>
      <w:r w:rsidR="00DF370E">
        <w:rPr>
          <w:rFonts w:ascii="Verdana" w:hAnsi="Verdana" w:cs="Arial"/>
          <w:sz w:val="20"/>
          <w:szCs w:val="20"/>
          <w:lang w:val="fr-BE"/>
        </w:rPr>
        <w:t>G</w:t>
      </w:r>
      <w:r w:rsidR="00BF4895" w:rsidRPr="00321ECC">
        <w:rPr>
          <w:rFonts w:ascii="Verdana" w:hAnsi="Verdana" w:cs="Arial"/>
          <w:sz w:val="20"/>
          <w:szCs w:val="20"/>
          <w:lang w:val="fr-BE"/>
        </w:rPr>
        <w:t>ouvernance</w:t>
      </w:r>
      <w:r w:rsidR="00DF370E">
        <w:rPr>
          <w:rFonts w:ascii="Verdana" w:hAnsi="Verdana" w:cs="Arial"/>
          <w:sz w:val="20"/>
          <w:szCs w:val="20"/>
          <w:lang w:val="fr-BE"/>
        </w:rPr>
        <w:t xml:space="preserve"> et</w:t>
      </w:r>
      <w:r w:rsidR="00BF4895" w:rsidRPr="00321ECC">
        <w:rPr>
          <w:rFonts w:ascii="Verdana" w:hAnsi="Verdana" w:cs="Arial"/>
          <w:sz w:val="20"/>
          <w:szCs w:val="20"/>
          <w:lang w:val="fr-BE"/>
        </w:rPr>
        <w:t xml:space="preserve"> </w:t>
      </w:r>
      <w:r w:rsidR="00DF370E">
        <w:rPr>
          <w:rFonts w:ascii="Verdana" w:hAnsi="Verdana" w:cs="Arial"/>
          <w:sz w:val="20"/>
          <w:szCs w:val="20"/>
          <w:lang w:val="fr-BE"/>
        </w:rPr>
        <w:t>D</w:t>
      </w:r>
      <w:r w:rsidR="00BF4895" w:rsidRPr="00321ECC">
        <w:rPr>
          <w:rFonts w:ascii="Verdana" w:hAnsi="Verdana" w:cs="Arial"/>
          <w:sz w:val="20"/>
          <w:szCs w:val="20"/>
          <w:lang w:val="fr-BE"/>
        </w:rPr>
        <w:t xml:space="preserve">iplomatie </w:t>
      </w:r>
      <w:r w:rsidR="00DF370E">
        <w:rPr>
          <w:rFonts w:ascii="Verdana" w:hAnsi="Verdana" w:cs="Arial"/>
          <w:sz w:val="20"/>
          <w:szCs w:val="20"/>
          <w:lang w:val="fr-BE"/>
        </w:rPr>
        <w:t>p</w:t>
      </w:r>
      <w:r w:rsidR="00BF4895" w:rsidRPr="00321ECC">
        <w:rPr>
          <w:rFonts w:ascii="Verdana" w:hAnsi="Verdana" w:cs="Arial"/>
          <w:sz w:val="20"/>
          <w:szCs w:val="20"/>
          <w:lang w:val="fr-BE"/>
        </w:rPr>
        <w:t xml:space="preserve">réventive et </w:t>
      </w:r>
      <w:r w:rsidR="00DF370E">
        <w:rPr>
          <w:rFonts w:ascii="Verdana" w:hAnsi="Verdana" w:cs="Arial"/>
          <w:sz w:val="20"/>
          <w:szCs w:val="20"/>
          <w:lang w:val="fr-BE"/>
        </w:rPr>
        <w:t>p</w:t>
      </w:r>
      <w:r w:rsidR="00BF4895" w:rsidRPr="00321ECC">
        <w:rPr>
          <w:rFonts w:ascii="Verdana" w:hAnsi="Verdana" w:cs="Arial"/>
          <w:sz w:val="20"/>
          <w:szCs w:val="20"/>
          <w:lang w:val="fr-BE"/>
        </w:rPr>
        <w:t>arlementaire</w:t>
      </w:r>
      <w:r w:rsidR="00F75018">
        <w:rPr>
          <w:rFonts w:ascii="Verdana" w:hAnsi="Verdana" w:cs="Arial"/>
          <w:sz w:val="20"/>
          <w:szCs w:val="20"/>
          <w:lang w:val="fr-BE"/>
        </w:rPr>
        <w:t> »</w:t>
      </w:r>
      <w:r w:rsidR="00321ECC" w:rsidRPr="00321ECC">
        <w:rPr>
          <w:rFonts w:ascii="Verdana" w:hAnsi="Verdana" w:cs="Arial"/>
          <w:sz w:val="20"/>
          <w:szCs w:val="20"/>
          <w:lang w:val="fr-BE"/>
        </w:rPr>
        <w:t xml:space="preserve"> (UGDPP-COI)</w:t>
      </w:r>
      <w:r w:rsidR="00321ECC">
        <w:rPr>
          <w:rFonts w:ascii="Verdana" w:hAnsi="Verdana" w:cs="Arial"/>
          <w:sz w:val="20"/>
          <w:szCs w:val="20"/>
          <w:lang w:val="fr-BE"/>
        </w:rPr>
        <w:t>.</w:t>
      </w:r>
      <w:r w:rsidR="00DF370E">
        <w:rPr>
          <w:rFonts w:ascii="Verdana" w:hAnsi="Verdana" w:cs="Arial"/>
          <w:sz w:val="20"/>
          <w:szCs w:val="20"/>
          <w:lang w:val="fr-BE"/>
        </w:rPr>
        <w:t xml:space="preserve"> </w:t>
      </w:r>
      <w:r w:rsidR="00350CD0" w:rsidRPr="0055518E">
        <w:rPr>
          <w:rFonts w:ascii="Verdana" w:hAnsi="Verdana" w:cs="Arial"/>
          <w:sz w:val="20"/>
          <w:szCs w:val="20"/>
          <w:lang w:val="fr-BE"/>
        </w:rPr>
        <w:t xml:space="preserve">Cette proposition </w:t>
      </w:r>
      <w:r w:rsidR="00321ECC" w:rsidRPr="0055518E">
        <w:rPr>
          <w:rFonts w:ascii="Verdana" w:hAnsi="Verdana" w:cs="Arial"/>
          <w:sz w:val="20"/>
          <w:szCs w:val="20"/>
          <w:lang w:val="fr-BE"/>
        </w:rPr>
        <w:t xml:space="preserve">répond ainsi aux besoins </w:t>
      </w:r>
      <w:r w:rsidR="00DF370E">
        <w:rPr>
          <w:rFonts w:ascii="Verdana" w:hAnsi="Verdana" w:cs="Arial"/>
          <w:sz w:val="20"/>
          <w:szCs w:val="20"/>
          <w:lang w:val="fr-BE"/>
        </w:rPr>
        <w:t xml:space="preserve">de </w:t>
      </w:r>
      <w:r w:rsidR="00350CD0" w:rsidRPr="0055518E">
        <w:rPr>
          <w:rFonts w:ascii="Verdana" w:hAnsi="Verdana" w:cs="Arial"/>
          <w:sz w:val="20"/>
          <w:szCs w:val="20"/>
          <w:lang w:val="fr-BE"/>
        </w:rPr>
        <w:t xml:space="preserve">pérennisation des actions </w:t>
      </w:r>
      <w:r w:rsidR="00321ECC" w:rsidRPr="0055518E">
        <w:rPr>
          <w:rFonts w:ascii="Verdana" w:hAnsi="Verdana" w:cs="Arial"/>
          <w:sz w:val="20"/>
          <w:szCs w:val="20"/>
          <w:lang w:val="fr-BE"/>
        </w:rPr>
        <w:t xml:space="preserve">de la COI </w:t>
      </w:r>
      <w:r w:rsidR="00350CD0" w:rsidRPr="0055518E">
        <w:rPr>
          <w:rFonts w:ascii="Verdana" w:hAnsi="Verdana" w:cs="Arial"/>
          <w:sz w:val="20"/>
          <w:szCs w:val="20"/>
          <w:lang w:val="fr-BE"/>
        </w:rPr>
        <w:t xml:space="preserve">dans ce domaine au-delà de la durée du projet. </w:t>
      </w:r>
    </w:p>
    <w:p w14:paraId="3FA059B1" w14:textId="39C4C9D3" w:rsidR="00321ECC" w:rsidRPr="0055518E" w:rsidRDefault="009C3D4D" w:rsidP="0055518E">
      <w:pPr>
        <w:jc w:val="both"/>
        <w:rPr>
          <w:rFonts w:ascii="Verdana" w:hAnsi="Verdana" w:cs="Arial"/>
          <w:sz w:val="20"/>
          <w:szCs w:val="20"/>
          <w:lang w:val="fr-BE"/>
        </w:rPr>
      </w:pPr>
      <w:r w:rsidRPr="0055518E">
        <w:rPr>
          <w:rFonts w:ascii="Verdana" w:hAnsi="Verdana" w:cs="Arial"/>
          <w:sz w:val="20"/>
          <w:szCs w:val="20"/>
          <w:lang w:val="fr-BE"/>
        </w:rPr>
        <w:t>La création d</w:t>
      </w:r>
      <w:r w:rsidR="00BC4CAE" w:rsidRPr="0055518E">
        <w:rPr>
          <w:rFonts w:ascii="Verdana" w:hAnsi="Verdana" w:cs="Arial"/>
          <w:sz w:val="20"/>
          <w:szCs w:val="20"/>
          <w:lang w:val="fr-BE"/>
        </w:rPr>
        <w:t xml:space="preserve">e </w:t>
      </w:r>
      <w:r w:rsidR="00321ECC">
        <w:rPr>
          <w:rFonts w:ascii="Verdana" w:hAnsi="Verdana" w:cs="Arial"/>
          <w:sz w:val="20"/>
          <w:szCs w:val="20"/>
          <w:lang w:val="fr-BE"/>
        </w:rPr>
        <w:t>l’</w:t>
      </w:r>
      <w:r w:rsidR="00321ECC" w:rsidRPr="00321ECC">
        <w:rPr>
          <w:rFonts w:ascii="Verdana" w:hAnsi="Verdana" w:cs="Arial"/>
          <w:sz w:val="20"/>
          <w:szCs w:val="20"/>
          <w:lang w:val="fr-BE"/>
        </w:rPr>
        <w:t>UGDPP-COI</w:t>
      </w:r>
      <w:r w:rsidR="00321ECC">
        <w:rPr>
          <w:rFonts w:ascii="Verdana" w:hAnsi="Verdana" w:cs="Arial"/>
          <w:sz w:val="20"/>
          <w:szCs w:val="20"/>
          <w:lang w:val="fr-BE"/>
        </w:rPr>
        <w:t xml:space="preserve"> </w:t>
      </w:r>
      <w:r w:rsidRPr="0055518E">
        <w:rPr>
          <w:rFonts w:ascii="Verdana" w:hAnsi="Verdana" w:cs="Arial"/>
          <w:sz w:val="20"/>
          <w:szCs w:val="20"/>
          <w:lang w:val="fr-BE"/>
        </w:rPr>
        <w:t>dépend</w:t>
      </w:r>
      <w:r w:rsidR="00321ECC" w:rsidRPr="0055518E">
        <w:rPr>
          <w:rFonts w:ascii="Verdana" w:hAnsi="Verdana" w:cs="Arial"/>
          <w:sz w:val="20"/>
          <w:szCs w:val="20"/>
          <w:lang w:val="fr-BE"/>
        </w:rPr>
        <w:t xml:space="preserve"> également </w:t>
      </w:r>
      <w:r w:rsidRPr="0055518E">
        <w:rPr>
          <w:rFonts w:ascii="Verdana" w:hAnsi="Verdana" w:cs="Arial"/>
          <w:sz w:val="20"/>
          <w:szCs w:val="20"/>
          <w:lang w:val="fr-BE"/>
        </w:rPr>
        <w:t xml:space="preserve">de la stratégie </w:t>
      </w:r>
      <w:r w:rsidR="00BC4CAE" w:rsidRPr="0055518E">
        <w:rPr>
          <w:rFonts w:ascii="Verdana" w:hAnsi="Verdana" w:cs="Arial"/>
          <w:sz w:val="20"/>
          <w:szCs w:val="20"/>
          <w:lang w:val="fr-BE"/>
        </w:rPr>
        <w:t xml:space="preserve">de pérennisation </w:t>
      </w:r>
      <w:r w:rsidR="00390CFE" w:rsidRPr="0055518E">
        <w:rPr>
          <w:rFonts w:ascii="Verdana" w:hAnsi="Verdana" w:cs="Arial"/>
          <w:sz w:val="20"/>
          <w:szCs w:val="20"/>
          <w:lang w:val="fr-BE"/>
        </w:rPr>
        <w:t xml:space="preserve">au niveau institutionnel et </w:t>
      </w:r>
      <w:r w:rsidR="00523206">
        <w:rPr>
          <w:rFonts w:ascii="Verdana" w:hAnsi="Verdana" w:cs="Arial"/>
          <w:sz w:val="20"/>
          <w:szCs w:val="20"/>
          <w:lang w:val="fr-BE"/>
        </w:rPr>
        <w:t>d</w:t>
      </w:r>
      <w:r w:rsidR="00390CFE" w:rsidRPr="0055518E">
        <w:rPr>
          <w:rFonts w:ascii="Verdana" w:hAnsi="Verdana" w:cs="Arial"/>
          <w:sz w:val="20"/>
          <w:szCs w:val="20"/>
          <w:lang w:val="fr-BE"/>
        </w:rPr>
        <w:t xml:space="preserve">es moyens </w:t>
      </w:r>
      <w:r w:rsidR="00BC4CAE" w:rsidRPr="0055518E">
        <w:rPr>
          <w:rFonts w:ascii="Verdana" w:hAnsi="Verdana" w:cs="Arial"/>
          <w:sz w:val="20"/>
          <w:szCs w:val="20"/>
          <w:lang w:val="fr-BE"/>
        </w:rPr>
        <w:t>prévu</w:t>
      </w:r>
      <w:r w:rsidR="00390CFE" w:rsidRPr="0055518E">
        <w:rPr>
          <w:rFonts w:ascii="Verdana" w:hAnsi="Verdana" w:cs="Arial"/>
          <w:sz w:val="20"/>
          <w:szCs w:val="20"/>
          <w:lang w:val="fr-BE"/>
        </w:rPr>
        <w:t>s</w:t>
      </w:r>
      <w:r w:rsidR="00BC4CAE" w:rsidRPr="0055518E">
        <w:rPr>
          <w:rFonts w:ascii="Verdana" w:hAnsi="Verdana" w:cs="Arial"/>
          <w:sz w:val="20"/>
          <w:szCs w:val="20"/>
          <w:lang w:val="fr-BE"/>
        </w:rPr>
        <w:t xml:space="preserve"> par </w:t>
      </w:r>
      <w:r w:rsidRPr="0055518E">
        <w:rPr>
          <w:rFonts w:ascii="Verdana" w:hAnsi="Verdana" w:cs="Arial"/>
          <w:sz w:val="20"/>
          <w:szCs w:val="20"/>
          <w:lang w:val="fr-BE"/>
        </w:rPr>
        <w:t>la COI</w:t>
      </w:r>
      <w:r w:rsidR="00321ECC" w:rsidRPr="0055518E">
        <w:rPr>
          <w:rFonts w:ascii="Verdana" w:hAnsi="Verdana" w:cs="Arial"/>
          <w:sz w:val="20"/>
          <w:szCs w:val="20"/>
          <w:lang w:val="fr-BE"/>
        </w:rPr>
        <w:t xml:space="preserve"> à cet effet</w:t>
      </w:r>
      <w:r w:rsidRPr="0055518E">
        <w:rPr>
          <w:rFonts w:ascii="Verdana" w:hAnsi="Verdana" w:cs="Arial"/>
          <w:sz w:val="20"/>
          <w:szCs w:val="20"/>
          <w:lang w:val="fr-BE"/>
        </w:rPr>
        <w:t>.</w:t>
      </w:r>
      <w:r w:rsidR="009E2780" w:rsidRPr="0055518E">
        <w:rPr>
          <w:rFonts w:ascii="Verdana" w:hAnsi="Verdana" w:cs="Arial"/>
          <w:sz w:val="20"/>
          <w:szCs w:val="20"/>
          <w:lang w:val="fr-BE"/>
        </w:rPr>
        <w:t xml:space="preserve"> </w:t>
      </w:r>
      <w:r w:rsidR="00350CD0" w:rsidRPr="0055518E">
        <w:rPr>
          <w:rFonts w:ascii="Verdana" w:hAnsi="Verdana" w:cs="Arial"/>
          <w:sz w:val="20"/>
          <w:szCs w:val="20"/>
          <w:lang w:val="fr-BE"/>
        </w:rPr>
        <w:t>La pris</w:t>
      </w:r>
      <w:r w:rsidR="00390CFE" w:rsidRPr="0055518E">
        <w:rPr>
          <w:rFonts w:ascii="Verdana" w:hAnsi="Verdana" w:cs="Arial"/>
          <w:sz w:val="20"/>
          <w:szCs w:val="20"/>
          <w:lang w:val="fr-BE"/>
        </w:rPr>
        <w:t>e</w:t>
      </w:r>
      <w:r w:rsidR="00350CD0" w:rsidRPr="0055518E">
        <w:rPr>
          <w:rFonts w:ascii="Verdana" w:hAnsi="Verdana" w:cs="Arial"/>
          <w:sz w:val="20"/>
          <w:szCs w:val="20"/>
          <w:lang w:val="fr-BE"/>
        </w:rPr>
        <w:t xml:space="preserve"> en charge d</w:t>
      </w:r>
      <w:r w:rsidR="00390CFE" w:rsidRPr="0055518E">
        <w:rPr>
          <w:rFonts w:ascii="Verdana" w:hAnsi="Verdana" w:cs="Arial"/>
          <w:sz w:val="20"/>
          <w:szCs w:val="20"/>
          <w:lang w:val="fr-BE"/>
        </w:rPr>
        <w:t>e l’</w:t>
      </w:r>
      <w:r w:rsidR="00321ECC" w:rsidRPr="0055518E">
        <w:rPr>
          <w:rFonts w:ascii="Verdana" w:hAnsi="Verdana" w:cs="Arial"/>
          <w:sz w:val="20"/>
          <w:szCs w:val="20"/>
          <w:lang w:val="fr-BE"/>
        </w:rPr>
        <w:t xml:space="preserve">Unité </w:t>
      </w:r>
      <w:r w:rsidR="00350CD0" w:rsidRPr="0055518E">
        <w:rPr>
          <w:rFonts w:ascii="Verdana" w:hAnsi="Verdana" w:cs="Arial"/>
          <w:sz w:val="20"/>
          <w:szCs w:val="20"/>
          <w:lang w:val="fr-BE"/>
        </w:rPr>
        <w:t xml:space="preserve">(ressources humaines et fonctionnement) devrait être </w:t>
      </w:r>
      <w:r w:rsidR="00321ECC" w:rsidRPr="0055518E">
        <w:rPr>
          <w:rFonts w:ascii="Verdana" w:hAnsi="Verdana" w:cs="Arial"/>
          <w:sz w:val="20"/>
          <w:szCs w:val="20"/>
          <w:lang w:val="fr-BE"/>
        </w:rPr>
        <w:t xml:space="preserve">également </w:t>
      </w:r>
      <w:r w:rsidR="00350CD0" w:rsidRPr="0055518E">
        <w:rPr>
          <w:rFonts w:ascii="Verdana" w:hAnsi="Verdana" w:cs="Arial"/>
          <w:sz w:val="20"/>
          <w:szCs w:val="20"/>
          <w:lang w:val="fr-BE"/>
        </w:rPr>
        <w:t>inscri</w:t>
      </w:r>
      <w:r w:rsidR="00390CFE" w:rsidRPr="0055518E">
        <w:rPr>
          <w:rFonts w:ascii="Verdana" w:hAnsi="Verdana" w:cs="Arial"/>
          <w:sz w:val="20"/>
          <w:szCs w:val="20"/>
          <w:lang w:val="fr-BE"/>
        </w:rPr>
        <w:t>te</w:t>
      </w:r>
      <w:r w:rsidR="00350CD0" w:rsidRPr="0055518E">
        <w:rPr>
          <w:rFonts w:ascii="Verdana" w:hAnsi="Verdana" w:cs="Arial"/>
          <w:sz w:val="20"/>
          <w:szCs w:val="20"/>
          <w:lang w:val="fr-BE"/>
        </w:rPr>
        <w:t xml:space="preserve"> dans le plan de financement de la COI</w:t>
      </w:r>
      <w:r w:rsidR="00A87320" w:rsidRPr="0055518E">
        <w:rPr>
          <w:rFonts w:ascii="Verdana" w:hAnsi="Verdana" w:cs="Arial"/>
          <w:sz w:val="20"/>
          <w:szCs w:val="20"/>
          <w:lang w:val="fr-BE"/>
        </w:rPr>
        <w:t xml:space="preserve"> </w:t>
      </w:r>
      <w:r w:rsidR="00D326BF" w:rsidRPr="0055518E">
        <w:rPr>
          <w:rFonts w:ascii="Verdana" w:hAnsi="Verdana" w:cs="Arial"/>
          <w:sz w:val="20"/>
          <w:szCs w:val="20"/>
          <w:lang w:val="fr-BE"/>
        </w:rPr>
        <w:t xml:space="preserve">à travers </w:t>
      </w:r>
      <w:r w:rsidR="00A87320" w:rsidRPr="0055518E">
        <w:rPr>
          <w:rFonts w:ascii="Verdana" w:hAnsi="Verdana" w:cs="Arial"/>
          <w:sz w:val="20"/>
          <w:szCs w:val="20"/>
          <w:lang w:val="fr-BE"/>
        </w:rPr>
        <w:t xml:space="preserve">son Plan de Développement Stratégique tout en prenant en considération également </w:t>
      </w:r>
      <w:r w:rsidR="00350CD0" w:rsidRPr="0055518E">
        <w:rPr>
          <w:rFonts w:ascii="Verdana" w:hAnsi="Verdana" w:cs="Arial"/>
          <w:sz w:val="20"/>
          <w:szCs w:val="20"/>
          <w:lang w:val="fr-BE"/>
        </w:rPr>
        <w:t xml:space="preserve">la contribution des </w:t>
      </w:r>
      <w:r w:rsidR="00390CFE" w:rsidRPr="0055518E">
        <w:rPr>
          <w:rFonts w:ascii="Verdana" w:hAnsi="Verdana" w:cs="Arial"/>
          <w:sz w:val="20"/>
          <w:szCs w:val="20"/>
          <w:lang w:val="fr-BE"/>
        </w:rPr>
        <w:t>États</w:t>
      </w:r>
      <w:r w:rsidR="00350CD0" w:rsidRPr="0055518E">
        <w:rPr>
          <w:rFonts w:ascii="Verdana" w:hAnsi="Verdana" w:cs="Arial"/>
          <w:sz w:val="20"/>
          <w:szCs w:val="20"/>
          <w:lang w:val="fr-BE"/>
        </w:rPr>
        <w:t xml:space="preserve"> membres.</w:t>
      </w:r>
      <w:r w:rsidR="008272CA" w:rsidRPr="0055518E">
        <w:rPr>
          <w:rFonts w:ascii="Verdana" w:hAnsi="Verdana" w:cs="Arial"/>
          <w:sz w:val="20"/>
          <w:szCs w:val="20"/>
          <w:lang w:val="fr-BE"/>
        </w:rPr>
        <w:t xml:space="preserve"> </w:t>
      </w:r>
      <w:r w:rsidRPr="0055518E">
        <w:rPr>
          <w:rFonts w:ascii="Verdana" w:hAnsi="Verdana" w:cs="Arial"/>
          <w:sz w:val="20"/>
          <w:szCs w:val="20"/>
          <w:lang w:val="fr-BE"/>
        </w:rPr>
        <w:t xml:space="preserve">Cette participation pourrait </w:t>
      </w:r>
      <w:r w:rsidRPr="0055518E">
        <w:rPr>
          <w:rFonts w:ascii="Verdana" w:hAnsi="Verdana" w:cs="Arial"/>
          <w:sz w:val="20"/>
          <w:szCs w:val="20"/>
          <w:lang w:val="fr-BE"/>
        </w:rPr>
        <w:lastRenderedPageBreak/>
        <w:t xml:space="preserve">être de nature différente mais aurait principalement comme objectif d’assurer la viabilité </w:t>
      </w:r>
      <w:r w:rsidR="009A1EDF" w:rsidRPr="0055518E">
        <w:rPr>
          <w:rFonts w:ascii="Verdana" w:hAnsi="Verdana" w:cs="Arial"/>
          <w:sz w:val="20"/>
          <w:szCs w:val="20"/>
          <w:lang w:val="fr-BE"/>
        </w:rPr>
        <w:t xml:space="preserve">de l’unité </w:t>
      </w:r>
      <w:r w:rsidRPr="0055518E">
        <w:rPr>
          <w:rFonts w:ascii="Verdana" w:hAnsi="Verdana" w:cs="Arial"/>
          <w:sz w:val="20"/>
          <w:szCs w:val="20"/>
          <w:lang w:val="fr-BE"/>
        </w:rPr>
        <w:t xml:space="preserve">au-delà de la prise en charge par le bailleur. </w:t>
      </w:r>
    </w:p>
    <w:p w14:paraId="0FA795D1" w14:textId="693B59DB" w:rsidR="007D3345" w:rsidRPr="0055518E" w:rsidRDefault="00321ECC" w:rsidP="0055518E">
      <w:pPr>
        <w:jc w:val="both"/>
        <w:rPr>
          <w:rFonts w:ascii="Verdana" w:hAnsi="Verdana" w:cs="Arial"/>
          <w:sz w:val="20"/>
          <w:szCs w:val="20"/>
          <w:lang w:val="fr-BE"/>
        </w:rPr>
      </w:pPr>
      <w:r w:rsidRPr="0055518E">
        <w:rPr>
          <w:rFonts w:ascii="Verdana" w:hAnsi="Verdana" w:cs="Arial"/>
          <w:sz w:val="20"/>
          <w:szCs w:val="20"/>
          <w:lang w:val="fr-BE"/>
        </w:rPr>
        <w:t>L</w:t>
      </w:r>
      <w:r w:rsidR="00132957">
        <w:rPr>
          <w:rFonts w:ascii="Verdana" w:hAnsi="Verdana" w:cs="Arial"/>
          <w:sz w:val="20"/>
          <w:szCs w:val="20"/>
          <w:lang w:val="fr-BE"/>
        </w:rPr>
        <w:t xml:space="preserve">e processus d’évolution </w:t>
      </w:r>
      <w:r w:rsidR="009C3D4D" w:rsidRPr="0055518E">
        <w:rPr>
          <w:rFonts w:ascii="Verdana" w:hAnsi="Verdana" w:cs="Arial"/>
          <w:sz w:val="20"/>
          <w:szCs w:val="20"/>
          <w:lang w:val="fr-BE"/>
        </w:rPr>
        <w:t>institutionnelle de la COI en cours s’inscrit dans cette perspective de prise en main des projets</w:t>
      </w:r>
      <w:r w:rsidR="00D326BF" w:rsidRPr="0055518E">
        <w:rPr>
          <w:rFonts w:ascii="Verdana" w:hAnsi="Verdana" w:cs="Arial"/>
          <w:sz w:val="20"/>
          <w:szCs w:val="20"/>
          <w:lang w:val="fr-BE"/>
        </w:rPr>
        <w:t xml:space="preserve"> conformément au principe d’appui dégressif des bailleurs et de la contribution progressive des États membres</w:t>
      </w:r>
      <w:r w:rsidR="009C3D4D" w:rsidRPr="0055518E">
        <w:rPr>
          <w:rFonts w:ascii="Verdana" w:hAnsi="Verdana" w:cs="Arial"/>
          <w:sz w:val="20"/>
          <w:szCs w:val="20"/>
          <w:lang w:val="fr-BE"/>
        </w:rPr>
        <w:t>.</w:t>
      </w:r>
      <w:r w:rsidR="009A1EDF" w:rsidRPr="0055518E">
        <w:rPr>
          <w:rFonts w:ascii="Verdana" w:hAnsi="Verdana" w:cs="Arial"/>
          <w:sz w:val="20"/>
          <w:szCs w:val="20"/>
          <w:lang w:val="fr-BE"/>
        </w:rPr>
        <w:t xml:space="preserve"> Une proposition serait d’entamer la réflexion sur la viabilité financière avec les États membres avant la fin de la couverture financière de l’AFD sur base d’une étude à l’interne </w:t>
      </w:r>
      <w:r w:rsidR="00132957">
        <w:rPr>
          <w:rFonts w:ascii="Verdana" w:hAnsi="Verdana" w:cs="Arial"/>
          <w:sz w:val="20"/>
          <w:szCs w:val="20"/>
          <w:lang w:val="fr-BE"/>
        </w:rPr>
        <w:t xml:space="preserve">à </w:t>
      </w:r>
      <w:r w:rsidR="009A1EDF" w:rsidRPr="0055518E">
        <w:rPr>
          <w:rFonts w:ascii="Verdana" w:hAnsi="Verdana" w:cs="Arial"/>
          <w:sz w:val="20"/>
          <w:szCs w:val="20"/>
          <w:lang w:val="fr-BE"/>
        </w:rPr>
        <w:t xml:space="preserve">la COI qui s’appuierait sur l’évaluation intermédiaire du projet. </w:t>
      </w:r>
    </w:p>
    <w:p w14:paraId="18D0A4F8" w14:textId="2CD836D2" w:rsidR="007D3345" w:rsidRPr="0055518E" w:rsidRDefault="00321ECC" w:rsidP="0055518E">
      <w:pPr>
        <w:jc w:val="both"/>
        <w:rPr>
          <w:rFonts w:ascii="Verdana" w:hAnsi="Verdana" w:cs="Arial"/>
          <w:sz w:val="20"/>
          <w:szCs w:val="20"/>
          <w:lang w:val="fr-BE"/>
        </w:rPr>
      </w:pPr>
      <w:r w:rsidRPr="0055518E">
        <w:rPr>
          <w:rFonts w:ascii="Verdana" w:hAnsi="Verdana" w:cs="Arial"/>
          <w:sz w:val="20"/>
          <w:szCs w:val="20"/>
          <w:lang w:val="fr-BE"/>
        </w:rPr>
        <w:t>A court terme, le fonctionnement de l’Unité sera assuré par le projet GPS à travers le budget prévu pour les deux Secrétariats (AP-COI et PFPOI)</w:t>
      </w:r>
      <w:r w:rsidR="004C5D54" w:rsidRPr="0055518E">
        <w:rPr>
          <w:rFonts w:ascii="Verdana" w:hAnsi="Verdana" w:cs="Arial"/>
          <w:sz w:val="20"/>
          <w:szCs w:val="20"/>
          <w:lang w:val="fr-BE"/>
        </w:rPr>
        <w:t xml:space="preserve">. Le projet de termes </w:t>
      </w:r>
      <w:r w:rsidR="00746F2D">
        <w:rPr>
          <w:rFonts w:ascii="Verdana" w:hAnsi="Verdana" w:cs="Arial"/>
          <w:sz w:val="20"/>
          <w:szCs w:val="20"/>
          <w:lang w:val="fr-BE"/>
        </w:rPr>
        <w:t xml:space="preserve">de référence </w:t>
      </w:r>
      <w:r w:rsidR="004C5D54" w:rsidRPr="0055518E">
        <w:rPr>
          <w:rFonts w:ascii="Verdana" w:hAnsi="Verdana" w:cs="Arial"/>
          <w:sz w:val="20"/>
          <w:szCs w:val="20"/>
          <w:lang w:val="fr-BE"/>
        </w:rPr>
        <w:t>de l’Unité prévoit les rôles, fonctions et mandat</w:t>
      </w:r>
      <w:r w:rsidR="0055518E">
        <w:rPr>
          <w:rFonts w:ascii="Verdana" w:hAnsi="Verdana" w:cs="Arial"/>
          <w:sz w:val="20"/>
          <w:szCs w:val="20"/>
          <w:lang w:val="fr-BE"/>
        </w:rPr>
        <w:t>s</w:t>
      </w:r>
      <w:r w:rsidR="004C5D54" w:rsidRPr="0055518E">
        <w:rPr>
          <w:rFonts w:ascii="Verdana" w:hAnsi="Verdana" w:cs="Arial"/>
          <w:sz w:val="20"/>
          <w:szCs w:val="20"/>
          <w:lang w:val="fr-BE"/>
        </w:rPr>
        <w:t xml:space="preserve"> conférés à ladite Unité.</w:t>
      </w:r>
    </w:p>
    <w:p w14:paraId="5C60D562" w14:textId="77777777" w:rsidR="009A1EDF" w:rsidRPr="009A1EDF" w:rsidRDefault="009A1EDF" w:rsidP="009A1EDF">
      <w:pPr>
        <w:pStyle w:val="Paragraphedeliste"/>
        <w:autoSpaceDN w:val="0"/>
        <w:spacing w:after="0" w:line="240" w:lineRule="auto"/>
        <w:contextualSpacing w:val="0"/>
        <w:jc w:val="both"/>
        <w:textAlignment w:val="baseline"/>
        <w:rPr>
          <w:rFonts w:ascii="Verdana" w:hAnsi="Verdana" w:cs="Calibri"/>
          <w:sz w:val="20"/>
          <w:szCs w:val="20"/>
        </w:rPr>
      </w:pPr>
    </w:p>
    <w:p w14:paraId="2F7F5914" w14:textId="608AD6BB" w:rsidR="00955BB3" w:rsidRPr="0008468B" w:rsidRDefault="00955BB3" w:rsidP="00A70123">
      <w:pPr>
        <w:pStyle w:val="Titrepartie"/>
      </w:pPr>
      <w:r w:rsidRPr="0008468B">
        <w:t>Proposition de décision</w:t>
      </w:r>
    </w:p>
    <w:p w14:paraId="05F1F967" w14:textId="53D3329F" w:rsidR="0008468B" w:rsidRPr="004F5C4B" w:rsidRDefault="0008468B" w:rsidP="00FE285D">
      <w:pPr>
        <w:pStyle w:val="Paragraphe"/>
      </w:pPr>
      <w:r w:rsidRPr="004F5C4B">
        <w:t>Le Comité des OPL</w:t>
      </w:r>
      <w:r w:rsidR="00A76B07">
        <w:t> </w:t>
      </w:r>
      <w:r w:rsidR="00E807CD">
        <w:t xml:space="preserve">recommande au Conseil </w:t>
      </w:r>
      <w:r w:rsidR="0001616E">
        <w:t>de :</w:t>
      </w:r>
    </w:p>
    <w:p w14:paraId="2F64FDAD" w14:textId="77777777" w:rsidR="00E72AFF" w:rsidRDefault="00E807CD" w:rsidP="00E72AFF">
      <w:pPr>
        <w:pStyle w:val="Paragraphe"/>
        <w:numPr>
          <w:ilvl w:val="0"/>
          <w:numId w:val="6"/>
        </w:numPr>
        <w:rPr>
          <w:lang w:val="fr-BE"/>
        </w:rPr>
      </w:pPr>
      <w:r>
        <w:rPr>
          <w:lang w:val="fr-BE"/>
        </w:rPr>
        <w:t>se féliciter du démarrage effectif de la mise en œuvre des actions de la COI en faveur de la Gouvernance, Paix et Stabilité dans la région à travers la première année d’exécution du projet GPS.</w:t>
      </w:r>
    </w:p>
    <w:p w14:paraId="07454C69" w14:textId="1E1A3A7D" w:rsidR="00E72AFF" w:rsidRPr="00075CB7" w:rsidRDefault="00E72AFF" w:rsidP="00E72AFF">
      <w:pPr>
        <w:pStyle w:val="Paragraphe"/>
        <w:numPr>
          <w:ilvl w:val="0"/>
          <w:numId w:val="6"/>
        </w:numPr>
        <w:rPr>
          <w:lang w:val="fr-BE"/>
        </w:rPr>
      </w:pPr>
      <w:r>
        <w:rPr>
          <w:lang w:val="fr-BE"/>
        </w:rPr>
        <w:t xml:space="preserve">Se féliciter </w:t>
      </w:r>
      <w:r w:rsidR="00075CB7">
        <w:rPr>
          <w:lang w:val="fr-BE"/>
        </w:rPr>
        <w:t xml:space="preserve">de la mise en œuvre du </w:t>
      </w:r>
      <w:r w:rsidR="00075CB7" w:rsidRPr="00E72AFF">
        <w:rPr>
          <w:rFonts w:eastAsia="Times New Roman"/>
          <w:bCs/>
          <w:lang w:eastAsia="fr-FR"/>
        </w:rPr>
        <w:t xml:space="preserve">Cadre de Coopération </w:t>
      </w:r>
      <w:r w:rsidR="00075CB7" w:rsidRPr="00E72AFF">
        <w:rPr>
          <w:bCs/>
        </w:rPr>
        <w:t>signé le 15 juin 2018</w:t>
      </w:r>
      <w:r w:rsidR="00075CB7">
        <w:rPr>
          <w:bCs/>
        </w:rPr>
        <w:t xml:space="preserve"> entre la COI et l’ONU </w:t>
      </w:r>
      <w:r w:rsidR="00075CB7" w:rsidRPr="00E72AFF">
        <w:rPr>
          <w:bCs/>
        </w:rPr>
        <w:t xml:space="preserve">pour </w:t>
      </w:r>
      <w:r w:rsidR="00075CB7" w:rsidRPr="00E72AFF">
        <w:rPr>
          <w:rFonts w:eastAsia="Times New Roman"/>
          <w:lang w:eastAsia="fr-FR"/>
        </w:rPr>
        <w:t>la promotion et la consolidation de la paix, la sécurité et le développement durable</w:t>
      </w:r>
      <w:r w:rsidR="00075CB7" w:rsidRPr="00E72AFF">
        <w:t xml:space="preserve"> </w:t>
      </w:r>
      <w:r w:rsidR="00075CB7">
        <w:t>à travers l’</w:t>
      </w:r>
      <w:r w:rsidRPr="00E72AFF">
        <w:t xml:space="preserve">organisation </w:t>
      </w:r>
      <w:r w:rsidR="00075CB7">
        <w:t xml:space="preserve">conjointe </w:t>
      </w:r>
      <w:r w:rsidRPr="00E72AFF">
        <w:t xml:space="preserve">de la conférence régionale sur la paix et la </w:t>
      </w:r>
      <w:r w:rsidR="00075CB7" w:rsidRPr="00E72AFF">
        <w:t>stabilit</w:t>
      </w:r>
      <w:r w:rsidR="00075CB7">
        <w:t xml:space="preserve">é les </w:t>
      </w:r>
      <w:r w:rsidRPr="00E72AFF">
        <w:t>30 novembre et 1</w:t>
      </w:r>
      <w:r w:rsidRPr="00E72AFF">
        <w:rPr>
          <w:vertAlign w:val="superscript"/>
        </w:rPr>
        <w:t>er</w:t>
      </w:r>
      <w:r w:rsidRPr="00E72AFF">
        <w:t xml:space="preserve"> décembre 2022 à Maurice.</w:t>
      </w:r>
    </w:p>
    <w:p w14:paraId="4F13C313" w14:textId="122F7484" w:rsidR="00131FA0" w:rsidRPr="00B4589E" w:rsidRDefault="00A341AA" w:rsidP="00FA6C2F">
      <w:pPr>
        <w:pStyle w:val="Paragraphe"/>
        <w:numPr>
          <w:ilvl w:val="0"/>
          <w:numId w:val="6"/>
        </w:numPr>
        <w:rPr>
          <w:lang w:val="fr-BE"/>
        </w:rPr>
      </w:pPr>
      <w:r w:rsidRPr="005A7253">
        <w:rPr>
          <w:lang w:val="fr-BE"/>
        </w:rPr>
        <w:t xml:space="preserve">Noter avec satisfaction la redynamisation des plateformes régionales œuvrant </w:t>
      </w:r>
      <w:r w:rsidR="005A7253" w:rsidRPr="005A7253">
        <w:rPr>
          <w:lang w:val="fr-BE"/>
        </w:rPr>
        <w:t xml:space="preserve">respectivement </w:t>
      </w:r>
      <w:r w:rsidRPr="005A7253">
        <w:rPr>
          <w:lang w:val="fr-BE"/>
        </w:rPr>
        <w:t>dans le</w:t>
      </w:r>
      <w:r w:rsidR="003A528D">
        <w:rPr>
          <w:lang w:val="fr-BE"/>
        </w:rPr>
        <w:t>s</w:t>
      </w:r>
      <w:r w:rsidRPr="005A7253">
        <w:rPr>
          <w:lang w:val="fr-BE"/>
        </w:rPr>
        <w:t xml:space="preserve"> domaine</w:t>
      </w:r>
      <w:r w:rsidR="003A528D">
        <w:rPr>
          <w:lang w:val="fr-BE"/>
        </w:rPr>
        <w:t>s</w:t>
      </w:r>
      <w:r w:rsidRPr="005A7253">
        <w:rPr>
          <w:lang w:val="fr-BE"/>
        </w:rPr>
        <w:t xml:space="preserve"> de la diplomatie parlementaire (Association des Parlementaires de</w:t>
      </w:r>
      <w:r w:rsidR="003A528D">
        <w:rPr>
          <w:lang w:val="fr-BE"/>
        </w:rPr>
        <w:t>s Etats membres de</w:t>
      </w:r>
      <w:r w:rsidRPr="005A7253">
        <w:rPr>
          <w:lang w:val="fr-BE"/>
        </w:rPr>
        <w:t xml:space="preserve"> la COI), la gestion des </w:t>
      </w:r>
      <w:r w:rsidR="005A7253" w:rsidRPr="005A7253">
        <w:rPr>
          <w:lang w:val="fr-BE"/>
        </w:rPr>
        <w:t>élections</w:t>
      </w:r>
      <w:r w:rsidRPr="005A7253">
        <w:rPr>
          <w:lang w:val="fr-BE"/>
        </w:rPr>
        <w:t xml:space="preserve"> (</w:t>
      </w:r>
      <w:r w:rsidR="005A7253" w:rsidRPr="00522386">
        <w:t>Réseau électoral de l’océan Indien</w:t>
      </w:r>
      <w:r w:rsidRPr="005A7253">
        <w:rPr>
          <w:lang w:val="fr-BE"/>
        </w:rPr>
        <w:t>)</w:t>
      </w:r>
      <w:r w:rsidR="005A7253" w:rsidRPr="005A7253">
        <w:rPr>
          <w:lang w:val="fr-BE"/>
        </w:rPr>
        <w:t>, la promotion de la participation politique des femmes</w:t>
      </w:r>
      <w:r w:rsidR="005A7253">
        <w:rPr>
          <w:lang w:val="fr-BE"/>
        </w:rPr>
        <w:t xml:space="preserve"> (</w:t>
      </w:r>
      <w:r w:rsidR="005A7253" w:rsidRPr="00522386">
        <w:t xml:space="preserve">plateforme des </w:t>
      </w:r>
      <w:r w:rsidR="005A7253">
        <w:t>f</w:t>
      </w:r>
      <w:r w:rsidR="005A7253" w:rsidRPr="00522386">
        <w:t>emmes en politique de l’océan Indien</w:t>
      </w:r>
      <w:r w:rsidR="005A7253">
        <w:t>)</w:t>
      </w:r>
      <w:r w:rsidR="00131FA0">
        <w:t>.</w:t>
      </w:r>
    </w:p>
    <w:p w14:paraId="2B2477D3" w14:textId="4CC9461C" w:rsidR="00B4589E" w:rsidRPr="00131FA0" w:rsidRDefault="00B4589E" w:rsidP="00FA6C2F">
      <w:pPr>
        <w:pStyle w:val="Paragraphe"/>
        <w:numPr>
          <w:ilvl w:val="0"/>
          <w:numId w:val="6"/>
        </w:numPr>
        <w:rPr>
          <w:lang w:val="fr-BE"/>
        </w:rPr>
      </w:pPr>
      <w:r>
        <w:rPr>
          <w:lang w:val="fr-BE"/>
        </w:rPr>
        <w:t xml:space="preserve">Adresser ses remerciements à la Présidence </w:t>
      </w:r>
      <w:r w:rsidR="000A26F3">
        <w:rPr>
          <w:lang w:val="fr-BE"/>
        </w:rPr>
        <w:t xml:space="preserve">mauricienne </w:t>
      </w:r>
      <w:r>
        <w:rPr>
          <w:lang w:val="fr-BE"/>
        </w:rPr>
        <w:t xml:space="preserve">de l’AP-COI et </w:t>
      </w:r>
      <w:r w:rsidR="000A26F3">
        <w:rPr>
          <w:lang w:val="fr-BE"/>
        </w:rPr>
        <w:t xml:space="preserve">au </w:t>
      </w:r>
      <w:r>
        <w:rPr>
          <w:lang w:val="fr-BE"/>
        </w:rPr>
        <w:t>parlement malagasy pour leur contribution au processus de redynamisation de l’Association</w:t>
      </w:r>
      <w:r w:rsidR="000A26F3">
        <w:rPr>
          <w:lang w:val="fr-BE"/>
        </w:rPr>
        <w:t>.</w:t>
      </w:r>
    </w:p>
    <w:p w14:paraId="1CD9ADD0" w14:textId="0D541FDE" w:rsidR="00E518B4" w:rsidRPr="005A7253" w:rsidRDefault="00131FA0" w:rsidP="00FA6C2F">
      <w:pPr>
        <w:pStyle w:val="Paragraphe"/>
        <w:numPr>
          <w:ilvl w:val="0"/>
          <w:numId w:val="6"/>
        </w:numPr>
        <w:rPr>
          <w:lang w:val="fr-BE"/>
        </w:rPr>
      </w:pPr>
      <w:r>
        <w:rPr>
          <w:lang w:val="fr-BE"/>
        </w:rPr>
        <w:t xml:space="preserve">Réitérer l’importance d’associer ces plateformes régionales aux actions de coopération politique et diplomatique de la COI </w:t>
      </w:r>
      <w:r w:rsidR="005A7253">
        <w:t>et de confirmer la volonté de la COI à appuyer ces initiatives régionales à travers le projet GPS.</w:t>
      </w:r>
    </w:p>
    <w:p w14:paraId="0B94CCAC" w14:textId="164DB3AD" w:rsidR="005A7253" w:rsidRDefault="00DC1CA2" w:rsidP="00FA6C2F">
      <w:pPr>
        <w:pStyle w:val="Paragraphe"/>
        <w:numPr>
          <w:ilvl w:val="0"/>
          <w:numId w:val="6"/>
        </w:numPr>
        <w:rPr>
          <w:lang w:val="fr-BE"/>
        </w:rPr>
      </w:pPr>
      <w:r>
        <w:rPr>
          <w:lang w:val="fr-BE"/>
        </w:rPr>
        <w:t xml:space="preserve">Adhérer aux décisions issues de la réunion des Présidents de l’AP-COI et </w:t>
      </w:r>
      <w:r w:rsidR="009962D3">
        <w:rPr>
          <w:lang w:val="fr-BE"/>
        </w:rPr>
        <w:t>du séminaire sur la redynamisation de la plateforme des femmes en politique de l’océan Indien relatives à l’hébergement des  Secrétariats de ces deux plateformes régionales auprès du Secrétariat général de la COI.</w:t>
      </w:r>
    </w:p>
    <w:p w14:paraId="0AA8A384" w14:textId="1AC289F1" w:rsidR="009962D3" w:rsidRPr="00014DAA" w:rsidRDefault="00014DAA" w:rsidP="00014DAA">
      <w:pPr>
        <w:pStyle w:val="Paragraphe"/>
        <w:numPr>
          <w:ilvl w:val="0"/>
          <w:numId w:val="6"/>
        </w:numPr>
        <w:rPr>
          <w:lang w:val="fr-BE"/>
        </w:rPr>
      </w:pPr>
      <w:r>
        <w:rPr>
          <w:lang w:val="fr-BE"/>
        </w:rPr>
        <w:t>A</w:t>
      </w:r>
      <w:r w:rsidR="00C74F33" w:rsidRPr="0038706A">
        <w:rPr>
          <w:lang w:val="fr-BE"/>
        </w:rPr>
        <w:t>ppro</w:t>
      </w:r>
      <w:r>
        <w:rPr>
          <w:lang w:val="fr-BE"/>
        </w:rPr>
        <w:t xml:space="preserve">uver </w:t>
      </w:r>
      <w:r w:rsidR="00C74F33" w:rsidRPr="0038706A">
        <w:rPr>
          <w:lang w:val="fr-BE"/>
        </w:rPr>
        <w:t>les termes de références qui définissent</w:t>
      </w:r>
      <w:r w:rsidR="0018418C">
        <w:rPr>
          <w:lang w:val="fr-BE"/>
        </w:rPr>
        <w:t xml:space="preserve"> </w:t>
      </w:r>
      <w:r w:rsidR="0055518E" w:rsidRPr="0038706A">
        <w:t>les rôles, fonctions et mandat</w:t>
      </w:r>
      <w:r w:rsidR="00C74F33" w:rsidRPr="0038706A">
        <w:rPr>
          <w:lang w:val="fr-BE"/>
        </w:rPr>
        <w:t xml:space="preserve"> de </w:t>
      </w:r>
      <w:r w:rsidR="0038706A" w:rsidRPr="00321ECC">
        <w:rPr>
          <w:rFonts w:cs="Arial"/>
          <w:lang w:val="fr-BE"/>
        </w:rPr>
        <w:t>l’Unité Gouvernance, Diplomatie Préventive et Parlementaire (UGDPP-COI)</w:t>
      </w:r>
      <w:r>
        <w:rPr>
          <w:rFonts w:cs="Arial"/>
          <w:lang w:val="fr-BE"/>
        </w:rPr>
        <w:t xml:space="preserve"> au sein du Secrétariat général</w:t>
      </w:r>
      <w:r w:rsidR="007407C1">
        <w:rPr>
          <w:rFonts w:cs="Arial"/>
          <w:lang w:val="fr-BE"/>
        </w:rPr>
        <w:t xml:space="preserve"> </w:t>
      </w:r>
      <w:r>
        <w:rPr>
          <w:rFonts w:cs="Arial"/>
          <w:lang w:val="fr-BE"/>
        </w:rPr>
        <w:t xml:space="preserve">et donner son accord à la </w:t>
      </w:r>
      <w:r w:rsidRPr="0038706A">
        <w:rPr>
          <w:lang w:val="fr-BE"/>
        </w:rPr>
        <w:t>création d</w:t>
      </w:r>
      <w:r>
        <w:rPr>
          <w:lang w:val="fr-BE"/>
        </w:rPr>
        <w:t xml:space="preserve">e cette </w:t>
      </w:r>
      <w:r w:rsidRPr="0038706A">
        <w:rPr>
          <w:rFonts w:cs="Arial"/>
          <w:lang w:val="fr-BE"/>
        </w:rPr>
        <w:t xml:space="preserve">Unité </w:t>
      </w:r>
      <w:r>
        <w:rPr>
          <w:rFonts w:cs="Arial"/>
          <w:lang w:val="fr-BE"/>
        </w:rPr>
        <w:t xml:space="preserve">dont le fonctionnement bénéficiera du soutien en ressources humaines et techniques du projet GPS et éventuellement de mise à disposition de personnel ou experts par les États membres </w:t>
      </w:r>
      <w:r w:rsidR="00FD18D5">
        <w:rPr>
          <w:rFonts w:cs="Arial"/>
          <w:lang w:val="fr-BE"/>
        </w:rPr>
        <w:t>ou les plateformes régionales redynamisées (AP-COI, PF</w:t>
      </w:r>
      <w:r w:rsidR="00676A90">
        <w:rPr>
          <w:rFonts w:cs="Arial"/>
          <w:lang w:val="fr-BE"/>
        </w:rPr>
        <w:t xml:space="preserve">POI). </w:t>
      </w:r>
    </w:p>
    <w:p w14:paraId="356958BC" w14:textId="57129BE6" w:rsidR="005E2BDC" w:rsidRPr="0038706A" w:rsidRDefault="00760951" w:rsidP="00FA6C2F">
      <w:pPr>
        <w:pStyle w:val="Paragraphe"/>
        <w:numPr>
          <w:ilvl w:val="0"/>
          <w:numId w:val="6"/>
        </w:numPr>
        <w:rPr>
          <w:lang w:val="fr-BE"/>
        </w:rPr>
      </w:pPr>
      <w:r w:rsidRPr="0038706A">
        <w:rPr>
          <w:lang w:val="fr-BE"/>
        </w:rPr>
        <w:t xml:space="preserve">Demander au </w:t>
      </w:r>
      <w:r w:rsidR="00D871C9" w:rsidRPr="0038706A">
        <w:rPr>
          <w:lang w:val="fr-BE"/>
        </w:rPr>
        <w:t xml:space="preserve">Secrétariat </w:t>
      </w:r>
      <w:r w:rsidR="000B324E">
        <w:rPr>
          <w:lang w:val="fr-BE"/>
        </w:rPr>
        <w:t>g</w:t>
      </w:r>
      <w:r w:rsidR="00D871C9" w:rsidRPr="0038706A">
        <w:rPr>
          <w:lang w:val="fr-BE"/>
        </w:rPr>
        <w:t>énéral</w:t>
      </w:r>
      <w:r w:rsidRPr="0038706A">
        <w:rPr>
          <w:lang w:val="fr-BE"/>
        </w:rPr>
        <w:t xml:space="preserve"> de mobiliser les moyens </w:t>
      </w:r>
      <w:r w:rsidR="00D871C9" w:rsidRPr="0038706A">
        <w:rPr>
          <w:lang w:val="fr-BE"/>
        </w:rPr>
        <w:t xml:space="preserve">humains, techniques </w:t>
      </w:r>
      <w:r w:rsidRPr="0038706A">
        <w:rPr>
          <w:lang w:val="fr-BE"/>
        </w:rPr>
        <w:t>et f</w:t>
      </w:r>
      <w:r w:rsidR="00D871C9" w:rsidRPr="0038706A">
        <w:rPr>
          <w:lang w:val="fr-BE"/>
        </w:rPr>
        <w:t xml:space="preserve">inanciers afin de rendre opérationnel au sein du </w:t>
      </w:r>
      <w:proofErr w:type="spellStart"/>
      <w:r w:rsidR="00D871C9" w:rsidRPr="0038706A">
        <w:rPr>
          <w:lang w:val="fr-BE"/>
        </w:rPr>
        <w:t>Secr</w:t>
      </w:r>
      <w:proofErr w:type="spellEnd"/>
      <w:r w:rsidR="0001616E" w:rsidRPr="0038706A">
        <w:t>é</w:t>
      </w:r>
      <w:r w:rsidR="00D871C9" w:rsidRPr="0038706A">
        <w:rPr>
          <w:lang w:val="fr-BE"/>
        </w:rPr>
        <w:t>t</w:t>
      </w:r>
      <w:proofErr w:type="spellStart"/>
      <w:r w:rsidR="00D871C9" w:rsidRPr="0038706A">
        <w:t>ariat</w:t>
      </w:r>
      <w:proofErr w:type="spellEnd"/>
      <w:r w:rsidR="00D871C9" w:rsidRPr="0038706A">
        <w:t xml:space="preserve"> général </w:t>
      </w:r>
      <w:r w:rsidR="00A41EF7">
        <w:t>l’</w:t>
      </w:r>
      <w:r w:rsidR="0038706A" w:rsidRPr="0038706A">
        <w:rPr>
          <w:rFonts w:cs="Arial"/>
          <w:lang w:val="fr-BE"/>
        </w:rPr>
        <w:t>UGDPP-COI</w:t>
      </w:r>
      <w:r w:rsidR="00D871C9" w:rsidRPr="0038706A">
        <w:rPr>
          <w:lang w:val="fr-BE"/>
        </w:rPr>
        <w:t xml:space="preserve"> à travers le recrutement des postes nécessaires prévus par le projet GPS et/ou la </w:t>
      </w:r>
      <w:r w:rsidR="00D871C9" w:rsidRPr="0038706A">
        <w:rPr>
          <w:lang w:val="fr-BE"/>
        </w:rPr>
        <w:lastRenderedPageBreak/>
        <w:t>mise à disposition d’experts/personnel par les États ou les plateformes régionales telle que l’AP-COI.</w:t>
      </w:r>
    </w:p>
    <w:p w14:paraId="0A206295" w14:textId="2130F26F" w:rsidR="00A76B07" w:rsidRPr="0038706A" w:rsidRDefault="009B13BE" w:rsidP="00326289">
      <w:pPr>
        <w:pStyle w:val="Paragraphe"/>
        <w:numPr>
          <w:ilvl w:val="0"/>
          <w:numId w:val="6"/>
        </w:numPr>
        <w:rPr>
          <w:lang w:val="fr-BE"/>
        </w:rPr>
      </w:pPr>
      <w:r>
        <w:rPr>
          <w:lang w:val="fr-BE"/>
        </w:rPr>
        <w:t>Demander au Secrétariat général de proposer aux instances décisionnelles</w:t>
      </w:r>
      <w:r w:rsidR="000A29D2">
        <w:rPr>
          <w:lang w:val="fr-BE"/>
        </w:rPr>
        <w:t xml:space="preserve"> un cadre de pérennisation de l’UGDPP-COI</w:t>
      </w:r>
      <w:r w:rsidR="00C30409">
        <w:rPr>
          <w:lang w:val="fr-BE"/>
        </w:rPr>
        <w:t>, incluant l</w:t>
      </w:r>
      <w:r w:rsidR="00326289" w:rsidRPr="0038706A">
        <w:rPr>
          <w:lang w:val="fr-BE"/>
        </w:rPr>
        <w:t>es modalités de financement</w:t>
      </w:r>
      <w:r w:rsidR="00C30409">
        <w:rPr>
          <w:lang w:val="fr-BE"/>
        </w:rPr>
        <w:t xml:space="preserve">, </w:t>
      </w:r>
      <w:r w:rsidR="0034097E" w:rsidRPr="0038706A">
        <w:rPr>
          <w:lang w:val="fr-BE"/>
        </w:rPr>
        <w:t>conformément aux objectifs fixés dans le cadre de l’évolution institutionnelle de la COI et du Plan de Développement Stratégique.</w:t>
      </w:r>
    </w:p>
    <w:p w14:paraId="7DB01477" w14:textId="10960E31" w:rsidR="005A7253" w:rsidRPr="00D47F36" w:rsidRDefault="00597942" w:rsidP="0008468B">
      <w:pPr>
        <w:pStyle w:val="Paragraphe"/>
        <w:numPr>
          <w:ilvl w:val="0"/>
          <w:numId w:val="6"/>
        </w:numPr>
        <w:rPr>
          <w:lang w:val="fr-BE"/>
        </w:rPr>
      </w:pPr>
      <w:r>
        <w:rPr>
          <w:lang w:val="fr-BE"/>
        </w:rPr>
        <w:t>Remercier l’Agence Française de Développement pour son appui aux actions en faveur de la gouvernance démocratique, la paix et la stabilité dans la région à travers le projet GPS.</w:t>
      </w:r>
    </w:p>
    <w:p w14:paraId="4EBDE354" w14:textId="77777777" w:rsidR="000C28A4" w:rsidRPr="009E2780" w:rsidRDefault="000C28A4" w:rsidP="0008468B">
      <w:pPr>
        <w:jc w:val="both"/>
        <w:rPr>
          <w:rFonts w:ascii="Verdana" w:hAnsi="Verdana" w:cs="Calibri"/>
          <w:sz w:val="20"/>
          <w:szCs w:val="20"/>
          <w:lang w:val="fr-BE"/>
        </w:rPr>
      </w:pPr>
    </w:p>
    <w:p w14:paraId="7EAEB404" w14:textId="72ACB4A7" w:rsidR="00955BB3" w:rsidRPr="0008468B" w:rsidRDefault="00955BB3" w:rsidP="00FE285D">
      <w:pPr>
        <w:pStyle w:val="Titrepartie"/>
      </w:pPr>
      <w:r w:rsidRPr="0008468B">
        <w:t>Rappel des décisions antérieures</w:t>
      </w:r>
    </w:p>
    <w:bookmarkEnd w:id="0"/>
    <w:p w14:paraId="75614568" w14:textId="77777777" w:rsidR="00EA0E0A" w:rsidRDefault="00EA0E0A" w:rsidP="00EA0E0A">
      <w:pPr>
        <w:pStyle w:val="Exergue"/>
      </w:pPr>
    </w:p>
    <w:p w14:paraId="28D4D251" w14:textId="57FF90C4" w:rsidR="00EA0E0A" w:rsidRPr="00EA0E0A" w:rsidRDefault="00EA0E0A" w:rsidP="00EA0E0A">
      <w:pPr>
        <w:pStyle w:val="Exergue"/>
      </w:pPr>
      <w:r w:rsidRPr="00EA0E0A">
        <w:t>Déclaration finale, IIIème Sommet des chefs d’État et de gouvernement de la COI, 22 juillet 2005</w:t>
      </w:r>
    </w:p>
    <w:p w14:paraId="1710C030" w14:textId="77777777" w:rsidR="00EA0E0A" w:rsidRDefault="00EA0E0A" w:rsidP="00EA0E0A">
      <w:pPr>
        <w:pStyle w:val="Exergue"/>
      </w:pPr>
    </w:p>
    <w:p w14:paraId="5C32D1EA" w14:textId="27201985" w:rsidR="000A26F3" w:rsidRPr="00356D6C" w:rsidRDefault="000A26F3" w:rsidP="000A26F3">
      <w:pPr>
        <w:pStyle w:val="Exergue"/>
      </w:pPr>
      <w:r>
        <w:t>Décision 1, Stabilité politique, 3</w:t>
      </w:r>
      <w:r w:rsidR="00927103">
        <w:t>1</w:t>
      </w:r>
      <w:r>
        <w:t xml:space="preserve">eme Conseil des ministres de la COI, 26 </w:t>
      </w:r>
      <w:r w:rsidR="002B6A84">
        <w:t>février</w:t>
      </w:r>
      <w:r>
        <w:t xml:space="preserve"> 2016.</w:t>
      </w:r>
    </w:p>
    <w:p w14:paraId="2613AF24" w14:textId="77777777" w:rsidR="000A26F3" w:rsidRDefault="000A26F3" w:rsidP="00EA0E0A">
      <w:pPr>
        <w:pStyle w:val="Exergue"/>
      </w:pPr>
    </w:p>
    <w:p w14:paraId="313E23E5" w14:textId="5C363171" w:rsidR="00EA0E0A" w:rsidRDefault="00EA0E0A" w:rsidP="00EA0E0A">
      <w:pPr>
        <w:pStyle w:val="Exergue"/>
      </w:pPr>
      <w:r w:rsidRPr="00EA0E0A">
        <w:t>Décision 1, Stabilité politique, 32ème Conseil des ministres de la COI du 01er mars 2017 à Saint-Denis, La Réunion</w:t>
      </w:r>
      <w:r>
        <w:t>.</w:t>
      </w:r>
    </w:p>
    <w:p w14:paraId="587F5F8E" w14:textId="77777777" w:rsidR="00EA0E0A" w:rsidRDefault="00EA0E0A" w:rsidP="00EA0E0A">
      <w:pPr>
        <w:pStyle w:val="Exergue"/>
      </w:pPr>
    </w:p>
    <w:p w14:paraId="7FEF1AE6" w14:textId="37F54C5D" w:rsidR="00EA0E0A" w:rsidRPr="00EA0E0A" w:rsidRDefault="00EA0E0A" w:rsidP="00EA0E0A">
      <w:pPr>
        <w:pStyle w:val="Exergue"/>
      </w:pPr>
      <w:r w:rsidRPr="00EA0E0A">
        <w:t>Décision 2, stabilité politique, du 33ème Conseil des ministres du 12 et 13 septembre 2019 à Maurice.</w:t>
      </w:r>
    </w:p>
    <w:p w14:paraId="38156BC9" w14:textId="77777777" w:rsidR="00EA0E0A" w:rsidRDefault="00EA0E0A" w:rsidP="00EA0E0A">
      <w:pPr>
        <w:pStyle w:val="Exergue"/>
      </w:pPr>
    </w:p>
    <w:p w14:paraId="3F515614" w14:textId="08413C8E" w:rsidR="00EA0E0A" w:rsidRPr="00EA0E0A" w:rsidRDefault="0008468B" w:rsidP="0038706A">
      <w:pPr>
        <w:pStyle w:val="Exergue"/>
      </w:pPr>
      <w:r w:rsidRPr="00FE285D">
        <w:t xml:space="preserve">Décision </w:t>
      </w:r>
      <w:r w:rsidR="00EA0E0A">
        <w:t>8, Paix, stabilité et gouvernance, 34eme Conseil, 6 mars 2020, Seychelles.</w:t>
      </w:r>
    </w:p>
    <w:p w14:paraId="394622C1" w14:textId="77777777" w:rsidR="00EA0E0A" w:rsidRDefault="00EA0E0A" w:rsidP="00417683">
      <w:pPr>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50C0E86C" w:rsidR="00C325F5" w:rsidRPr="0038706A" w:rsidRDefault="00620B90" w:rsidP="00620B90">
      <w:pPr>
        <w:pStyle w:val="Paragraphe"/>
        <w:numPr>
          <w:ilvl w:val="0"/>
          <w:numId w:val="9"/>
        </w:numPr>
      </w:pPr>
      <w:r w:rsidRPr="0038706A">
        <w:t xml:space="preserve">Annexe 1 : </w:t>
      </w:r>
      <w:r w:rsidR="009E2780" w:rsidRPr="0038706A">
        <w:t>Note sur le transfert de compétences</w:t>
      </w:r>
    </w:p>
    <w:p w14:paraId="6D59C2F5" w14:textId="49095480" w:rsidR="0038706A" w:rsidRPr="0038706A" w:rsidRDefault="00620B90" w:rsidP="00B5492A">
      <w:pPr>
        <w:pStyle w:val="Paragraphe"/>
        <w:numPr>
          <w:ilvl w:val="0"/>
          <w:numId w:val="9"/>
        </w:numPr>
      </w:pPr>
      <w:r w:rsidRPr="0038706A">
        <w:t xml:space="preserve">Annexe 2 : </w:t>
      </w:r>
      <w:r w:rsidR="009E2780" w:rsidRPr="0038706A">
        <w:t>Termes de références d</w:t>
      </w:r>
      <w:r w:rsidR="00BB756E">
        <w:t>e</w:t>
      </w:r>
      <w:r w:rsidR="009E2780" w:rsidRPr="0038706A">
        <w:t xml:space="preserve"> </w:t>
      </w:r>
      <w:r w:rsidR="0038706A" w:rsidRPr="0038706A">
        <w:rPr>
          <w:rFonts w:cs="Arial"/>
          <w:lang w:val="fr-BE"/>
        </w:rPr>
        <w:t>l’Unité Gouvernance, Diplomatie Préventive et Parlementaire (UGDPP-COI)</w:t>
      </w:r>
    </w:p>
    <w:p w14:paraId="1E17975B" w14:textId="5266CA71" w:rsidR="00A87320" w:rsidRPr="003E306E" w:rsidRDefault="008272CA" w:rsidP="00B5492A">
      <w:pPr>
        <w:pStyle w:val="Paragraphe"/>
        <w:numPr>
          <w:ilvl w:val="0"/>
          <w:numId w:val="9"/>
        </w:numPr>
      </w:pPr>
      <w:r>
        <w:t xml:space="preserve">Annexe 3 : </w:t>
      </w:r>
      <w:r w:rsidR="00414B7B">
        <w:t>C</w:t>
      </w:r>
      <w:r w:rsidR="00DC3816">
        <w:t xml:space="preserve">ompte rendu de la </w:t>
      </w:r>
      <w:r w:rsidR="003E306E" w:rsidRPr="003E306E">
        <w:t>réunion</w:t>
      </w:r>
      <w:r w:rsidR="00A87320" w:rsidRPr="003E306E">
        <w:t xml:space="preserve"> </w:t>
      </w:r>
      <w:r w:rsidR="00BB756E">
        <w:t xml:space="preserve">des </w:t>
      </w:r>
      <w:r w:rsidR="003E306E" w:rsidRPr="003E306E">
        <w:t xml:space="preserve">présidents AP-COI </w:t>
      </w:r>
    </w:p>
    <w:p w14:paraId="0CB6AEB4" w14:textId="3F86C444" w:rsidR="00A87320" w:rsidRPr="003E306E" w:rsidRDefault="008272CA" w:rsidP="00620B90">
      <w:pPr>
        <w:pStyle w:val="Paragraphe"/>
        <w:numPr>
          <w:ilvl w:val="0"/>
          <w:numId w:val="9"/>
        </w:numPr>
      </w:pPr>
      <w:r>
        <w:t xml:space="preserve">Annexe 4 : </w:t>
      </w:r>
      <w:r w:rsidR="00A87320" w:rsidRPr="003E306E">
        <w:t>C</w:t>
      </w:r>
      <w:r w:rsidR="00DC3816">
        <w:t xml:space="preserve">ompte rendu de la </w:t>
      </w:r>
      <w:r w:rsidR="003E306E" w:rsidRPr="003E306E">
        <w:t>réunion</w:t>
      </w:r>
      <w:r w:rsidR="00A87320" w:rsidRPr="003E306E">
        <w:t xml:space="preserve"> COMEX</w:t>
      </w:r>
      <w:r w:rsidR="009A1EDF">
        <w:t xml:space="preserve"> AP-COI</w:t>
      </w:r>
    </w:p>
    <w:p w14:paraId="226F5C77" w14:textId="06C6FA5A" w:rsidR="00A87320" w:rsidRPr="003E306E" w:rsidRDefault="008272CA" w:rsidP="00620B90">
      <w:pPr>
        <w:pStyle w:val="Paragraphe"/>
        <w:numPr>
          <w:ilvl w:val="0"/>
          <w:numId w:val="9"/>
        </w:numPr>
      </w:pPr>
      <w:r>
        <w:t xml:space="preserve">Annexe 5 : </w:t>
      </w:r>
      <w:r w:rsidR="00A87320" w:rsidRPr="003E306E">
        <w:t>C</w:t>
      </w:r>
      <w:r w:rsidR="00DC3816">
        <w:t xml:space="preserve">ompte rendu du séminaire sur la redynamisation de la </w:t>
      </w:r>
      <w:r w:rsidR="009A1EDF">
        <w:t>plateforme des</w:t>
      </w:r>
      <w:r w:rsidR="00A87320" w:rsidRPr="003E306E">
        <w:t xml:space="preserve"> femmes en politiques</w:t>
      </w:r>
      <w:r w:rsidR="003E306E" w:rsidRPr="003E306E">
        <w:t xml:space="preserve"> </w:t>
      </w:r>
      <w:r w:rsidR="009A1EDF">
        <w:t>de l’océan Indien</w:t>
      </w:r>
    </w:p>
    <w:p w14:paraId="22EF09D2" w14:textId="18364BFA" w:rsidR="00A87320" w:rsidRPr="003E306E" w:rsidRDefault="008272CA" w:rsidP="00620B90">
      <w:pPr>
        <w:pStyle w:val="Paragraphe"/>
        <w:numPr>
          <w:ilvl w:val="0"/>
          <w:numId w:val="9"/>
        </w:numPr>
      </w:pPr>
      <w:r>
        <w:t>Annexe</w:t>
      </w:r>
      <w:r w:rsidR="00A96D0D">
        <w:t>s</w:t>
      </w:r>
      <w:r>
        <w:t xml:space="preserve"> 6</w:t>
      </w:r>
      <w:r w:rsidR="00A96D0D">
        <w:t>a et 6b</w:t>
      </w:r>
      <w:r>
        <w:t xml:space="preserve"> : </w:t>
      </w:r>
      <w:r w:rsidR="00A96D0D">
        <w:t xml:space="preserve">Déclaration de la REOI et </w:t>
      </w:r>
      <w:r w:rsidR="00A87320" w:rsidRPr="003E306E">
        <w:t>C</w:t>
      </w:r>
      <w:r w:rsidR="00DC3816">
        <w:t xml:space="preserve">ompte rendu de la </w:t>
      </w:r>
      <w:r w:rsidR="003E306E" w:rsidRPr="003E306E">
        <w:t>réunion</w:t>
      </w:r>
      <w:r w:rsidR="00A87320" w:rsidRPr="003E306E">
        <w:t xml:space="preserve"> </w:t>
      </w:r>
      <w:r w:rsidR="00DC3816">
        <w:t xml:space="preserve">du </w:t>
      </w:r>
      <w:r w:rsidR="00A87320" w:rsidRPr="003E306E">
        <w:t xml:space="preserve">REOI </w:t>
      </w:r>
    </w:p>
    <w:p w14:paraId="7084C2D5" w14:textId="798024CE" w:rsidR="00A87320" w:rsidRPr="003E306E" w:rsidRDefault="008272CA" w:rsidP="00620B90">
      <w:pPr>
        <w:pStyle w:val="Paragraphe"/>
        <w:numPr>
          <w:ilvl w:val="0"/>
          <w:numId w:val="9"/>
        </w:numPr>
      </w:pPr>
      <w:r>
        <w:t xml:space="preserve">Annexe 7 : </w:t>
      </w:r>
      <w:r w:rsidR="003E306E" w:rsidRPr="003E306E">
        <w:t>Rapport de la conférence sur la prévention des crises</w:t>
      </w:r>
    </w:p>
    <w:sectPr w:rsidR="00A87320" w:rsidRPr="003E306E"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473D" w14:textId="77777777" w:rsidR="00CF1FFF" w:rsidRDefault="00CF1FFF">
      <w:pPr>
        <w:spacing w:after="0" w:line="240" w:lineRule="auto"/>
      </w:pPr>
      <w:r>
        <w:separator/>
      </w:r>
    </w:p>
  </w:endnote>
  <w:endnote w:type="continuationSeparator" w:id="0">
    <w:p w14:paraId="2C3EE420" w14:textId="77777777" w:rsidR="00CF1FFF" w:rsidRDefault="00CF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Content>
      <w:p w14:paraId="4D3A5F2A" w14:textId="741ACFFB"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rsidR="009A1EDF">
          <w:rPr>
            <w:noProof/>
          </w:rPr>
          <w:t>1</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4A4B" w14:textId="77777777" w:rsidR="00CF1FFF" w:rsidRDefault="00CF1FFF">
      <w:pPr>
        <w:spacing w:after="0" w:line="240" w:lineRule="auto"/>
      </w:pPr>
      <w:r>
        <w:separator/>
      </w:r>
    </w:p>
  </w:footnote>
  <w:footnote w:type="continuationSeparator" w:id="0">
    <w:p w14:paraId="57790083" w14:textId="77777777" w:rsidR="00CF1FFF" w:rsidRDefault="00CF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0C299FA4" w:rsidR="00063A26" w:rsidRDefault="00854EEA" w:rsidP="00063A26">
    <w:pPr>
      <w:pStyle w:val="En-tte"/>
      <w:tabs>
        <w:tab w:val="clear" w:pos="4536"/>
        <w:tab w:val="clear" w:pos="9072"/>
        <w:tab w:val="center" w:pos="0"/>
      </w:tabs>
      <w:rPr>
        <w:b/>
        <w:bCs/>
      </w:rPr>
    </w:pPr>
    <w:r>
      <w:rPr>
        <w:i/>
        <w:iCs/>
        <w:noProof/>
        <w:lang w:val="en-US"/>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3062E8">
      <w:rPr>
        <w:rFonts w:ascii="Verdana" w:hAnsi="Verdana"/>
        <w:b/>
        <w:bCs/>
        <w:sz w:val="20"/>
        <w:szCs w:val="20"/>
      </w:rPr>
      <w:t>2.1.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559"/>
    <w:multiLevelType w:val="hybridMultilevel"/>
    <w:tmpl w:val="51C66FF8"/>
    <w:lvl w:ilvl="0" w:tplc="02D05728">
      <w:start w:val="1"/>
      <w:numFmt w:val="bullet"/>
      <w:lvlText w:val="•"/>
      <w:lvlJc w:val="left"/>
      <w:pPr>
        <w:tabs>
          <w:tab w:val="num" w:pos="720"/>
        </w:tabs>
        <w:ind w:left="720" w:hanging="360"/>
      </w:pPr>
      <w:rPr>
        <w:rFonts w:ascii="Arial" w:hAnsi="Arial" w:hint="default"/>
      </w:rPr>
    </w:lvl>
    <w:lvl w:ilvl="1" w:tplc="1EBED88A" w:tentative="1">
      <w:start w:val="1"/>
      <w:numFmt w:val="bullet"/>
      <w:lvlText w:val="•"/>
      <w:lvlJc w:val="left"/>
      <w:pPr>
        <w:tabs>
          <w:tab w:val="num" w:pos="1440"/>
        </w:tabs>
        <w:ind w:left="1440" w:hanging="360"/>
      </w:pPr>
      <w:rPr>
        <w:rFonts w:ascii="Arial" w:hAnsi="Arial" w:hint="default"/>
      </w:rPr>
    </w:lvl>
    <w:lvl w:ilvl="2" w:tplc="E93410AC" w:tentative="1">
      <w:start w:val="1"/>
      <w:numFmt w:val="bullet"/>
      <w:lvlText w:val="•"/>
      <w:lvlJc w:val="left"/>
      <w:pPr>
        <w:tabs>
          <w:tab w:val="num" w:pos="2160"/>
        </w:tabs>
        <w:ind w:left="2160" w:hanging="360"/>
      </w:pPr>
      <w:rPr>
        <w:rFonts w:ascii="Arial" w:hAnsi="Arial" w:hint="default"/>
      </w:rPr>
    </w:lvl>
    <w:lvl w:ilvl="3" w:tplc="E2ECF276" w:tentative="1">
      <w:start w:val="1"/>
      <w:numFmt w:val="bullet"/>
      <w:lvlText w:val="•"/>
      <w:lvlJc w:val="left"/>
      <w:pPr>
        <w:tabs>
          <w:tab w:val="num" w:pos="2880"/>
        </w:tabs>
        <w:ind w:left="2880" w:hanging="360"/>
      </w:pPr>
      <w:rPr>
        <w:rFonts w:ascii="Arial" w:hAnsi="Arial" w:hint="default"/>
      </w:rPr>
    </w:lvl>
    <w:lvl w:ilvl="4" w:tplc="2AE877F8" w:tentative="1">
      <w:start w:val="1"/>
      <w:numFmt w:val="bullet"/>
      <w:lvlText w:val="•"/>
      <w:lvlJc w:val="left"/>
      <w:pPr>
        <w:tabs>
          <w:tab w:val="num" w:pos="3600"/>
        </w:tabs>
        <w:ind w:left="3600" w:hanging="360"/>
      </w:pPr>
      <w:rPr>
        <w:rFonts w:ascii="Arial" w:hAnsi="Arial" w:hint="default"/>
      </w:rPr>
    </w:lvl>
    <w:lvl w:ilvl="5" w:tplc="FBD6D876" w:tentative="1">
      <w:start w:val="1"/>
      <w:numFmt w:val="bullet"/>
      <w:lvlText w:val="•"/>
      <w:lvlJc w:val="left"/>
      <w:pPr>
        <w:tabs>
          <w:tab w:val="num" w:pos="4320"/>
        </w:tabs>
        <w:ind w:left="4320" w:hanging="360"/>
      </w:pPr>
      <w:rPr>
        <w:rFonts w:ascii="Arial" w:hAnsi="Arial" w:hint="default"/>
      </w:rPr>
    </w:lvl>
    <w:lvl w:ilvl="6" w:tplc="CE7C1412" w:tentative="1">
      <w:start w:val="1"/>
      <w:numFmt w:val="bullet"/>
      <w:lvlText w:val="•"/>
      <w:lvlJc w:val="left"/>
      <w:pPr>
        <w:tabs>
          <w:tab w:val="num" w:pos="5040"/>
        </w:tabs>
        <w:ind w:left="5040" w:hanging="360"/>
      </w:pPr>
      <w:rPr>
        <w:rFonts w:ascii="Arial" w:hAnsi="Arial" w:hint="default"/>
      </w:rPr>
    </w:lvl>
    <w:lvl w:ilvl="7" w:tplc="580E9386" w:tentative="1">
      <w:start w:val="1"/>
      <w:numFmt w:val="bullet"/>
      <w:lvlText w:val="•"/>
      <w:lvlJc w:val="left"/>
      <w:pPr>
        <w:tabs>
          <w:tab w:val="num" w:pos="5760"/>
        </w:tabs>
        <w:ind w:left="5760" w:hanging="360"/>
      </w:pPr>
      <w:rPr>
        <w:rFonts w:ascii="Arial" w:hAnsi="Arial" w:hint="default"/>
      </w:rPr>
    </w:lvl>
    <w:lvl w:ilvl="8" w:tplc="F7F075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777FB7"/>
    <w:multiLevelType w:val="hybridMultilevel"/>
    <w:tmpl w:val="A4B8B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1217CB"/>
    <w:multiLevelType w:val="hybridMultilevel"/>
    <w:tmpl w:val="D2DE2E90"/>
    <w:lvl w:ilvl="0" w:tplc="040C0015">
      <w:start w:val="1"/>
      <w:numFmt w:val="upperLetter"/>
      <w:lvlText w:val="%1."/>
      <w:lvlJc w:val="left"/>
      <w:pPr>
        <w:ind w:left="1440" w:hanging="360"/>
      </w:pPr>
    </w:lvl>
    <w:lvl w:ilvl="1" w:tplc="040C0013">
      <w:start w:val="1"/>
      <w:numFmt w:val="upperRoman"/>
      <w:lvlText w:val="%2."/>
      <w:lvlJc w:val="right"/>
      <w:pPr>
        <w:ind w:left="2160" w:hanging="360"/>
      </w:pPr>
    </w:lvl>
    <w:lvl w:ilvl="2" w:tplc="B800596C">
      <w:start w:val="1"/>
      <w:numFmt w:val="lowerLetter"/>
      <w:lvlText w:val="%3)"/>
      <w:lvlJc w:val="left"/>
      <w:pPr>
        <w:ind w:left="3060" w:hanging="360"/>
      </w:pPr>
      <w:rPr>
        <w:rFonts w:hint="default"/>
      </w:r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457017"/>
    <w:multiLevelType w:val="hybridMultilevel"/>
    <w:tmpl w:val="C988E3C4"/>
    <w:lvl w:ilvl="0" w:tplc="B800596C">
      <w:start w:val="1"/>
      <w:numFmt w:val="lowerLetter"/>
      <w:lvlText w:val="%1)"/>
      <w:lvlJc w:val="left"/>
      <w:pPr>
        <w:ind w:left="30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623BCD"/>
    <w:multiLevelType w:val="hybridMultilevel"/>
    <w:tmpl w:val="77962222"/>
    <w:lvl w:ilvl="0" w:tplc="18AAB5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15A09C3"/>
    <w:multiLevelType w:val="hybridMultilevel"/>
    <w:tmpl w:val="3C82AC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623F13"/>
    <w:multiLevelType w:val="hybridMultilevel"/>
    <w:tmpl w:val="08EE09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0A3383"/>
    <w:multiLevelType w:val="hybridMultilevel"/>
    <w:tmpl w:val="08EE09A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3B47197"/>
    <w:multiLevelType w:val="hybridMultilevel"/>
    <w:tmpl w:val="89563E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5A27B61"/>
    <w:multiLevelType w:val="hybridMultilevel"/>
    <w:tmpl w:val="FF16AFA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0E7064"/>
    <w:multiLevelType w:val="hybridMultilevel"/>
    <w:tmpl w:val="B8FAFFAA"/>
    <w:lvl w:ilvl="0" w:tplc="7F9C21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2B7EDE"/>
    <w:multiLevelType w:val="hybridMultilevel"/>
    <w:tmpl w:val="08EE09A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87F6FBE"/>
    <w:multiLevelType w:val="multilevel"/>
    <w:tmpl w:val="2140E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437631"/>
    <w:multiLevelType w:val="hybridMultilevel"/>
    <w:tmpl w:val="E62CCF4A"/>
    <w:lvl w:ilvl="0" w:tplc="23140D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48381461">
    <w:abstractNumId w:val="6"/>
  </w:num>
  <w:num w:numId="2" w16cid:durableId="1864202517">
    <w:abstractNumId w:val="17"/>
  </w:num>
  <w:num w:numId="3" w16cid:durableId="382677498">
    <w:abstractNumId w:val="3"/>
  </w:num>
  <w:num w:numId="4" w16cid:durableId="1494494468">
    <w:abstractNumId w:val="1"/>
  </w:num>
  <w:num w:numId="5" w16cid:durableId="1304625895">
    <w:abstractNumId w:val="16"/>
  </w:num>
  <w:num w:numId="6" w16cid:durableId="798299687">
    <w:abstractNumId w:val="5"/>
  </w:num>
  <w:num w:numId="7" w16cid:durableId="364721596">
    <w:abstractNumId w:val="8"/>
  </w:num>
  <w:num w:numId="8" w16cid:durableId="2089763328">
    <w:abstractNumId w:val="3"/>
    <w:lvlOverride w:ilvl="0">
      <w:startOverride w:val="1"/>
    </w:lvlOverride>
  </w:num>
  <w:num w:numId="9" w16cid:durableId="1408383840">
    <w:abstractNumId w:val="2"/>
  </w:num>
  <w:num w:numId="10" w16cid:durableId="467936626">
    <w:abstractNumId w:val="4"/>
  </w:num>
  <w:num w:numId="11" w16cid:durableId="663572">
    <w:abstractNumId w:val="12"/>
  </w:num>
  <w:num w:numId="12" w16cid:durableId="398404118">
    <w:abstractNumId w:val="10"/>
  </w:num>
  <w:num w:numId="13" w16cid:durableId="1783383375">
    <w:abstractNumId w:val="19"/>
  </w:num>
  <w:num w:numId="14" w16cid:durableId="196937732">
    <w:abstractNumId w:val="20"/>
  </w:num>
  <w:num w:numId="15" w16cid:durableId="1688483500">
    <w:abstractNumId w:val="14"/>
  </w:num>
  <w:num w:numId="16" w16cid:durableId="1486582533">
    <w:abstractNumId w:val="13"/>
  </w:num>
  <w:num w:numId="17" w16cid:durableId="862789260">
    <w:abstractNumId w:val="21"/>
  </w:num>
  <w:num w:numId="18" w16cid:durableId="714235665">
    <w:abstractNumId w:val="7"/>
  </w:num>
  <w:num w:numId="19" w16cid:durableId="1488012857">
    <w:abstractNumId w:val="11"/>
  </w:num>
  <w:num w:numId="20" w16cid:durableId="2121488510">
    <w:abstractNumId w:val="9"/>
  </w:num>
  <w:num w:numId="21" w16cid:durableId="1484812536">
    <w:abstractNumId w:val="15"/>
  </w:num>
  <w:num w:numId="22" w16cid:durableId="1586954292">
    <w:abstractNumId w:val="0"/>
  </w:num>
  <w:num w:numId="23" w16cid:durableId="3309114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683"/>
    <w:rsid w:val="00014DAA"/>
    <w:rsid w:val="0001616E"/>
    <w:rsid w:val="000373B2"/>
    <w:rsid w:val="00041573"/>
    <w:rsid w:val="00042CF5"/>
    <w:rsid w:val="00051385"/>
    <w:rsid w:val="00053876"/>
    <w:rsid w:val="00060159"/>
    <w:rsid w:val="00060CA0"/>
    <w:rsid w:val="00063A26"/>
    <w:rsid w:val="00075CB7"/>
    <w:rsid w:val="0008468B"/>
    <w:rsid w:val="00094029"/>
    <w:rsid w:val="000A26F3"/>
    <w:rsid w:val="000A29D2"/>
    <w:rsid w:val="000A468A"/>
    <w:rsid w:val="000B0FBD"/>
    <w:rsid w:val="000B324E"/>
    <w:rsid w:val="000C28A4"/>
    <w:rsid w:val="000F4728"/>
    <w:rsid w:val="0010307E"/>
    <w:rsid w:val="00107D9D"/>
    <w:rsid w:val="001160FF"/>
    <w:rsid w:val="00131FA0"/>
    <w:rsid w:val="00132957"/>
    <w:rsid w:val="001512C6"/>
    <w:rsid w:val="00171679"/>
    <w:rsid w:val="0018252D"/>
    <w:rsid w:val="0018418C"/>
    <w:rsid w:val="001A56F1"/>
    <w:rsid w:val="001B4738"/>
    <w:rsid w:val="00247580"/>
    <w:rsid w:val="002554F6"/>
    <w:rsid w:val="002A0933"/>
    <w:rsid w:val="002A096E"/>
    <w:rsid w:val="002B6A84"/>
    <w:rsid w:val="002C56ED"/>
    <w:rsid w:val="002D6E31"/>
    <w:rsid w:val="002F4298"/>
    <w:rsid w:val="002F5500"/>
    <w:rsid w:val="003062E8"/>
    <w:rsid w:val="00321ECC"/>
    <w:rsid w:val="00326289"/>
    <w:rsid w:val="0034097E"/>
    <w:rsid w:val="00350CD0"/>
    <w:rsid w:val="00356D6C"/>
    <w:rsid w:val="003604B9"/>
    <w:rsid w:val="00371FAB"/>
    <w:rsid w:val="003772FB"/>
    <w:rsid w:val="0038706A"/>
    <w:rsid w:val="00390CFE"/>
    <w:rsid w:val="00391152"/>
    <w:rsid w:val="00392D97"/>
    <w:rsid w:val="003974D3"/>
    <w:rsid w:val="003A528D"/>
    <w:rsid w:val="003C2538"/>
    <w:rsid w:val="003C5B8F"/>
    <w:rsid w:val="003D485F"/>
    <w:rsid w:val="003D5328"/>
    <w:rsid w:val="003E306E"/>
    <w:rsid w:val="00403535"/>
    <w:rsid w:val="0041278C"/>
    <w:rsid w:val="004132C8"/>
    <w:rsid w:val="00414B7B"/>
    <w:rsid w:val="00417683"/>
    <w:rsid w:val="00426673"/>
    <w:rsid w:val="004607F7"/>
    <w:rsid w:val="0049566A"/>
    <w:rsid w:val="004B2598"/>
    <w:rsid w:val="004C5D54"/>
    <w:rsid w:val="004F5C4B"/>
    <w:rsid w:val="00523206"/>
    <w:rsid w:val="0053773D"/>
    <w:rsid w:val="0055518E"/>
    <w:rsid w:val="00560CFC"/>
    <w:rsid w:val="00597942"/>
    <w:rsid w:val="005A7253"/>
    <w:rsid w:val="005E2BDC"/>
    <w:rsid w:val="00605105"/>
    <w:rsid w:val="00620B90"/>
    <w:rsid w:val="006356AF"/>
    <w:rsid w:val="006548BF"/>
    <w:rsid w:val="00660504"/>
    <w:rsid w:val="00676A90"/>
    <w:rsid w:val="006E2D9E"/>
    <w:rsid w:val="007407C1"/>
    <w:rsid w:val="00746F2D"/>
    <w:rsid w:val="007472B3"/>
    <w:rsid w:val="00760951"/>
    <w:rsid w:val="007B245C"/>
    <w:rsid w:val="007C78FC"/>
    <w:rsid w:val="007D3345"/>
    <w:rsid w:val="007D4935"/>
    <w:rsid w:val="007E13A7"/>
    <w:rsid w:val="00816DAC"/>
    <w:rsid w:val="008272CA"/>
    <w:rsid w:val="0083290E"/>
    <w:rsid w:val="00843FF2"/>
    <w:rsid w:val="008453AB"/>
    <w:rsid w:val="00854EEA"/>
    <w:rsid w:val="008551DA"/>
    <w:rsid w:val="008613BB"/>
    <w:rsid w:val="00887D5D"/>
    <w:rsid w:val="008B3F6E"/>
    <w:rsid w:val="008C69BB"/>
    <w:rsid w:val="008D193F"/>
    <w:rsid w:val="008F173C"/>
    <w:rsid w:val="00900DBC"/>
    <w:rsid w:val="00927103"/>
    <w:rsid w:val="00933502"/>
    <w:rsid w:val="00934B28"/>
    <w:rsid w:val="00943C13"/>
    <w:rsid w:val="009502AA"/>
    <w:rsid w:val="00955BB3"/>
    <w:rsid w:val="009962D3"/>
    <w:rsid w:val="009A1EDF"/>
    <w:rsid w:val="009A38AD"/>
    <w:rsid w:val="009B13BE"/>
    <w:rsid w:val="009C3D4D"/>
    <w:rsid w:val="009E2780"/>
    <w:rsid w:val="009F2634"/>
    <w:rsid w:val="00A148A1"/>
    <w:rsid w:val="00A341AA"/>
    <w:rsid w:val="00A36C09"/>
    <w:rsid w:val="00A37C9F"/>
    <w:rsid w:val="00A41EF7"/>
    <w:rsid w:val="00A42490"/>
    <w:rsid w:val="00A5286E"/>
    <w:rsid w:val="00A67FBB"/>
    <w:rsid w:val="00A70123"/>
    <w:rsid w:val="00A76B07"/>
    <w:rsid w:val="00A81B98"/>
    <w:rsid w:val="00A87320"/>
    <w:rsid w:val="00A90305"/>
    <w:rsid w:val="00A96D0D"/>
    <w:rsid w:val="00AA63A3"/>
    <w:rsid w:val="00AB5EB7"/>
    <w:rsid w:val="00AD2D69"/>
    <w:rsid w:val="00AD4D97"/>
    <w:rsid w:val="00AE2453"/>
    <w:rsid w:val="00AE7917"/>
    <w:rsid w:val="00B05DFC"/>
    <w:rsid w:val="00B133B6"/>
    <w:rsid w:val="00B13569"/>
    <w:rsid w:val="00B16796"/>
    <w:rsid w:val="00B2656A"/>
    <w:rsid w:val="00B36EEA"/>
    <w:rsid w:val="00B4589E"/>
    <w:rsid w:val="00BA4B55"/>
    <w:rsid w:val="00BB5580"/>
    <w:rsid w:val="00BB756E"/>
    <w:rsid w:val="00BC4CAE"/>
    <w:rsid w:val="00BE259C"/>
    <w:rsid w:val="00BE2839"/>
    <w:rsid w:val="00BF4895"/>
    <w:rsid w:val="00C12C93"/>
    <w:rsid w:val="00C30409"/>
    <w:rsid w:val="00C325F5"/>
    <w:rsid w:val="00C36A70"/>
    <w:rsid w:val="00C457E8"/>
    <w:rsid w:val="00C609B9"/>
    <w:rsid w:val="00C67ACA"/>
    <w:rsid w:val="00C74F33"/>
    <w:rsid w:val="00CE2386"/>
    <w:rsid w:val="00CF1FFF"/>
    <w:rsid w:val="00D30FCE"/>
    <w:rsid w:val="00D323F1"/>
    <w:rsid w:val="00D326BF"/>
    <w:rsid w:val="00D47F36"/>
    <w:rsid w:val="00D86D40"/>
    <w:rsid w:val="00D871C9"/>
    <w:rsid w:val="00D9010E"/>
    <w:rsid w:val="00DB185D"/>
    <w:rsid w:val="00DC1CA2"/>
    <w:rsid w:val="00DC3816"/>
    <w:rsid w:val="00DD5DE4"/>
    <w:rsid w:val="00DF370E"/>
    <w:rsid w:val="00E32408"/>
    <w:rsid w:val="00E429DA"/>
    <w:rsid w:val="00E518B4"/>
    <w:rsid w:val="00E72AFF"/>
    <w:rsid w:val="00E807CD"/>
    <w:rsid w:val="00E845D4"/>
    <w:rsid w:val="00EA0E0A"/>
    <w:rsid w:val="00EA555D"/>
    <w:rsid w:val="00EB6605"/>
    <w:rsid w:val="00EC22CC"/>
    <w:rsid w:val="00EC3BDD"/>
    <w:rsid w:val="00ED6B69"/>
    <w:rsid w:val="00EE34F4"/>
    <w:rsid w:val="00EF22A4"/>
    <w:rsid w:val="00F54EA0"/>
    <w:rsid w:val="00F75018"/>
    <w:rsid w:val="00F96EE9"/>
    <w:rsid w:val="00FD18D5"/>
    <w:rsid w:val="00FE285D"/>
    <w:rsid w:val="00FF554E"/>
    <w:rsid w:val="00FF61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References,List_Paragraph,Multilevel para_II,List Paragraph1,Lapis Bulleted List,Citation List,List Paragraph (numbered (a)),ReferencesCxSpLast,lp1,Colorful List - Accent 12,Main numbered paragraph,Resume Title,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References Car,List_Paragraph Car,Multilevel para_II Car,List Paragraph1 Car,Lapis Bulleted List Car,Citation List Car,List Paragraph (numbered (a)) Car,ReferencesCxSpLast Car,lp1 Car,Colorful List - Accent 12 Car,Paragraph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Textedebulles">
    <w:name w:val="Balloon Text"/>
    <w:basedOn w:val="Normal"/>
    <w:link w:val="TextedebullesCar"/>
    <w:uiPriority w:val="99"/>
    <w:semiHidden/>
    <w:unhideWhenUsed/>
    <w:rsid w:val="009C3D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3D4D"/>
    <w:rPr>
      <w:rFonts w:ascii="Segoe UI" w:hAnsi="Segoe UI" w:cs="Segoe UI"/>
      <w:sz w:val="18"/>
      <w:szCs w:val="18"/>
    </w:rPr>
  </w:style>
  <w:style w:type="paragraph" w:styleId="NormalWeb">
    <w:name w:val="Normal (Web)"/>
    <w:basedOn w:val="Normal"/>
    <w:uiPriority w:val="99"/>
    <w:unhideWhenUsed/>
    <w:rsid w:val="00EA0E0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7D3345"/>
    <w:pPr>
      <w:spacing w:after="0" w:line="240" w:lineRule="auto"/>
    </w:pPr>
    <w:rPr>
      <w:sz w:val="24"/>
      <w:szCs w:val="24"/>
      <w:lang w:val="fr-BE"/>
    </w:rPr>
  </w:style>
  <w:style w:type="paragraph" w:styleId="Notedebasdepage">
    <w:name w:val="footnote text"/>
    <w:aliases w:val="Footnote Text Char1,Footnote Text Char Char,Char,single space,FOOTNOTES,fn,ALTS FOOTNOTE,Footnote Text Char2 Char,Footnote Text Char1 Char Char,Footnote Text Char2 Char Char Char,ft,Footnote Text Char1 Char Char Char Char,Fußnote"/>
    <w:basedOn w:val="Normal"/>
    <w:link w:val="NotedebasdepageCar"/>
    <w:uiPriority w:val="99"/>
    <w:unhideWhenUsed/>
    <w:qFormat/>
    <w:rsid w:val="007D3345"/>
    <w:pPr>
      <w:spacing w:after="0" w:line="240" w:lineRule="auto"/>
    </w:pPr>
    <w:rPr>
      <w:sz w:val="20"/>
      <w:szCs w:val="20"/>
      <w:lang w:val="fr-BE"/>
    </w:rPr>
  </w:style>
  <w:style w:type="character" w:customStyle="1" w:styleId="NotedebasdepageCar">
    <w:name w:val="Note de bas de page Car"/>
    <w:aliases w:val="Footnote Text Char1 Car,Footnote Text Char Char Car,Char Car,single space Car,FOOTNOTES Car,fn Car,ALTS FOOTNOTE Car,Footnote Text Char2 Char Car,Footnote Text Char1 Char Char Car,Footnote Text Char2 Char Char Char Car,ft Car"/>
    <w:basedOn w:val="Policepardfaut"/>
    <w:link w:val="Notedebasdepage"/>
    <w:uiPriority w:val="99"/>
    <w:rsid w:val="007D3345"/>
    <w:rPr>
      <w:sz w:val="20"/>
      <w:szCs w:val="20"/>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ftref,BVI fnr Char, BVI fnr,Ref"/>
    <w:basedOn w:val="Policepardfaut"/>
    <w:link w:val="Char2"/>
    <w:uiPriority w:val="99"/>
    <w:unhideWhenUsed/>
    <w:qFormat/>
    <w:rsid w:val="007D3345"/>
    <w:rPr>
      <w:vertAlign w:val="superscript"/>
    </w:rPr>
  </w:style>
  <w:style w:type="paragraph" w:customStyle="1" w:styleId="Char2">
    <w:name w:val="Char2"/>
    <w:basedOn w:val="Normal"/>
    <w:link w:val="Appelnotedebasdep"/>
    <w:uiPriority w:val="99"/>
    <w:rsid w:val="007D3345"/>
    <w:pPr>
      <w:spacing w:after="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66691059">
      <w:bodyDiv w:val="1"/>
      <w:marLeft w:val="0"/>
      <w:marRight w:val="0"/>
      <w:marTop w:val="0"/>
      <w:marBottom w:val="0"/>
      <w:divBdr>
        <w:top w:val="none" w:sz="0" w:space="0" w:color="auto"/>
        <w:left w:val="none" w:sz="0" w:space="0" w:color="auto"/>
        <w:bottom w:val="none" w:sz="0" w:space="0" w:color="auto"/>
        <w:right w:val="none" w:sz="0" w:space="0" w:color="auto"/>
      </w:divBdr>
      <w:divsChild>
        <w:div w:id="1974209417">
          <w:marLeft w:val="547"/>
          <w:marRight w:val="0"/>
          <w:marTop w:val="106"/>
          <w:marBottom w:val="0"/>
          <w:divBdr>
            <w:top w:val="none" w:sz="0" w:space="0" w:color="auto"/>
            <w:left w:val="none" w:sz="0" w:space="0" w:color="auto"/>
            <w:bottom w:val="none" w:sz="0" w:space="0" w:color="auto"/>
            <w:right w:val="none" w:sz="0" w:space="0" w:color="auto"/>
          </w:divBdr>
        </w:div>
      </w:divsChild>
    </w:div>
    <w:div w:id="1784496072">
      <w:bodyDiv w:val="1"/>
      <w:marLeft w:val="0"/>
      <w:marRight w:val="0"/>
      <w:marTop w:val="0"/>
      <w:marBottom w:val="0"/>
      <w:divBdr>
        <w:top w:val="none" w:sz="0" w:space="0" w:color="auto"/>
        <w:left w:val="none" w:sz="0" w:space="0" w:color="auto"/>
        <w:bottom w:val="none" w:sz="0" w:space="0" w:color="auto"/>
        <w:right w:val="none" w:sz="0" w:space="0" w:color="auto"/>
      </w:divBdr>
      <w:divsChild>
        <w:div w:id="1596130507">
          <w:marLeft w:val="0"/>
          <w:marRight w:val="0"/>
          <w:marTop w:val="0"/>
          <w:marBottom w:val="0"/>
          <w:divBdr>
            <w:top w:val="none" w:sz="0" w:space="0" w:color="auto"/>
            <w:left w:val="none" w:sz="0" w:space="0" w:color="auto"/>
            <w:bottom w:val="none" w:sz="0" w:space="0" w:color="auto"/>
            <w:right w:val="none" w:sz="0" w:space="0" w:color="auto"/>
          </w:divBdr>
          <w:divsChild>
            <w:div w:id="121122678">
              <w:marLeft w:val="0"/>
              <w:marRight w:val="0"/>
              <w:marTop w:val="0"/>
              <w:marBottom w:val="0"/>
              <w:divBdr>
                <w:top w:val="none" w:sz="0" w:space="0" w:color="auto"/>
                <w:left w:val="none" w:sz="0" w:space="0" w:color="auto"/>
                <w:bottom w:val="none" w:sz="0" w:space="0" w:color="auto"/>
                <w:right w:val="none" w:sz="0" w:space="0" w:color="auto"/>
              </w:divBdr>
              <w:divsChild>
                <w:div w:id="17327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1770</Words>
  <Characters>9738</Characters>
  <Application>Microsoft Office Word</Application>
  <DocSecurity>0</DocSecurity>
  <Lines>81</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4</cp:revision>
  <dcterms:created xsi:type="dcterms:W3CDTF">2023-04-04T07:35:00Z</dcterms:created>
  <dcterms:modified xsi:type="dcterms:W3CDTF">2023-04-11T08:39:00Z</dcterms:modified>
</cp:coreProperties>
</file>