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49355" w14:textId="279EEDB8" w:rsidR="00544AC1" w:rsidRPr="00544AC1" w:rsidRDefault="008453D4" w:rsidP="00544AC1">
      <w:pPr>
        <w:rPr>
          <w:lang w:val="fr-FR"/>
        </w:rPr>
      </w:pPr>
      <w:bookmarkStart w:id="0" w:name="_Toc112363146"/>
      <w:r w:rsidRPr="00512C2E">
        <w:rPr>
          <w:noProof/>
          <w:lang w:val="fr-FR"/>
        </w:rPr>
        <w:drawing>
          <wp:anchor distT="0" distB="0" distL="114300" distR="114300" simplePos="0" relativeHeight="251659264" behindDoc="1" locked="0" layoutInCell="1" allowOverlap="1" wp14:anchorId="17126B50" wp14:editId="18E022EC">
            <wp:simplePos x="0" y="0"/>
            <wp:positionH relativeFrom="page">
              <wp:align>right</wp:align>
            </wp:positionH>
            <wp:positionV relativeFrom="paragraph">
              <wp:posOffset>-914400</wp:posOffset>
            </wp:positionV>
            <wp:extent cx="7556500" cy="9511665"/>
            <wp:effectExtent l="0" t="0" r="6350"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9511665"/>
                    </a:xfrm>
                    <a:prstGeom prst="rect">
                      <a:avLst/>
                    </a:prstGeom>
                  </pic:spPr>
                </pic:pic>
              </a:graphicData>
            </a:graphic>
            <wp14:sizeRelH relativeFrom="margin">
              <wp14:pctWidth>0</wp14:pctWidth>
            </wp14:sizeRelH>
            <wp14:sizeRelV relativeFrom="margin">
              <wp14:pctHeight>0</wp14:pctHeight>
            </wp14:sizeRelV>
          </wp:anchor>
        </w:drawing>
      </w:r>
      <w:bookmarkEnd w:id="0"/>
    </w:p>
    <w:p w14:paraId="1A49D51D" w14:textId="77777777" w:rsidR="008453D4" w:rsidRDefault="008453D4" w:rsidP="003A4CB7">
      <w:pPr>
        <w:jc w:val="center"/>
        <w:rPr>
          <w:b/>
          <w:sz w:val="24"/>
          <w:szCs w:val="24"/>
          <w:lang w:val="fr-FR"/>
        </w:rPr>
      </w:pPr>
    </w:p>
    <w:p w14:paraId="0DB7EA4B" w14:textId="77777777" w:rsidR="008453D4" w:rsidRDefault="008453D4" w:rsidP="003A4CB7">
      <w:pPr>
        <w:jc w:val="center"/>
        <w:rPr>
          <w:b/>
          <w:sz w:val="24"/>
          <w:szCs w:val="24"/>
          <w:lang w:val="fr-FR"/>
        </w:rPr>
      </w:pPr>
    </w:p>
    <w:p w14:paraId="24FC655D" w14:textId="77777777" w:rsidR="008453D4" w:rsidRDefault="008453D4" w:rsidP="003A4CB7">
      <w:pPr>
        <w:jc w:val="center"/>
        <w:rPr>
          <w:b/>
          <w:sz w:val="24"/>
          <w:szCs w:val="24"/>
          <w:lang w:val="fr-FR"/>
        </w:rPr>
      </w:pPr>
    </w:p>
    <w:p w14:paraId="2442198C" w14:textId="77777777" w:rsidR="008453D4" w:rsidRDefault="008453D4" w:rsidP="003A4CB7">
      <w:pPr>
        <w:jc w:val="center"/>
        <w:rPr>
          <w:b/>
          <w:sz w:val="24"/>
          <w:szCs w:val="24"/>
          <w:lang w:val="fr-FR"/>
        </w:rPr>
      </w:pPr>
    </w:p>
    <w:p w14:paraId="6510FA0C" w14:textId="77777777" w:rsidR="008453D4" w:rsidRDefault="008453D4" w:rsidP="003A4CB7">
      <w:pPr>
        <w:jc w:val="center"/>
        <w:rPr>
          <w:b/>
          <w:sz w:val="24"/>
          <w:szCs w:val="24"/>
          <w:lang w:val="fr-FR"/>
        </w:rPr>
      </w:pPr>
    </w:p>
    <w:p w14:paraId="099438CB" w14:textId="77777777" w:rsidR="008453D4" w:rsidRDefault="008453D4" w:rsidP="003A4CB7">
      <w:pPr>
        <w:jc w:val="center"/>
        <w:rPr>
          <w:b/>
          <w:sz w:val="24"/>
          <w:szCs w:val="24"/>
          <w:lang w:val="fr-FR"/>
        </w:rPr>
      </w:pPr>
    </w:p>
    <w:p w14:paraId="18E6D057" w14:textId="77777777" w:rsidR="008453D4" w:rsidRDefault="008453D4" w:rsidP="003A4CB7">
      <w:pPr>
        <w:jc w:val="center"/>
        <w:rPr>
          <w:b/>
          <w:sz w:val="24"/>
          <w:szCs w:val="24"/>
          <w:lang w:val="fr-FR"/>
        </w:rPr>
      </w:pPr>
    </w:p>
    <w:p w14:paraId="6E65A094" w14:textId="77777777" w:rsidR="008453D4" w:rsidRDefault="008453D4" w:rsidP="003A4CB7">
      <w:pPr>
        <w:jc w:val="center"/>
        <w:rPr>
          <w:b/>
          <w:sz w:val="24"/>
          <w:szCs w:val="24"/>
          <w:lang w:val="fr-FR"/>
        </w:rPr>
      </w:pPr>
    </w:p>
    <w:p w14:paraId="40D4BFFB" w14:textId="77777777" w:rsidR="008453D4" w:rsidRDefault="008453D4" w:rsidP="003A4CB7">
      <w:pPr>
        <w:jc w:val="center"/>
        <w:rPr>
          <w:b/>
          <w:sz w:val="24"/>
          <w:szCs w:val="24"/>
          <w:lang w:val="fr-FR"/>
        </w:rPr>
      </w:pPr>
    </w:p>
    <w:p w14:paraId="73CF01B3" w14:textId="77777777" w:rsidR="008453D4" w:rsidRDefault="008453D4" w:rsidP="003A4CB7">
      <w:pPr>
        <w:jc w:val="center"/>
        <w:rPr>
          <w:b/>
          <w:sz w:val="24"/>
          <w:szCs w:val="24"/>
          <w:lang w:val="fr-FR"/>
        </w:rPr>
      </w:pPr>
    </w:p>
    <w:p w14:paraId="6368EA7D" w14:textId="77777777" w:rsidR="008453D4" w:rsidRDefault="008453D4" w:rsidP="003A4CB7">
      <w:pPr>
        <w:jc w:val="center"/>
        <w:rPr>
          <w:b/>
          <w:sz w:val="24"/>
          <w:szCs w:val="24"/>
          <w:lang w:val="fr-FR"/>
        </w:rPr>
      </w:pPr>
    </w:p>
    <w:p w14:paraId="42B1ABAA" w14:textId="77777777" w:rsidR="008453D4" w:rsidRDefault="008453D4" w:rsidP="003A4CB7">
      <w:pPr>
        <w:jc w:val="center"/>
        <w:rPr>
          <w:b/>
          <w:sz w:val="24"/>
          <w:szCs w:val="24"/>
          <w:lang w:val="fr-FR"/>
        </w:rPr>
      </w:pPr>
    </w:p>
    <w:p w14:paraId="479E780E" w14:textId="77777777" w:rsidR="008453D4" w:rsidRDefault="008453D4" w:rsidP="003A4CB7">
      <w:pPr>
        <w:jc w:val="center"/>
        <w:rPr>
          <w:b/>
          <w:sz w:val="24"/>
          <w:szCs w:val="24"/>
          <w:lang w:val="fr-FR"/>
        </w:rPr>
      </w:pPr>
    </w:p>
    <w:p w14:paraId="67D6AB8E" w14:textId="77777777" w:rsidR="008453D4" w:rsidRDefault="008453D4" w:rsidP="003A4CB7">
      <w:pPr>
        <w:jc w:val="center"/>
        <w:rPr>
          <w:b/>
          <w:sz w:val="24"/>
          <w:szCs w:val="24"/>
          <w:lang w:val="fr-FR"/>
        </w:rPr>
      </w:pPr>
    </w:p>
    <w:p w14:paraId="22A42B35" w14:textId="77777777" w:rsidR="008453D4" w:rsidRDefault="008453D4" w:rsidP="003A4CB7">
      <w:pPr>
        <w:jc w:val="center"/>
        <w:rPr>
          <w:b/>
          <w:sz w:val="24"/>
          <w:szCs w:val="24"/>
          <w:lang w:val="fr-FR"/>
        </w:rPr>
      </w:pPr>
    </w:p>
    <w:p w14:paraId="018AA1BC" w14:textId="77777777" w:rsidR="008453D4" w:rsidRDefault="008453D4" w:rsidP="003A4CB7">
      <w:pPr>
        <w:jc w:val="center"/>
        <w:rPr>
          <w:b/>
          <w:sz w:val="24"/>
          <w:szCs w:val="24"/>
          <w:lang w:val="fr-FR"/>
        </w:rPr>
      </w:pPr>
    </w:p>
    <w:p w14:paraId="362C5C9D" w14:textId="77777777" w:rsidR="008453D4" w:rsidRDefault="008453D4" w:rsidP="003A4CB7">
      <w:pPr>
        <w:jc w:val="center"/>
        <w:rPr>
          <w:b/>
          <w:sz w:val="24"/>
          <w:szCs w:val="24"/>
          <w:lang w:val="fr-FR"/>
        </w:rPr>
      </w:pPr>
    </w:p>
    <w:p w14:paraId="4AD879E0" w14:textId="77777777" w:rsidR="008453D4" w:rsidRDefault="008453D4" w:rsidP="003A4CB7">
      <w:pPr>
        <w:jc w:val="center"/>
        <w:rPr>
          <w:b/>
          <w:sz w:val="24"/>
          <w:szCs w:val="24"/>
          <w:lang w:val="fr-FR"/>
        </w:rPr>
      </w:pPr>
    </w:p>
    <w:p w14:paraId="3959C416" w14:textId="77777777" w:rsidR="008453D4" w:rsidRDefault="008453D4" w:rsidP="003A4CB7">
      <w:pPr>
        <w:jc w:val="center"/>
        <w:rPr>
          <w:b/>
          <w:sz w:val="24"/>
          <w:szCs w:val="24"/>
          <w:lang w:val="fr-FR"/>
        </w:rPr>
      </w:pPr>
    </w:p>
    <w:p w14:paraId="5E7D94A3" w14:textId="77777777" w:rsidR="008453D4" w:rsidRDefault="008453D4" w:rsidP="003A4CB7">
      <w:pPr>
        <w:jc w:val="center"/>
        <w:rPr>
          <w:b/>
          <w:sz w:val="24"/>
          <w:szCs w:val="24"/>
          <w:lang w:val="fr-FR"/>
        </w:rPr>
      </w:pPr>
    </w:p>
    <w:p w14:paraId="436F37CC" w14:textId="77777777" w:rsidR="00B95B5A" w:rsidRPr="004279EB" w:rsidRDefault="008453D4" w:rsidP="00B95B5A">
      <w:pPr>
        <w:jc w:val="center"/>
        <w:rPr>
          <w:bCs/>
          <w:color w:val="31849B" w:themeColor="accent5" w:themeShade="BF"/>
          <w:sz w:val="32"/>
          <w:szCs w:val="32"/>
          <w:lang w:val="fr-FR"/>
        </w:rPr>
      </w:pPr>
      <w:r w:rsidRPr="004279EB">
        <w:rPr>
          <w:bCs/>
          <w:color w:val="31849B" w:themeColor="accent5" w:themeShade="BF"/>
          <w:sz w:val="32"/>
          <w:szCs w:val="32"/>
          <w:lang w:val="fr-FR"/>
        </w:rPr>
        <w:t>PROGRAMME D’ECHANGES</w:t>
      </w:r>
    </w:p>
    <w:p w14:paraId="7A84ECB5" w14:textId="2AF58893" w:rsidR="00FA3521" w:rsidRPr="004279EB" w:rsidRDefault="00B95B5A" w:rsidP="00B95B5A">
      <w:pPr>
        <w:jc w:val="center"/>
        <w:rPr>
          <w:bCs/>
          <w:color w:val="31849B" w:themeColor="accent5" w:themeShade="BF"/>
          <w:sz w:val="32"/>
          <w:szCs w:val="32"/>
          <w:lang w:val="fr-FR"/>
        </w:rPr>
      </w:pPr>
      <w:r w:rsidRPr="004279EB">
        <w:rPr>
          <w:bCs/>
          <w:color w:val="31849B" w:themeColor="accent5" w:themeShade="BF"/>
          <w:sz w:val="32"/>
          <w:szCs w:val="32"/>
          <w:lang w:val="fr-FR"/>
        </w:rPr>
        <w:t>D’EXP</w:t>
      </w:r>
      <w:r w:rsidR="000C55B1">
        <w:rPr>
          <w:bCs/>
          <w:color w:val="31849B" w:themeColor="accent5" w:themeShade="BF"/>
          <w:sz w:val="32"/>
          <w:szCs w:val="32"/>
          <w:lang w:val="fr-FR"/>
        </w:rPr>
        <w:t>ERTISES</w:t>
      </w:r>
      <w:r w:rsidRPr="004279EB">
        <w:rPr>
          <w:bCs/>
          <w:color w:val="31849B" w:themeColor="accent5" w:themeShade="BF"/>
          <w:sz w:val="32"/>
          <w:szCs w:val="32"/>
          <w:lang w:val="fr-FR"/>
        </w:rPr>
        <w:t xml:space="preserve"> SUR LA GESTION DES ECOSYSTEMES COTIERS</w:t>
      </w:r>
    </w:p>
    <w:p w14:paraId="2C701FB5" w14:textId="21FF0E09" w:rsidR="004279EB" w:rsidRPr="004279EB" w:rsidRDefault="004279EB" w:rsidP="00B95B5A">
      <w:pPr>
        <w:jc w:val="center"/>
        <w:rPr>
          <w:b/>
          <w:color w:val="31849B" w:themeColor="accent5" w:themeShade="BF"/>
          <w:sz w:val="40"/>
          <w:szCs w:val="40"/>
          <w:lang w:val="fr-FR"/>
        </w:rPr>
      </w:pPr>
      <w:r w:rsidRPr="004279EB">
        <w:rPr>
          <w:b/>
          <w:color w:val="31849B" w:themeColor="accent5" w:themeShade="BF"/>
          <w:sz w:val="40"/>
          <w:szCs w:val="40"/>
          <w:lang w:val="fr-FR"/>
        </w:rPr>
        <w:t>NOTE AUX DEMANDEURS</w:t>
      </w:r>
    </w:p>
    <w:p w14:paraId="6B8B927D" w14:textId="77777777" w:rsidR="00B95B5A" w:rsidRDefault="00B95B5A" w:rsidP="003A4CB7">
      <w:pPr>
        <w:rPr>
          <w:b/>
          <w:color w:val="E36C0A" w:themeColor="accent6" w:themeShade="BF"/>
          <w:lang w:val="fr-FR"/>
        </w:rPr>
      </w:pPr>
    </w:p>
    <w:p w14:paraId="00C63E85" w14:textId="77777777" w:rsidR="00B95B5A" w:rsidRDefault="00B95B5A" w:rsidP="003A4CB7">
      <w:pPr>
        <w:rPr>
          <w:b/>
          <w:color w:val="E36C0A" w:themeColor="accent6" w:themeShade="BF"/>
          <w:lang w:val="fr-FR"/>
        </w:rPr>
      </w:pPr>
    </w:p>
    <w:p w14:paraId="51247728" w14:textId="6FFFBF98" w:rsidR="00B95B5A" w:rsidRPr="00B95B5A" w:rsidRDefault="00B95B5A" w:rsidP="00B95B5A">
      <w:pPr>
        <w:keepNext/>
        <w:keepLines/>
        <w:numPr>
          <w:ilvl w:val="0"/>
          <w:numId w:val="11"/>
        </w:numPr>
        <w:spacing w:before="240" w:after="0" w:line="259" w:lineRule="auto"/>
        <w:outlineLvl w:val="0"/>
        <w:rPr>
          <w:rFonts w:ascii="Calibri Light" w:eastAsia="Times New Roman" w:hAnsi="Calibri Light" w:cs="Times New Roman"/>
          <w:color w:val="2F5496"/>
          <w:sz w:val="32"/>
          <w:szCs w:val="32"/>
          <w:lang w:val="fr-FR"/>
        </w:rPr>
      </w:pPr>
      <w:bookmarkStart w:id="1" w:name="_Toc112363151"/>
      <w:r w:rsidRPr="00B95B5A">
        <w:rPr>
          <w:rFonts w:ascii="Calibri Light" w:eastAsia="Times New Roman" w:hAnsi="Calibri Light" w:cs="Times New Roman"/>
          <w:color w:val="2F5496"/>
          <w:sz w:val="32"/>
          <w:szCs w:val="32"/>
          <w:lang w:val="fr-FR"/>
        </w:rPr>
        <w:t xml:space="preserve">Contexte </w:t>
      </w:r>
      <w:bookmarkEnd w:id="1"/>
      <w:r>
        <w:rPr>
          <w:rFonts w:ascii="Calibri Light" w:eastAsia="Times New Roman" w:hAnsi="Calibri Light" w:cs="Times New Roman"/>
          <w:color w:val="2F5496"/>
          <w:sz w:val="32"/>
          <w:szCs w:val="32"/>
          <w:lang w:val="fr-FR"/>
        </w:rPr>
        <w:t>du programme d’échanges d’ex</w:t>
      </w:r>
      <w:r w:rsidR="000C55B1">
        <w:rPr>
          <w:rFonts w:ascii="Calibri Light" w:eastAsia="Times New Roman" w:hAnsi="Calibri Light" w:cs="Times New Roman"/>
          <w:color w:val="2F5496"/>
          <w:sz w:val="32"/>
          <w:szCs w:val="32"/>
          <w:lang w:val="fr-FR"/>
        </w:rPr>
        <w:t>pertises</w:t>
      </w:r>
    </w:p>
    <w:p w14:paraId="7EFC2427" w14:textId="77777777" w:rsidR="00B95B5A" w:rsidRPr="00B95B5A" w:rsidRDefault="00B95B5A" w:rsidP="00B95B5A">
      <w:pPr>
        <w:keepNext/>
        <w:keepLines/>
        <w:spacing w:before="200" w:after="0"/>
        <w:outlineLvl w:val="1"/>
        <w:rPr>
          <w:rFonts w:ascii="Calibri" w:eastAsia="Times New Roman" w:hAnsi="Calibri" w:cs="Times New Roman"/>
          <w:b/>
          <w:bCs/>
          <w:color w:val="262626"/>
          <w:sz w:val="26"/>
          <w:szCs w:val="26"/>
          <w:lang w:val="fr-FR"/>
        </w:rPr>
      </w:pPr>
      <w:bookmarkStart w:id="2" w:name="_Toc112363152"/>
      <w:r w:rsidRPr="00B95B5A">
        <w:rPr>
          <w:rFonts w:ascii="Calibri" w:eastAsia="Times New Roman" w:hAnsi="Calibri" w:cs="Times New Roman"/>
          <w:b/>
          <w:bCs/>
          <w:color w:val="262626"/>
          <w:sz w:val="26"/>
          <w:szCs w:val="26"/>
          <w:lang w:val="fr-FR"/>
        </w:rPr>
        <w:t>1-1 La Commission de l’Océan Indien</w:t>
      </w:r>
      <w:bookmarkEnd w:id="2"/>
    </w:p>
    <w:p w14:paraId="2A03D837" w14:textId="77777777" w:rsidR="00B95B5A" w:rsidRPr="00B95B5A" w:rsidRDefault="00B95B5A" w:rsidP="00B95B5A">
      <w:pPr>
        <w:spacing w:after="160" w:line="259" w:lineRule="auto"/>
        <w:jc w:val="both"/>
        <w:rPr>
          <w:rFonts w:ascii="Calibri" w:eastAsia="Calibri" w:hAnsi="Calibri" w:cs="Times New Roman"/>
          <w:lang w:val="fr-FR"/>
        </w:rPr>
      </w:pPr>
      <w:r w:rsidRPr="00B95B5A">
        <w:rPr>
          <w:rFonts w:ascii="Calibri" w:eastAsia="Calibri" w:hAnsi="Calibri" w:cs="Times New Roman"/>
          <w:lang w:val="fr-FR"/>
        </w:rPr>
        <w:t xml:space="preserve">La Commission de l’océan Indien (COI) est une organisation intergouvernementale qui regroupe </w:t>
      </w:r>
      <w:hyperlink r:id="rId9" w:tgtFrame="_blank" w:history="1">
        <w:r w:rsidRPr="00B95B5A">
          <w:rPr>
            <w:rFonts w:ascii="Calibri" w:eastAsia="Calibri" w:hAnsi="Calibri" w:cs="Times New Roman"/>
            <w:lang w:val="fr-FR"/>
          </w:rPr>
          <w:t>cinq États membres</w:t>
        </w:r>
      </w:hyperlink>
      <w:r w:rsidRPr="00B95B5A">
        <w:rPr>
          <w:rFonts w:ascii="Calibri" w:eastAsia="Calibri" w:hAnsi="Calibri" w:cs="Times New Roman"/>
          <w:lang w:val="fr-FR"/>
        </w:rPr>
        <w:t xml:space="preserve"> : l’Union des Comores, la France au titre de La Réunion, Madagascar, Maurice et les Seychelles. Créée par la Déclaration de Port-Louis en 1982, la COI a été institutionnalisée aux Seychelles en 1984 par l’Accord général de coopération, plus connu comme « l’Accord de Victoria ».</w:t>
      </w:r>
    </w:p>
    <w:p w14:paraId="708A8D1F" w14:textId="77777777" w:rsidR="00B95B5A" w:rsidRPr="00B95B5A" w:rsidRDefault="00B95B5A" w:rsidP="00B95B5A">
      <w:pPr>
        <w:spacing w:after="160" w:line="259" w:lineRule="auto"/>
        <w:jc w:val="both"/>
        <w:rPr>
          <w:rFonts w:ascii="Calibri" w:eastAsia="Calibri" w:hAnsi="Calibri" w:cs="Times New Roman"/>
          <w:lang w:val="fr-FR"/>
        </w:rPr>
      </w:pPr>
      <w:r w:rsidRPr="00B95B5A">
        <w:rPr>
          <w:rFonts w:ascii="Calibri" w:eastAsia="Calibri" w:hAnsi="Calibri" w:cs="Times New Roman"/>
          <w:lang w:val="fr-FR"/>
        </w:rPr>
        <w:t xml:space="preserve">Seule organisation régionale d’Afrique composée exclusivement d’îles, elle défend les spécificités de ses États membres sur les scènes continentale et internationale. Bénéficiant du soutien actif d’une dizaine de partenaires internationaux, la COI donne corps à la solidarité régionale autour de </w:t>
      </w:r>
      <w:hyperlink r:id="rId10" w:history="1">
        <w:r w:rsidRPr="00B95B5A">
          <w:rPr>
            <w:rFonts w:ascii="Calibri" w:eastAsia="Calibri" w:hAnsi="Calibri" w:cs="Times New Roman"/>
            <w:lang w:val="fr-FR"/>
          </w:rPr>
          <w:t>4 axes stratégiques</w:t>
        </w:r>
      </w:hyperlink>
      <w:r w:rsidRPr="00B95B5A">
        <w:rPr>
          <w:rFonts w:ascii="Calibri" w:eastAsia="Calibri" w:hAnsi="Calibri" w:cs="Times New Roman"/>
          <w:lang w:val="fr-FR"/>
        </w:rPr>
        <w:t xml:space="preserve"> et </w:t>
      </w:r>
      <w:hyperlink r:id="rId11" w:history="1">
        <w:r w:rsidRPr="00B95B5A">
          <w:rPr>
            <w:rFonts w:ascii="Calibri" w:eastAsia="Calibri" w:hAnsi="Calibri" w:cs="Times New Roman"/>
            <w:lang w:val="fr-FR"/>
          </w:rPr>
          <w:t>5 domaines d’intervention</w:t>
        </w:r>
      </w:hyperlink>
      <w:r w:rsidRPr="00B95B5A">
        <w:rPr>
          <w:rFonts w:ascii="Calibri" w:eastAsia="Calibri" w:hAnsi="Calibri" w:cs="Times New Roman"/>
          <w:lang w:val="fr-FR"/>
        </w:rPr>
        <w:t xml:space="preserve"> à travers des </w:t>
      </w:r>
      <w:hyperlink r:id="rId12" w:tgtFrame="_blank" w:history="1">
        <w:r w:rsidRPr="00B95B5A">
          <w:rPr>
            <w:rFonts w:ascii="Calibri" w:eastAsia="Calibri" w:hAnsi="Calibri" w:cs="Times New Roman"/>
            <w:lang w:val="fr-FR"/>
          </w:rPr>
          <w:t>projets</w:t>
        </w:r>
      </w:hyperlink>
      <w:r w:rsidRPr="00B95B5A">
        <w:rPr>
          <w:rFonts w:ascii="Calibri" w:eastAsia="Calibri" w:hAnsi="Calibri" w:cs="Times New Roman"/>
          <w:lang w:val="fr-FR"/>
        </w:rPr>
        <w:t xml:space="preserve"> de coopération couvrant un large éventail de secteurs: préservation des écosystèmes, gestion durable des ressources naturelles, sécurité maritime, entrepreneuriat, santé publique, énergies renouvelables ou encore culture.</w:t>
      </w:r>
    </w:p>
    <w:p w14:paraId="0E54C19F" w14:textId="77777777" w:rsidR="00B95B5A" w:rsidRPr="00B95B5A" w:rsidRDefault="00B95B5A" w:rsidP="00B95B5A">
      <w:pPr>
        <w:spacing w:after="160" w:line="259" w:lineRule="auto"/>
        <w:jc w:val="both"/>
        <w:rPr>
          <w:rFonts w:ascii="Calibri" w:eastAsia="Calibri" w:hAnsi="Calibri" w:cs="Times New Roman"/>
          <w:lang w:val="fr-FR"/>
        </w:rPr>
      </w:pPr>
      <w:r w:rsidRPr="00B95B5A">
        <w:rPr>
          <w:rFonts w:ascii="Calibri" w:eastAsia="Calibri" w:hAnsi="Calibri" w:cs="Times New Roman"/>
          <w:lang w:val="fr-FR"/>
        </w:rPr>
        <w:t xml:space="preserve">Ce projet « Résilience des Ecosystèmes Côtiers du Sud-Ouest de l’Océan Indien » (RECOS) cofinancé par l’Agence Française de Développement (AFD) et le Fonds Français pour l’Environnement Mondial (FFEM) s’inscrit dans le cadre du domaine d’intervention 4 de la COI, « Environnement durable et changement climatique ». </w:t>
      </w:r>
    </w:p>
    <w:p w14:paraId="64949ED7" w14:textId="77777777" w:rsidR="00B95B5A" w:rsidRPr="00B95B5A" w:rsidRDefault="00B95B5A" w:rsidP="00B95B5A">
      <w:pPr>
        <w:keepNext/>
        <w:keepLines/>
        <w:spacing w:before="200" w:after="0"/>
        <w:outlineLvl w:val="1"/>
        <w:rPr>
          <w:rFonts w:ascii="Calibri" w:eastAsia="Times New Roman" w:hAnsi="Calibri" w:cs="Times New Roman"/>
          <w:b/>
          <w:bCs/>
          <w:color w:val="262626"/>
          <w:sz w:val="26"/>
          <w:szCs w:val="26"/>
          <w:lang w:val="fr-FR"/>
        </w:rPr>
      </w:pPr>
      <w:bookmarkStart w:id="3" w:name="_Toc112363153"/>
      <w:r w:rsidRPr="00B95B5A">
        <w:rPr>
          <w:rFonts w:ascii="Calibri" w:eastAsia="Times New Roman" w:hAnsi="Calibri" w:cs="Times New Roman"/>
          <w:b/>
          <w:bCs/>
          <w:color w:val="262626"/>
          <w:sz w:val="26"/>
          <w:szCs w:val="26"/>
          <w:lang w:val="fr-FR"/>
        </w:rPr>
        <w:t>1-2 Le projet RECOS</w:t>
      </w:r>
      <w:bookmarkEnd w:id="3"/>
    </w:p>
    <w:p w14:paraId="349E9325" w14:textId="77777777" w:rsidR="00B95B5A" w:rsidRPr="00B95B5A" w:rsidRDefault="00B95B5A" w:rsidP="00B95B5A">
      <w:pPr>
        <w:spacing w:after="160" w:line="259" w:lineRule="auto"/>
        <w:jc w:val="both"/>
        <w:rPr>
          <w:rFonts w:ascii="Calibri" w:eastAsia="Calibri" w:hAnsi="Calibri" w:cs="Times New Roman"/>
          <w:b/>
          <w:bCs/>
          <w:lang w:val="fr-FR"/>
        </w:rPr>
      </w:pPr>
      <w:r w:rsidRPr="00B95B5A">
        <w:rPr>
          <w:rFonts w:ascii="Calibri" w:eastAsia="Calibri" w:hAnsi="Calibri" w:cs="Times New Roman"/>
          <w:b/>
          <w:bCs/>
          <w:lang w:val="fr-FR"/>
        </w:rPr>
        <w:t xml:space="preserve">La finalité du projet est de renforcer la résilience des populations littorales en restaurant les services rendus par les écosystèmes dans lesquels elles vivent, face aux effets du changement climatique. </w:t>
      </w:r>
    </w:p>
    <w:p w14:paraId="427FC1A4" w14:textId="77777777" w:rsidR="00B95B5A" w:rsidRPr="00B95B5A" w:rsidRDefault="00B95B5A" w:rsidP="00B95B5A">
      <w:pPr>
        <w:spacing w:after="160" w:line="259" w:lineRule="auto"/>
        <w:jc w:val="both"/>
        <w:rPr>
          <w:rFonts w:ascii="Calibri" w:eastAsia="Calibri" w:hAnsi="Calibri" w:cs="Times New Roman"/>
          <w:lang w:val="fr-FR"/>
        </w:rPr>
      </w:pPr>
      <w:r w:rsidRPr="00B95B5A">
        <w:rPr>
          <w:rFonts w:ascii="Calibri" w:eastAsia="Calibri" w:hAnsi="Calibri" w:cs="Times New Roman"/>
          <w:lang w:val="fr-FR"/>
        </w:rPr>
        <w:t xml:space="preserve">Pour les pays insulaires du Sud-ouest de l’Océan Indien, le changement climatique se manifeste principalement par l’augmentation des températures air/eau, des précipitations, du niveau marin, de la fréquence et de l’intensité des évènements météo-océaniques. Ces effets se traduisent au niveau des zones côtières par des aléas physiques de plus en plus accrus, aussi bien terrestres (inondation) que marins (érosion ou submersion), menaçant directement les écosystèmes et les populations. </w:t>
      </w:r>
    </w:p>
    <w:p w14:paraId="3A348A31" w14:textId="77777777" w:rsidR="00B95B5A" w:rsidRPr="00B95B5A" w:rsidRDefault="00B95B5A" w:rsidP="00B95B5A">
      <w:pPr>
        <w:spacing w:after="160" w:line="259" w:lineRule="auto"/>
        <w:jc w:val="both"/>
        <w:rPr>
          <w:rFonts w:ascii="Calibri" w:eastAsia="Calibri" w:hAnsi="Calibri" w:cs="Times New Roman"/>
          <w:lang w:val="fr-FR"/>
        </w:rPr>
      </w:pPr>
      <w:r w:rsidRPr="00B95B5A">
        <w:rPr>
          <w:rFonts w:ascii="Calibri" w:eastAsia="Calibri" w:hAnsi="Calibri" w:cs="Times New Roman"/>
          <w:lang w:val="fr-FR"/>
        </w:rPr>
        <w:t>Toutefois, les écosystèmes côtiers peuvent atténuer cette menace, constituant un élément fondamental de la lutte durable contre le changement climatique. En interaction permanente avec les activités humaines et les aléas physiques, les écosystèmes sont au centre de deux mécanismes distincts fonctions du mode de gestion de la bande côtière adopté :</w:t>
      </w:r>
    </w:p>
    <w:p w14:paraId="0CA65CEF" w14:textId="77777777" w:rsidR="00B95B5A" w:rsidRPr="00B95B5A" w:rsidRDefault="00B95B5A" w:rsidP="00B95B5A">
      <w:pPr>
        <w:widowControl w:val="0"/>
        <w:numPr>
          <w:ilvl w:val="0"/>
          <w:numId w:val="8"/>
        </w:numPr>
        <w:spacing w:after="0" w:line="240" w:lineRule="auto"/>
        <w:contextualSpacing/>
        <w:jc w:val="both"/>
        <w:rPr>
          <w:rFonts w:ascii="Calibri" w:eastAsia="Calibri" w:hAnsi="Calibri" w:cs="Times New Roman"/>
          <w:lang w:val="fr-FR"/>
        </w:rPr>
      </w:pPr>
      <w:r w:rsidRPr="00B95B5A">
        <w:rPr>
          <w:rFonts w:ascii="Calibri" w:eastAsia="Calibri" w:hAnsi="Calibri" w:cs="Times New Roman"/>
          <w:lang w:val="fr-FR"/>
        </w:rPr>
        <w:t>Dans le cas d</w:t>
      </w:r>
      <w:r w:rsidRPr="00B95B5A">
        <w:rPr>
          <w:rFonts w:ascii="Calibri" w:eastAsia="Calibri" w:hAnsi="Calibri" w:cs="Calibri"/>
          <w:lang w:val="fr-FR"/>
        </w:rPr>
        <w:t>’</w:t>
      </w:r>
      <w:r w:rsidRPr="00B95B5A">
        <w:rPr>
          <w:rFonts w:ascii="Calibri" w:eastAsia="Calibri" w:hAnsi="Calibri" w:cs="Times New Roman"/>
          <w:lang w:val="fr-FR"/>
        </w:rPr>
        <w:t>une gestion non durable des activit</w:t>
      </w:r>
      <w:r w:rsidRPr="00B95B5A">
        <w:rPr>
          <w:rFonts w:ascii="Calibri" w:eastAsia="Calibri" w:hAnsi="Calibri" w:cs="Calibri"/>
          <w:lang w:val="fr-FR"/>
        </w:rPr>
        <w:t>é</w:t>
      </w:r>
      <w:r w:rsidRPr="00B95B5A">
        <w:rPr>
          <w:rFonts w:ascii="Calibri" w:eastAsia="Calibri" w:hAnsi="Calibri" w:cs="Times New Roman"/>
          <w:lang w:val="fr-FR"/>
        </w:rPr>
        <w:t xml:space="preserve">s humaines, les </w:t>
      </w:r>
      <w:r w:rsidRPr="00B95B5A">
        <w:rPr>
          <w:rFonts w:ascii="Calibri" w:eastAsia="Calibri" w:hAnsi="Calibri" w:cs="Calibri"/>
          <w:lang w:val="fr-FR"/>
        </w:rPr>
        <w:t>é</w:t>
      </w:r>
      <w:r w:rsidRPr="00B95B5A">
        <w:rPr>
          <w:rFonts w:ascii="Calibri" w:eastAsia="Calibri" w:hAnsi="Calibri" w:cs="Times New Roman"/>
          <w:lang w:val="fr-FR"/>
        </w:rPr>
        <w:t>cosyst</w:t>
      </w:r>
      <w:r w:rsidRPr="00B95B5A">
        <w:rPr>
          <w:rFonts w:ascii="Calibri" w:eastAsia="Calibri" w:hAnsi="Calibri" w:cs="Calibri"/>
          <w:lang w:val="fr-FR"/>
        </w:rPr>
        <w:t>è</w:t>
      </w:r>
      <w:r w:rsidRPr="00B95B5A">
        <w:rPr>
          <w:rFonts w:ascii="Calibri" w:eastAsia="Calibri" w:hAnsi="Calibri" w:cs="Times New Roman"/>
          <w:lang w:val="fr-FR"/>
        </w:rPr>
        <w:t xml:space="preserve">mes sur lesquels elles reposent sont surexploités et de surcroît fragilisés ; ils ne sont ainsi plus aptes à jouer leur rôle d’atténuation des aléas qui menacent d’autant plus les populations littorales ; ce mécanisme diminue la résilience face au changement climatique ; </w:t>
      </w:r>
    </w:p>
    <w:p w14:paraId="6547FC36" w14:textId="77777777" w:rsidR="00B95B5A" w:rsidRPr="00B95B5A" w:rsidRDefault="00B95B5A" w:rsidP="00B95B5A">
      <w:pPr>
        <w:widowControl w:val="0"/>
        <w:spacing w:after="0" w:line="240" w:lineRule="auto"/>
        <w:ind w:left="720"/>
        <w:contextualSpacing/>
        <w:jc w:val="both"/>
        <w:rPr>
          <w:rFonts w:ascii="Calibri" w:eastAsia="Calibri" w:hAnsi="Calibri" w:cs="Times New Roman"/>
          <w:lang w:val="fr-FR"/>
        </w:rPr>
      </w:pPr>
    </w:p>
    <w:p w14:paraId="15A39716" w14:textId="77777777" w:rsidR="00B95B5A" w:rsidRPr="00B95B5A" w:rsidRDefault="00B95B5A" w:rsidP="00B95B5A">
      <w:pPr>
        <w:widowControl w:val="0"/>
        <w:numPr>
          <w:ilvl w:val="0"/>
          <w:numId w:val="8"/>
        </w:numPr>
        <w:spacing w:after="0" w:line="240" w:lineRule="auto"/>
        <w:contextualSpacing/>
        <w:jc w:val="both"/>
        <w:rPr>
          <w:rFonts w:ascii="Calibri" w:eastAsia="Calibri" w:hAnsi="Calibri" w:cs="Times New Roman"/>
          <w:lang w:val="fr-FR"/>
        </w:rPr>
      </w:pPr>
      <w:r w:rsidRPr="00B95B5A">
        <w:rPr>
          <w:rFonts w:ascii="Calibri" w:eastAsia="Calibri" w:hAnsi="Calibri" w:cs="Times New Roman"/>
          <w:lang w:val="fr-FR"/>
        </w:rPr>
        <w:t>Dans le cas d</w:t>
      </w:r>
      <w:r w:rsidRPr="00B95B5A">
        <w:rPr>
          <w:rFonts w:ascii="Calibri" w:eastAsia="Calibri" w:hAnsi="Calibri" w:cs="Calibri"/>
          <w:lang w:val="fr-FR"/>
        </w:rPr>
        <w:t>’</w:t>
      </w:r>
      <w:r w:rsidRPr="00B95B5A">
        <w:rPr>
          <w:rFonts w:ascii="Calibri" w:eastAsia="Calibri" w:hAnsi="Calibri" w:cs="Times New Roman"/>
          <w:lang w:val="fr-FR"/>
        </w:rPr>
        <w:t>une gestion durable des activit</w:t>
      </w:r>
      <w:r w:rsidRPr="00B95B5A">
        <w:rPr>
          <w:rFonts w:ascii="Calibri" w:eastAsia="Calibri" w:hAnsi="Calibri" w:cs="Calibri"/>
          <w:lang w:val="fr-FR"/>
        </w:rPr>
        <w:t>é</w:t>
      </w:r>
      <w:r w:rsidRPr="00B95B5A">
        <w:rPr>
          <w:rFonts w:ascii="Calibri" w:eastAsia="Calibri" w:hAnsi="Calibri" w:cs="Times New Roman"/>
          <w:lang w:val="fr-FR"/>
        </w:rPr>
        <w:t xml:space="preserve">s humaines, les </w:t>
      </w:r>
      <w:r w:rsidRPr="00B95B5A">
        <w:rPr>
          <w:rFonts w:ascii="Calibri" w:eastAsia="Calibri" w:hAnsi="Calibri" w:cs="Calibri"/>
          <w:lang w:val="fr-FR"/>
        </w:rPr>
        <w:t>é</w:t>
      </w:r>
      <w:r w:rsidRPr="00B95B5A">
        <w:rPr>
          <w:rFonts w:ascii="Calibri" w:eastAsia="Calibri" w:hAnsi="Calibri" w:cs="Times New Roman"/>
          <w:lang w:val="fr-FR"/>
        </w:rPr>
        <w:t>cosyst</w:t>
      </w:r>
      <w:r w:rsidRPr="00B95B5A">
        <w:rPr>
          <w:rFonts w:ascii="Calibri" w:eastAsia="Calibri" w:hAnsi="Calibri" w:cs="Calibri"/>
          <w:lang w:val="fr-FR"/>
        </w:rPr>
        <w:t>è</w:t>
      </w:r>
      <w:r w:rsidRPr="00B95B5A">
        <w:rPr>
          <w:rFonts w:ascii="Calibri" w:eastAsia="Calibri" w:hAnsi="Calibri" w:cs="Times New Roman"/>
          <w:lang w:val="fr-FR"/>
        </w:rPr>
        <w:t>mes sur lesquels ces activités reposent sont exploités durablement et fournissent des services en retour ; puisque préservés, ils sont aptes à jouer parallèlement leur rôle d’atténuation des aléas dont les menaces sur les populations littorales s’en trouvent diminuées. Ce mécanisme augmente la résilience face au changement climatique.</w:t>
      </w:r>
    </w:p>
    <w:p w14:paraId="3FE7D6F2" w14:textId="77777777" w:rsidR="00B95B5A" w:rsidRPr="00B95B5A" w:rsidRDefault="00B95B5A" w:rsidP="00B95B5A">
      <w:pPr>
        <w:spacing w:after="160" w:line="259" w:lineRule="auto"/>
        <w:jc w:val="both"/>
        <w:rPr>
          <w:rFonts w:ascii="Calibri" w:eastAsia="Calibri" w:hAnsi="Calibri" w:cs="Times New Roman"/>
          <w:b/>
          <w:bCs/>
          <w:spacing w:val="-4"/>
          <w:lang w:val="fr-FR" w:eastAsia="fr-FR"/>
        </w:rPr>
      </w:pPr>
    </w:p>
    <w:p w14:paraId="3C2DE558" w14:textId="77777777" w:rsidR="00B95B5A" w:rsidRPr="00B95B5A" w:rsidRDefault="00B95B5A" w:rsidP="00B95B5A">
      <w:pPr>
        <w:spacing w:after="160" w:line="259" w:lineRule="auto"/>
        <w:jc w:val="both"/>
        <w:rPr>
          <w:rFonts w:ascii="Calibri" w:eastAsia="Calibri" w:hAnsi="Calibri" w:cs="Times New Roman"/>
          <w:spacing w:val="-4"/>
          <w:lang w:val="fr-FR" w:eastAsia="fr-FR"/>
        </w:rPr>
      </w:pPr>
      <w:r w:rsidRPr="00B95B5A">
        <w:rPr>
          <w:rFonts w:ascii="Calibri" w:eastAsia="Calibri" w:hAnsi="Calibri" w:cs="Times New Roman"/>
          <w:b/>
          <w:bCs/>
          <w:spacing w:val="-4"/>
          <w:lang w:val="fr-FR" w:eastAsia="fr-FR"/>
        </w:rPr>
        <w:t xml:space="preserve">Restaurer et préserver. </w:t>
      </w:r>
      <w:r w:rsidRPr="00B95B5A">
        <w:rPr>
          <w:rFonts w:ascii="Calibri" w:eastAsia="Calibri" w:hAnsi="Calibri" w:cs="Times New Roman"/>
          <w:spacing w:val="-4"/>
          <w:lang w:val="fr-FR" w:eastAsia="fr-FR"/>
        </w:rPr>
        <w:t xml:space="preserve">Ce sont les maitres-mots du projet RECOS. Les populations côtières dépendent fortement de la bonne santé des écosystèmes. Aussi, restaurer et préserver les milieux côtiers, c’est </w:t>
      </w:r>
      <w:r w:rsidRPr="00B95B5A">
        <w:rPr>
          <w:rFonts w:ascii="Calibri" w:eastAsia="Calibri" w:hAnsi="Calibri" w:cs="Times New Roman"/>
          <w:spacing w:val="-4"/>
          <w:lang w:val="fr-FR" w:eastAsia="fr-FR"/>
        </w:rPr>
        <w:lastRenderedPageBreak/>
        <w:t>participer à la résilience des populations. Les gains ne sont pas qu’écologiques : ils sont aussi économiques, alimentaires, sanitaires, sociétaux et culturels.</w:t>
      </w:r>
    </w:p>
    <w:p w14:paraId="507F6203" w14:textId="77777777" w:rsidR="00B95B5A" w:rsidRPr="00B95B5A" w:rsidRDefault="00B95B5A" w:rsidP="00B95B5A">
      <w:pPr>
        <w:spacing w:after="160" w:line="259" w:lineRule="auto"/>
        <w:jc w:val="both"/>
        <w:rPr>
          <w:rFonts w:ascii="Calibri" w:eastAsia="Calibri" w:hAnsi="Calibri" w:cs="Times New Roman"/>
          <w:lang w:val="fr-FR"/>
        </w:rPr>
      </w:pPr>
      <w:r w:rsidRPr="00B95B5A">
        <w:rPr>
          <w:rFonts w:ascii="Calibri" w:eastAsia="Calibri" w:hAnsi="Calibri" w:cs="Times New Roman"/>
          <w:lang w:val="fr-FR"/>
        </w:rPr>
        <w:t>Les activités proposées dans le cadre de ce projet permettront d’actionner ces différents leviers pour augmenter la résilience côtière en répondant aux objectifs spécifiques suivants :</w:t>
      </w:r>
    </w:p>
    <w:p w14:paraId="41DFF923" w14:textId="77777777" w:rsidR="00B95B5A" w:rsidRPr="00B95B5A" w:rsidRDefault="00B95B5A" w:rsidP="00B95B5A">
      <w:pPr>
        <w:widowControl w:val="0"/>
        <w:numPr>
          <w:ilvl w:val="0"/>
          <w:numId w:val="7"/>
        </w:numPr>
        <w:spacing w:after="0" w:line="240" w:lineRule="auto"/>
        <w:contextualSpacing/>
        <w:jc w:val="both"/>
        <w:rPr>
          <w:rFonts w:ascii="Calibri" w:eastAsia="Calibri" w:hAnsi="Calibri" w:cs="Times New Roman"/>
          <w:lang w:val="fr-FR"/>
        </w:rPr>
      </w:pPr>
      <w:r w:rsidRPr="00B95B5A">
        <w:rPr>
          <w:rFonts w:ascii="Calibri" w:eastAsia="Calibri" w:hAnsi="Calibri" w:cs="Times New Roman"/>
          <w:lang w:val="fr-FR"/>
        </w:rPr>
        <w:t>Renforcer la gouvernance r</w:t>
      </w:r>
      <w:r w:rsidRPr="00B95B5A">
        <w:rPr>
          <w:rFonts w:ascii="Calibri" w:eastAsia="Calibri" w:hAnsi="Calibri" w:cs="Calibri"/>
          <w:lang w:val="fr-FR"/>
        </w:rPr>
        <w:t>é</w:t>
      </w:r>
      <w:r w:rsidRPr="00B95B5A">
        <w:rPr>
          <w:rFonts w:ascii="Calibri" w:eastAsia="Calibri" w:hAnsi="Calibri" w:cs="Times New Roman"/>
          <w:lang w:val="fr-FR"/>
        </w:rPr>
        <w:t xml:space="preserve">gionale et nationale des écosystèmes côtiers et marins de l’océan Indien ; </w:t>
      </w:r>
    </w:p>
    <w:p w14:paraId="48658AB5" w14:textId="77777777" w:rsidR="00B95B5A" w:rsidRPr="00B95B5A" w:rsidRDefault="00B95B5A" w:rsidP="00B95B5A">
      <w:pPr>
        <w:widowControl w:val="0"/>
        <w:spacing w:after="0" w:line="240" w:lineRule="auto"/>
        <w:ind w:left="720"/>
        <w:contextualSpacing/>
        <w:jc w:val="both"/>
        <w:rPr>
          <w:rFonts w:ascii="Calibri" w:eastAsia="Calibri" w:hAnsi="Calibri" w:cs="Times New Roman"/>
          <w:lang w:val="fr-FR"/>
        </w:rPr>
      </w:pPr>
    </w:p>
    <w:p w14:paraId="7A87172B" w14:textId="77777777" w:rsidR="00B95B5A" w:rsidRPr="00B95B5A" w:rsidRDefault="00B95B5A" w:rsidP="00B95B5A">
      <w:pPr>
        <w:widowControl w:val="0"/>
        <w:numPr>
          <w:ilvl w:val="0"/>
          <w:numId w:val="7"/>
        </w:numPr>
        <w:spacing w:after="0" w:line="240" w:lineRule="auto"/>
        <w:contextualSpacing/>
        <w:jc w:val="both"/>
        <w:rPr>
          <w:rFonts w:ascii="Calibri" w:eastAsia="Calibri" w:hAnsi="Calibri" w:cs="Times New Roman"/>
          <w:lang w:val="fr-FR"/>
        </w:rPr>
      </w:pPr>
      <w:r w:rsidRPr="00B95B5A">
        <w:rPr>
          <w:rFonts w:ascii="Calibri" w:eastAsia="Calibri" w:hAnsi="Calibri" w:cs="Times New Roman"/>
          <w:lang w:val="fr-FR"/>
        </w:rPr>
        <w:t xml:space="preserve">Mettre en </w:t>
      </w:r>
      <w:r w:rsidRPr="00B95B5A">
        <w:rPr>
          <w:rFonts w:ascii="Calibri" w:eastAsia="Calibri" w:hAnsi="Calibri" w:cs="Calibri"/>
          <w:lang w:val="fr-FR"/>
        </w:rPr>
        <w:t>œ</w:t>
      </w:r>
      <w:r w:rsidRPr="00B95B5A">
        <w:rPr>
          <w:rFonts w:ascii="Calibri" w:eastAsia="Calibri" w:hAnsi="Calibri" w:cs="Times New Roman"/>
          <w:lang w:val="fr-FR"/>
        </w:rPr>
        <w:t>uvre des chantiers innovants, vari</w:t>
      </w:r>
      <w:r w:rsidRPr="00B95B5A">
        <w:rPr>
          <w:rFonts w:ascii="Calibri" w:eastAsia="Calibri" w:hAnsi="Calibri" w:cs="Calibri"/>
          <w:lang w:val="fr-FR"/>
        </w:rPr>
        <w:t>é</w:t>
      </w:r>
      <w:r w:rsidRPr="00B95B5A">
        <w:rPr>
          <w:rFonts w:ascii="Calibri" w:eastAsia="Calibri" w:hAnsi="Calibri" w:cs="Times New Roman"/>
          <w:lang w:val="fr-FR"/>
        </w:rPr>
        <w:t>s et r</w:t>
      </w:r>
      <w:r w:rsidRPr="00B95B5A">
        <w:rPr>
          <w:rFonts w:ascii="Calibri" w:eastAsia="Calibri" w:hAnsi="Calibri" w:cs="Calibri"/>
          <w:lang w:val="fr-FR"/>
        </w:rPr>
        <w:t>é</w:t>
      </w:r>
      <w:r w:rsidRPr="00B95B5A">
        <w:rPr>
          <w:rFonts w:ascii="Calibri" w:eastAsia="Calibri" w:hAnsi="Calibri" w:cs="Times New Roman"/>
          <w:lang w:val="fr-FR"/>
        </w:rPr>
        <w:t>plicables de restauration et d</w:t>
      </w:r>
      <w:r w:rsidRPr="00B95B5A">
        <w:rPr>
          <w:rFonts w:ascii="Calibri" w:eastAsia="Calibri" w:hAnsi="Calibri" w:cs="Calibri"/>
          <w:lang w:val="fr-FR"/>
        </w:rPr>
        <w:t>’</w:t>
      </w:r>
      <w:r w:rsidRPr="00B95B5A">
        <w:rPr>
          <w:rFonts w:ascii="Calibri" w:eastAsia="Calibri" w:hAnsi="Calibri" w:cs="Times New Roman"/>
          <w:lang w:val="fr-FR"/>
        </w:rPr>
        <w:t xml:space="preserve">exploitation durable d'écosystèmes côtiers et marins en s’appuyant sur des groupes de travail scientifique. </w:t>
      </w:r>
    </w:p>
    <w:p w14:paraId="2B90CF86" w14:textId="77777777" w:rsidR="00B95B5A" w:rsidRPr="00B95B5A" w:rsidRDefault="00B95B5A" w:rsidP="00B95B5A">
      <w:pPr>
        <w:widowControl w:val="0"/>
        <w:spacing w:after="0" w:line="240" w:lineRule="auto"/>
        <w:ind w:left="170"/>
        <w:contextualSpacing/>
        <w:jc w:val="both"/>
        <w:rPr>
          <w:rFonts w:ascii="Calibri" w:eastAsia="Calibri" w:hAnsi="Calibri" w:cs="Times New Roman"/>
          <w:lang w:val="fr-FR"/>
        </w:rPr>
      </w:pPr>
    </w:p>
    <w:p w14:paraId="6D7607BE" w14:textId="77777777" w:rsidR="00B95B5A" w:rsidRPr="00B95B5A" w:rsidRDefault="00B95B5A" w:rsidP="00B95B5A">
      <w:pPr>
        <w:widowControl w:val="0"/>
        <w:spacing w:after="0" w:line="240" w:lineRule="auto"/>
        <w:ind w:left="170"/>
        <w:contextualSpacing/>
        <w:jc w:val="both"/>
        <w:rPr>
          <w:rFonts w:ascii="Calibri" w:eastAsia="Calibri" w:hAnsi="Calibri" w:cs="Times New Roman"/>
          <w:lang w:val="fr-FR"/>
        </w:rPr>
      </w:pPr>
      <w:r w:rsidRPr="00B95B5A">
        <w:rPr>
          <w:rFonts w:ascii="Calibri" w:eastAsia="Calibri" w:hAnsi="Calibri" w:cs="Times New Roman"/>
          <w:lang w:val="fr-FR"/>
        </w:rPr>
        <w:t xml:space="preserve">Le projet est structuré en quatre composantes : </w:t>
      </w:r>
    </w:p>
    <w:p w14:paraId="6413E979" w14:textId="77777777" w:rsidR="00B95B5A" w:rsidRPr="00B95B5A" w:rsidRDefault="00B95B5A" w:rsidP="00B95B5A">
      <w:pPr>
        <w:widowControl w:val="0"/>
        <w:spacing w:after="0" w:line="240" w:lineRule="auto"/>
        <w:ind w:left="170"/>
        <w:contextualSpacing/>
        <w:jc w:val="both"/>
        <w:rPr>
          <w:rFonts w:ascii="Calibri" w:eastAsia="Calibri" w:hAnsi="Calibri" w:cs="Times New Roman"/>
          <w:lang w:val="fr-FR"/>
        </w:rPr>
      </w:pPr>
    </w:p>
    <w:p w14:paraId="6AF0C50F" w14:textId="77777777" w:rsidR="00B95B5A" w:rsidRPr="00B95B5A" w:rsidRDefault="00B95B5A" w:rsidP="00B95B5A">
      <w:pPr>
        <w:widowControl w:val="0"/>
        <w:numPr>
          <w:ilvl w:val="0"/>
          <w:numId w:val="10"/>
        </w:numPr>
        <w:spacing w:after="0" w:line="240" w:lineRule="auto"/>
        <w:contextualSpacing/>
        <w:jc w:val="both"/>
        <w:rPr>
          <w:rFonts w:ascii="Calibri" w:eastAsia="Calibri" w:hAnsi="Calibri" w:cs="Times New Roman"/>
          <w:lang w:val="fr-FR"/>
        </w:rPr>
      </w:pPr>
      <w:r w:rsidRPr="00B95B5A">
        <w:rPr>
          <w:rFonts w:ascii="Calibri" w:eastAsia="Calibri" w:hAnsi="Calibri" w:cs="Times New Roman"/>
          <w:lang w:val="fr-FR"/>
        </w:rPr>
        <w:t xml:space="preserve">Composante 1 : Renforcement de la gestion des </w:t>
      </w:r>
      <w:r w:rsidRPr="00B95B5A">
        <w:rPr>
          <w:rFonts w:ascii="Calibri" w:eastAsia="Calibri" w:hAnsi="Calibri" w:cs="Calibri"/>
          <w:lang w:val="fr-FR"/>
        </w:rPr>
        <w:t>é</w:t>
      </w:r>
      <w:r w:rsidRPr="00B95B5A">
        <w:rPr>
          <w:rFonts w:ascii="Calibri" w:eastAsia="Calibri" w:hAnsi="Calibri" w:cs="Times New Roman"/>
          <w:lang w:val="fr-FR"/>
        </w:rPr>
        <w:t>cosyst</w:t>
      </w:r>
      <w:r w:rsidRPr="00B95B5A">
        <w:rPr>
          <w:rFonts w:ascii="Calibri" w:eastAsia="Calibri" w:hAnsi="Calibri" w:cs="Calibri"/>
          <w:lang w:val="fr-FR"/>
        </w:rPr>
        <w:t>è</w:t>
      </w:r>
      <w:r w:rsidRPr="00B95B5A">
        <w:rPr>
          <w:rFonts w:ascii="Calibri" w:eastAsia="Calibri" w:hAnsi="Calibri" w:cs="Times New Roman"/>
          <w:lang w:val="fr-FR"/>
        </w:rPr>
        <w:t>mes c</w:t>
      </w:r>
      <w:r w:rsidRPr="00B95B5A">
        <w:rPr>
          <w:rFonts w:ascii="Calibri" w:eastAsia="Calibri" w:hAnsi="Calibri" w:cs="Calibri"/>
          <w:lang w:val="fr-FR"/>
        </w:rPr>
        <w:t>ô</w:t>
      </w:r>
      <w:r w:rsidRPr="00B95B5A">
        <w:rPr>
          <w:rFonts w:ascii="Calibri" w:eastAsia="Calibri" w:hAnsi="Calibri" w:cs="Times New Roman"/>
          <w:lang w:val="fr-FR"/>
        </w:rPr>
        <w:t xml:space="preserve">tiers </w:t>
      </w:r>
      <w:r w:rsidRPr="00B95B5A">
        <w:rPr>
          <w:rFonts w:ascii="Calibri" w:eastAsia="Calibri" w:hAnsi="Calibri" w:cs="Calibri"/>
          <w:lang w:val="fr-FR"/>
        </w:rPr>
        <w:t>à</w:t>
      </w:r>
      <w:r w:rsidRPr="00B95B5A">
        <w:rPr>
          <w:rFonts w:ascii="Calibri" w:eastAsia="Calibri" w:hAnsi="Calibri" w:cs="Times New Roman"/>
          <w:lang w:val="fr-FR"/>
        </w:rPr>
        <w:t xml:space="preserve"> l'</w:t>
      </w:r>
      <w:r w:rsidRPr="00B95B5A">
        <w:rPr>
          <w:rFonts w:ascii="Calibri" w:eastAsia="Calibri" w:hAnsi="Calibri" w:cs="Calibri"/>
          <w:lang w:val="fr-FR"/>
        </w:rPr>
        <w:t>é</w:t>
      </w:r>
      <w:r w:rsidRPr="00B95B5A">
        <w:rPr>
          <w:rFonts w:ascii="Calibri" w:eastAsia="Calibri" w:hAnsi="Calibri" w:cs="Times New Roman"/>
          <w:lang w:val="fr-FR"/>
        </w:rPr>
        <w:t>chelle r</w:t>
      </w:r>
      <w:r w:rsidRPr="00B95B5A">
        <w:rPr>
          <w:rFonts w:ascii="Calibri" w:eastAsia="Calibri" w:hAnsi="Calibri" w:cs="Calibri"/>
          <w:lang w:val="fr-FR"/>
        </w:rPr>
        <w:t>é</w:t>
      </w:r>
      <w:r w:rsidRPr="00B95B5A">
        <w:rPr>
          <w:rFonts w:ascii="Calibri" w:eastAsia="Calibri" w:hAnsi="Calibri" w:cs="Times New Roman"/>
          <w:lang w:val="fr-FR"/>
        </w:rPr>
        <w:t xml:space="preserve">gionale et nationale, et échanges d’expériences. </w:t>
      </w:r>
    </w:p>
    <w:p w14:paraId="31C4C530" w14:textId="77777777" w:rsidR="00B95B5A" w:rsidRPr="00B95B5A" w:rsidRDefault="00B95B5A" w:rsidP="00B95B5A">
      <w:pPr>
        <w:widowControl w:val="0"/>
        <w:numPr>
          <w:ilvl w:val="0"/>
          <w:numId w:val="10"/>
        </w:numPr>
        <w:spacing w:after="0" w:line="240" w:lineRule="auto"/>
        <w:contextualSpacing/>
        <w:jc w:val="both"/>
        <w:rPr>
          <w:rFonts w:ascii="Calibri" w:eastAsia="Calibri" w:hAnsi="Calibri" w:cs="Times New Roman"/>
          <w:lang w:val="fr-FR"/>
        </w:rPr>
      </w:pPr>
      <w:r w:rsidRPr="00B95B5A">
        <w:rPr>
          <w:rFonts w:ascii="Calibri" w:eastAsia="Calibri" w:hAnsi="Calibri" w:cs="Times New Roman"/>
          <w:lang w:val="fr-FR"/>
        </w:rPr>
        <w:t>Composante 2 : Coop</w:t>
      </w:r>
      <w:r w:rsidRPr="00B95B5A">
        <w:rPr>
          <w:rFonts w:ascii="Calibri" w:eastAsia="Calibri" w:hAnsi="Calibri" w:cs="Calibri"/>
          <w:lang w:val="fr-FR"/>
        </w:rPr>
        <w:t>é</w:t>
      </w:r>
      <w:r w:rsidRPr="00B95B5A">
        <w:rPr>
          <w:rFonts w:ascii="Calibri" w:eastAsia="Calibri" w:hAnsi="Calibri" w:cs="Times New Roman"/>
          <w:lang w:val="fr-FR"/>
        </w:rPr>
        <w:t>ration scientifique r</w:t>
      </w:r>
      <w:r w:rsidRPr="00B95B5A">
        <w:rPr>
          <w:rFonts w:ascii="Calibri" w:eastAsia="Calibri" w:hAnsi="Calibri" w:cs="Calibri"/>
          <w:lang w:val="fr-FR"/>
        </w:rPr>
        <w:t>é</w:t>
      </w:r>
      <w:r w:rsidRPr="00B95B5A">
        <w:rPr>
          <w:rFonts w:ascii="Calibri" w:eastAsia="Calibri" w:hAnsi="Calibri" w:cs="Times New Roman"/>
          <w:lang w:val="fr-FR"/>
        </w:rPr>
        <w:t xml:space="preserve">gionale et mise en </w:t>
      </w:r>
      <w:r w:rsidRPr="00B95B5A">
        <w:rPr>
          <w:rFonts w:ascii="Calibri" w:eastAsia="Calibri" w:hAnsi="Calibri" w:cs="Calibri"/>
          <w:lang w:val="fr-FR"/>
        </w:rPr>
        <w:t>œ</w:t>
      </w:r>
      <w:r w:rsidRPr="00B95B5A">
        <w:rPr>
          <w:rFonts w:ascii="Calibri" w:eastAsia="Calibri" w:hAnsi="Calibri" w:cs="Times New Roman"/>
          <w:lang w:val="fr-FR"/>
        </w:rPr>
        <w:t xml:space="preserve">uvre de projets de restauration et de soutien à des filières d'exploitation durable des écosystèmes côtiers. </w:t>
      </w:r>
    </w:p>
    <w:p w14:paraId="64CD9C46" w14:textId="77777777" w:rsidR="00B95B5A" w:rsidRPr="00B95B5A" w:rsidRDefault="00B95B5A" w:rsidP="00B95B5A">
      <w:pPr>
        <w:widowControl w:val="0"/>
        <w:numPr>
          <w:ilvl w:val="0"/>
          <w:numId w:val="10"/>
        </w:numPr>
        <w:spacing w:after="0" w:line="240" w:lineRule="auto"/>
        <w:contextualSpacing/>
        <w:jc w:val="both"/>
        <w:rPr>
          <w:rFonts w:ascii="Calibri" w:eastAsia="Calibri" w:hAnsi="Calibri" w:cs="Times New Roman"/>
          <w:lang w:val="fr-FR"/>
        </w:rPr>
      </w:pPr>
      <w:r w:rsidRPr="00B95B5A">
        <w:rPr>
          <w:rFonts w:ascii="Calibri" w:eastAsia="Calibri" w:hAnsi="Calibri" w:cs="Times New Roman"/>
          <w:lang w:val="fr-FR"/>
        </w:rPr>
        <w:t xml:space="preserve">Composante 3 : Communication, sensibilisation, capitalisation et valorisation des bonnes pratiques. </w:t>
      </w:r>
    </w:p>
    <w:p w14:paraId="3EF12177" w14:textId="77777777" w:rsidR="00B95B5A" w:rsidRPr="00B95B5A" w:rsidRDefault="00B95B5A" w:rsidP="00B95B5A">
      <w:pPr>
        <w:widowControl w:val="0"/>
        <w:numPr>
          <w:ilvl w:val="0"/>
          <w:numId w:val="10"/>
        </w:numPr>
        <w:spacing w:after="0" w:line="240" w:lineRule="auto"/>
        <w:contextualSpacing/>
        <w:jc w:val="both"/>
        <w:rPr>
          <w:rFonts w:ascii="Calibri" w:eastAsia="Calibri" w:hAnsi="Calibri" w:cs="Times New Roman"/>
          <w:lang w:val="fr-FR"/>
        </w:rPr>
      </w:pPr>
      <w:r w:rsidRPr="00B95B5A">
        <w:rPr>
          <w:rFonts w:ascii="Calibri" w:eastAsia="Calibri" w:hAnsi="Calibri" w:cs="Times New Roman"/>
          <w:lang w:val="fr-FR"/>
        </w:rPr>
        <w:t xml:space="preserve">Composante 4 : Gestion de projet, coordination, suivi et </w:t>
      </w:r>
      <w:r w:rsidRPr="00B95B5A">
        <w:rPr>
          <w:rFonts w:ascii="Calibri" w:eastAsia="Calibri" w:hAnsi="Calibri" w:cs="Calibri"/>
          <w:lang w:val="fr-FR"/>
        </w:rPr>
        <w:t>é</w:t>
      </w:r>
      <w:r w:rsidRPr="00B95B5A">
        <w:rPr>
          <w:rFonts w:ascii="Calibri" w:eastAsia="Calibri" w:hAnsi="Calibri" w:cs="Times New Roman"/>
          <w:lang w:val="fr-FR"/>
        </w:rPr>
        <w:t>valuation.</w:t>
      </w:r>
    </w:p>
    <w:p w14:paraId="7543A3F6" w14:textId="288C1CB9" w:rsidR="00C45923" w:rsidRDefault="002F53C6" w:rsidP="00B95B5A">
      <w:pPr>
        <w:spacing w:after="160" w:line="259" w:lineRule="auto"/>
        <w:jc w:val="both"/>
        <w:rPr>
          <w:rFonts w:ascii="Calibri" w:eastAsia="Calibri" w:hAnsi="Calibri" w:cs="Times New Roman"/>
          <w:lang w:val="fr-FR"/>
        </w:rPr>
      </w:pPr>
      <w:r>
        <w:rPr>
          <w:rFonts w:ascii="Calibri" w:eastAsia="Calibri" w:hAnsi="Calibri" w:cs="Times New Roman"/>
          <w:noProof/>
          <w:lang w:val="fr-FR"/>
        </w:rPr>
        <mc:AlternateContent>
          <mc:Choice Requires="wps">
            <w:drawing>
              <wp:anchor distT="0" distB="0" distL="114300" distR="114300" simplePos="0" relativeHeight="251660288" behindDoc="0" locked="0" layoutInCell="1" allowOverlap="1" wp14:anchorId="2236B888" wp14:editId="498FF518">
                <wp:simplePos x="0" y="0"/>
                <wp:positionH relativeFrom="column">
                  <wp:posOffset>-228600</wp:posOffset>
                </wp:positionH>
                <wp:positionV relativeFrom="paragraph">
                  <wp:posOffset>200660</wp:posOffset>
                </wp:positionV>
                <wp:extent cx="6159500" cy="1968500"/>
                <wp:effectExtent l="0" t="0" r="12700" b="12700"/>
                <wp:wrapNone/>
                <wp:docPr id="10" name="Rectangle : coins arrondis 10"/>
                <wp:cNvGraphicFramePr/>
                <a:graphic xmlns:a="http://schemas.openxmlformats.org/drawingml/2006/main">
                  <a:graphicData uri="http://schemas.microsoft.com/office/word/2010/wordprocessingShape">
                    <wps:wsp>
                      <wps:cNvSpPr/>
                      <wps:spPr>
                        <a:xfrm>
                          <a:off x="0" y="0"/>
                          <a:ext cx="6159500" cy="1968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753A14" id="Rectangle : coins arrondis 10" o:spid="_x0000_s1026" style="position:absolute;margin-left:-18pt;margin-top:15.8pt;width:485pt;height:1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" filled="f" strokecolor="#243f60 [1604]" strokeweight="2pt"/>
            </w:pict>
          </mc:Fallback>
        </mc:AlternateContent>
      </w:r>
    </w:p>
    <w:p w14:paraId="12CDC0FD" w14:textId="0E494D31" w:rsidR="00B95B5A" w:rsidRPr="00B95B5A" w:rsidRDefault="00B95B5A" w:rsidP="00B95B5A">
      <w:pPr>
        <w:spacing w:after="160" w:line="259" w:lineRule="auto"/>
        <w:jc w:val="both"/>
        <w:rPr>
          <w:rFonts w:ascii="Calibri" w:eastAsia="Calibri" w:hAnsi="Calibri" w:cs="Times New Roman"/>
          <w:b/>
          <w:bCs/>
          <w:lang w:val="fr-FR"/>
        </w:rPr>
      </w:pPr>
      <w:r w:rsidRPr="00B95B5A">
        <w:rPr>
          <w:rFonts w:ascii="Calibri" w:eastAsia="Calibri" w:hAnsi="Calibri" w:cs="Times New Roman"/>
          <w:lang w:val="fr-FR"/>
        </w:rPr>
        <w:t xml:space="preserve">Le présent </w:t>
      </w:r>
      <w:r w:rsidR="005B1FCC">
        <w:rPr>
          <w:rFonts w:ascii="Calibri" w:eastAsia="Calibri" w:hAnsi="Calibri" w:cs="Times New Roman"/>
          <w:lang w:val="fr-FR"/>
        </w:rPr>
        <w:t>programme d’échanges d’exp</w:t>
      </w:r>
      <w:r w:rsidR="000C55B1">
        <w:rPr>
          <w:rFonts w:ascii="Calibri" w:eastAsia="Calibri" w:hAnsi="Calibri" w:cs="Times New Roman"/>
          <w:lang w:val="fr-FR"/>
        </w:rPr>
        <w:t>ertises</w:t>
      </w:r>
      <w:r w:rsidRPr="00B95B5A">
        <w:rPr>
          <w:rFonts w:ascii="Calibri" w:eastAsia="Calibri" w:hAnsi="Calibri" w:cs="Times New Roman"/>
          <w:lang w:val="fr-FR"/>
        </w:rPr>
        <w:t xml:space="preserve"> est proposé dans le cadre de la mise en œuvre de la composante </w:t>
      </w:r>
      <w:r w:rsidR="005B1FCC">
        <w:rPr>
          <w:rFonts w:ascii="Calibri" w:eastAsia="Calibri" w:hAnsi="Calibri" w:cs="Times New Roman"/>
          <w:lang w:val="fr-FR"/>
        </w:rPr>
        <w:t>1</w:t>
      </w:r>
      <w:r w:rsidRPr="00B95B5A">
        <w:rPr>
          <w:rFonts w:ascii="Calibri" w:eastAsia="Calibri" w:hAnsi="Calibri" w:cs="Times New Roman"/>
          <w:lang w:val="fr-FR"/>
        </w:rPr>
        <w:t xml:space="preserve">. </w:t>
      </w:r>
      <w:r w:rsidRPr="00B95B5A">
        <w:rPr>
          <w:rFonts w:ascii="Calibri" w:eastAsia="Calibri" w:hAnsi="Calibri" w:cs="Times New Roman"/>
          <w:b/>
          <w:bCs/>
          <w:lang w:val="fr-FR"/>
        </w:rPr>
        <w:t>Cette action</w:t>
      </w:r>
      <w:r w:rsidR="00C45923" w:rsidRPr="002E2986">
        <w:rPr>
          <w:rFonts w:ascii="Calibri" w:eastAsia="Calibri" w:hAnsi="Calibri" w:cs="Times New Roman"/>
          <w:b/>
          <w:bCs/>
          <w:lang w:val="fr-FR"/>
        </w:rPr>
        <w:t xml:space="preserve"> vise</w:t>
      </w:r>
      <w:r w:rsidRPr="00B95B5A">
        <w:rPr>
          <w:rFonts w:ascii="Calibri" w:eastAsia="Calibri" w:hAnsi="Calibri" w:cs="Times New Roman"/>
          <w:b/>
          <w:bCs/>
          <w:lang w:val="fr-FR"/>
        </w:rPr>
        <w:t xml:space="preserve"> </w:t>
      </w:r>
      <w:r w:rsidR="005B1FCC" w:rsidRPr="002E2986">
        <w:rPr>
          <w:rFonts w:ascii="Calibri" w:eastAsia="Calibri" w:hAnsi="Calibri" w:cs="Times New Roman"/>
          <w:b/>
          <w:bCs/>
          <w:lang w:val="fr-FR"/>
        </w:rPr>
        <w:t xml:space="preserve">à contribuer au renforcement de capacités des acteurs des pays de la COI par l’échange et la diffusion de bonnes pratiques </w:t>
      </w:r>
      <w:r w:rsidR="00B43BC8" w:rsidRPr="002E2986">
        <w:rPr>
          <w:rFonts w:ascii="Calibri" w:eastAsia="Calibri" w:hAnsi="Calibri" w:cs="Times New Roman"/>
          <w:b/>
          <w:bCs/>
          <w:lang w:val="fr-FR"/>
        </w:rPr>
        <w:t xml:space="preserve">pour </w:t>
      </w:r>
      <w:r w:rsidR="005B1FCC" w:rsidRPr="002E2986">
        <w:rPr>
          <w:rFonts w:ascii="Calibri" w:eastAsia="Calibri" w:hAnsi="Calibri" w:cs="Times New Roman"/>
          <w:b/>
          <w:bCs/>
          <w:lang w:val="fr-FR"/>
        </w:rPr>
        <w:t>renforcer</w:t>
      </w:r>
      <w:r w:rsidRPr="00B95B5A">
        <w:rPr>
          <w:rFonts w:ascii="Calibri" w:eastAsia="Calibri" w:hAnsi="Calibri" w:cs="Times New Roman"/>
          <w:b/>
          <w:bCs/>
          <w:lang w:val="fr-FR"/>
        </w:rPr>
        <w:t xml:space="preserve"> </w:t>
      </w:r>
      <w:r w:rsidR="00C45923" w:rsidRPr="002E2986">
        <w:rPr>
          <w:rFonts w:ascii="Calibri" w:eastAsia="Calibri" w:hAnsi="Calibri" w:cs="Times New Roman"/>
          <w:b/>
          <w:bCs/>
          <w:lang w:val="fr-FR"/>
        </w:rPr>
        <w:t>la résilience des écosystèmes côtiers.</w:t>
      </w:r>
    </w:p>
    <w:p w14:paraId="707CF4DD" w14:textId="1C59BB08" w:rsidR="003A4CB7" w:rsidRDefault="003A4CB7" w:rsidP="003A4CB7">
      <w:pPr>
        <w:jc w:val="both"/>
        <w:rPr>
          <w:lang w:val="fr-FR"/>
        </w:rPr>
      </w:pPr>
      <w:r>
        <w:rPr>
          <w:lang w:val="fr-FR"/>
        </w:rPr>
        <w:t>Afin de répondre à ce</w:t>
      </w:r>
      <w:r w:rsidR="002E2986">
        <w:rPr>
          <w:lang w:val="fr-FR"/>
        </w:rPr>
        <w:t>t</w:t>
      </w:r>
      <w:r>
        <w:rPr>
          <w:lang w:val="fr-FR"/>
        </w:rPr>
        <w:t xml:space="preserve"> objectif, un inventaire </w:t>
      </w:r>
      <w:r w:rsidRPr="00FA3521">
        <w:rPr>
          <w:lang w:val="fr-FR"/>
        </w:rPr>
        <w:t xml:space="preserve">des bonnes pratiques </w:t>
      </w:r>
      <w:r w:rsidR="002F53C6">
        <w:rPr>
          <w:lang w:val="fr-FR"/>
        </w:rPr>
        <w:t>gestion des écosystèmes côtiers est</w:t>
      </w:r>
      <w:r>
        <w:rPr>
          <w:lang w:val="fr-FR"/>
        </w:rPr>
        <w:t xml:space="preserve"> réalisé dans </w:t>
      </w:r>
      <w:r w:rsidR="002F53C6">
        <w:rPr>
          <w:lang w:val="fr-FR"/>
        </w:rPr>
        <w:t>la région Océan Indien</w:t>
      </w:r>
      <w:r>
        <w:rPr>
          <w:lang w:val="fr-FR"/>
        </w:rPr>
        <w:t xml:space="preserve">. Sur la base de cet inventaire, </w:t>
      </w:r>
      <w:r w:rsidRPr="00FA3521">
        <w:rPr>
          <w:lang w:val="fr-FR"/>
        </w:rPr>
        <w:t>des échanges d’exp</w:t>
      </w:r>
      <w:r w:rsidR="000C55B1">
        <w:rPr>
          <w:lang w:val="fr-FR"/>
        </w:rPr>
        <w:t xml:space="preserve">ertises </w:t>
      </w:r>
      <w:r w:rsidRPr="00FA3521">
        <w:rPr>
          <w:lang w:val="fr-FR"/>
        </w:rPr>
        <w:t xml:space="preserve">sont </w:t>
      </w:r>
      <w:r>
        <w:rPr>
          <w:lang w:val="fr-FR"/>
        </w:rPr>
        <w:t>encouragé</w:t>
      </w:r>
      <w:r w:rsidRPr="00FA3521">
        <w:rPr>
          <w:lang w:val="fr-FR"/>
        </w:rPr>
        <w:t xml:space="preserve">s entre les </w:t>
      </w:r>
      <w:r>
        <w:rPr>
          <w:lang w:val="fr-FR"/>
        </w:rPr>
        <w:t xml:space="preserve">acteurs de gestion des zones côtières </w:t>
      </w:r>
      <w:r w:rsidR="002F53C6">
        <w:rPr>
          <w:lang w:val="fr-FR"/>
        </w:rPr>
        <w:t>des Etats membres de la COI</w:t>
      </w:r>
      <w:r>
        <w:rPr>
          <w:lang w:val="fr-FR"/>
        </w:rPr>
        <w:t xml:space="preserve">, sur une base partenariale. Pour faciliter ces échanges, le projet </w:t>
      </w:r>
      <w:r w:rsidR="002F53C6">
        <w:rPr>
          <w:lang w:val="fr-FR"/>
        </w:rPr>
        <w:t>RECOS</w:t>
      </w:r>
      <w:r>
        <w:rPr>
          <w:lang w:val="fr-FR"/>
        </w:rPr>
        <w:t xml:space="preserve"> propose la prise en charge</w:t>
      </w:r>
      <w:r w:rsidRPr="00FA3521">
        <w:rPr>
          <w:lang w:val="fr-FR"/>
        </w:rPr>
        <w:t xml:space="preserve"> </w:t>
      </w:r>
      <w:r>
        <w:rPr>
          <w:lang w:val="fr-FR"/>
        </w:rPr>
        <w:t>des frais de voyage des demandeurs d’exp</w:t>
      </w:r>
      <w:r w:rsidR="000C55B1">
        <w:rPr>
          <w:lang w:val="fr-FR"/>
        </w:rPr>
        <w:t>ertises.</w:t>
      </w:r>
    </w:p>
    <w:p w14:paraId="6F57C878" w14:textId="1C7FB991" w:rsidR="002F53C6" w:rsidRDefault="002F53C6">
      <w:pPr>
        <w:rPr>
          <w:b/>
          <w:color w:val="E36C0A" w:themeColor="accent6" w:themeShade="BF"/>
          <w:lang w:val="fr-FR"/>
        </w:rPr>
      </w:pPr>
      <w:r>
        <w:rPr>
          <w:b/>
          <w:color w:val="E36C0A" w:themeColor="accent6" w:themeShade="BF"/>
          <w:lang w:val="fr-FR"/>
        </w:rPr>
        <w:br w:type="page"/>
      </w:r>
    </w:p>
    <w:p w14:paraId="4655B160" w14:textId="4471A38A" w:rsidR="002F53C6" w:rsidRPr="00C26B7E" w:rsidRDefault="002F53C6" w:rsidP="00C26B7E">
      <w:pPr>
        <w:pStyle w:val="Paragraphedeliste"/>
        <w:keepNext/>
        <w:keepLines/>
        <w:numPr>
          <w:ilvl w:val="0"/>
          <w:numId w:val="11"/>
        </w:numPr>
        <w:spacing w:before="240" w:after="0" w:line="259" w:lineRule="auto"/>
        <w:outlineLvl w:val="0"/>
        <w:rPr>
          <w:rFonts w:ascii="Calibri Light" w:eastAsia="Times New Roman" w:hAnsi="Calibri Light" w:cs="Times New Roman"/>
          <w:color w:val="2F5496"/>
          <w:sz w:val="32"/>
          <w:szCs w:val="32"/>
          <w:lang w:val="fr-FR"/>
        </w:rPr>
      </w:pPr>
      <w:r w:rsidRPr="00C26B7E">
        <w:rPr>
          <w:rFonts w:ascii="Calibri Light" w:eastAsia="Times New Roman" w:hAnsi="Calibri Light" w:cs="Times New Roman"/>
          <w:color w:val="2F5496"/>
          <w:sz w:val="32"/>
          <w:szCs w:val="32"/>
          <w:lang w:val="fr-FR"/>
        </w:rPr>
        <w:lastRenderedPageBreak/>
        <w:t>Modalités du programme d’échanges d’exp</w:t>
      </w:r>
      <w:r w:rsidR="000C55B1" w:rsidRPr="00C26B7E">
        <w:rPr>
          <w:rFonts w:ascii="Calibri Light" w:eastAsia="Times New Roman" w:hAnsi="Calibri Light" w:cs="Times New Roman"/>
          <w:color w:val="2F5496"/>
          <w:sz w:val="32"/>
          <w:szCs w:val="32"/>
          <w:lang w:val="fr-FR"/>
        </w:rPr>
        <w:t>ertises</w:t>
      </w:r>
    </w:p>
    <w:p w14:paraId="6AFEA6E6" w14:textId="09738DB8" w:rsidR="002F53C6" w:rsidRDefault="002F53C6" w:rsidP="003A4CB7">
      <w:pPr>
        <w:rPr>
          <w:b/>
          <w:color w:val="E36C0A" w:themeColor="accent6" w:themeShade="BF"/>
          <w:lang w:val="fr-FR"/>
        </w:rPr>
      </w:pPr>
    </w:p>
    <w:p w14:paraId="31107428" w14:textId="2CE513EE" w:rsidR="002006B2" w:rsidRDefault="002006B2" w:rsidP="003A4CB7">
      <w:pPr>
        <w:rPr>
          <w:b/>
          <w:color w:val="E36C0A" w:themeColor="accent6" w:themeShade="BF"/>
          <w:lang w:val="fr-FR"/>
        </w:rPr>
      </w:pPr>
      <w:r>
        <w:rPr>
          <w:b/>
          <w:color w:val="E36C0A" w:themeColor="accent6" w:themeShade="BF"/>
          <w:lang w:val="fr-FR"/>
        </w:rPr>
        <w:t>Principes généraux</w:t>
      </w:r>
    </w:p>
    <w:p w14:paraId="6B3A642E" w14:textId="45362B7C" w:rsidR="005765FB" w:rsidRPr="005765FB" w:rsidRDefault="005765FB" w:rsidP="005765FB">
      <w:pPr>
        <w:pStyle w:val="Paragraphedeliste"/>
        <w:numPr>
          <w:ilvl w:val="0"/>
          <w:numId w:val="13"/>
        </w:numPr>
        <w:jc w:val="both"/>
        <w:rPr>
          <w:lang w:val="fr-FR"/>
        </w:rPr>
      </w:pPr>
      <w:bookmarkStart w:id="4" w:name="_Hlk117092550"/>
      <w:r w:rsidRPr="005765FB">
        <w:rPr>
          <w:b/>
          <w:bCs/>
          <w:lang w:val="fr-FR"/>
        </w:rPr>
        <w:t>Ce programme d’échanges d’expertise s’inscrit dans un cadre général de renforcement de capacités</w:t>
      </w:r>
      <w:r w:rsidRPr="005765FB">
        <w:rPr>
          <w:lang w:val="fr-FR"/>
        </w:rPr>
        <w:t xml:space="preserve"> des acteurs de la gestion des zones côtières et marines des Etats membres de la COI. </w:t>
      </w:r>
      <w:r w:rsidRPr="005765FB">
        <w:rPr>
          <w:rFonts w:ascii="Calibri" w:eastAsia="Calibri" w:hAnsi="Calibri" w:cs="Times New Roman"/>
          <w:lang w:val="fr-FR"/>
        </w:rPr>
        <w:t xml:space="preserve">Contrairement aux formations classiques, ce </w:t>
      </w:r>
      <w:proofErr w:type="spellStart"/>
      <w:r w:rsidRPr="005765FB">
        <w:rPr>
          <w:rFonts w:ascii="Calibri" w:eastAsia="Calibri" w:hAnsi="Calibri" w:cs="Times New Roman"/>
          <w:lang w:val="fr-FR"/>
        </w:rPr>
        <w:t>prograe</w:t>
      </w:r>
      <w:proofErr w:type="spellEnd"/>
      <w:r w:rsidRPr="005765FB">
        <w:rPr>
          <w:rFonts w:ascii="Calibri" w:eastAsia="Calibri" w:hAnsi="Calibri" w:cs="Times New Roman"/>
          <w:lang w:val="fr-FR"/>
        </w:rPr>
        <w:t xml:space="preserve"> s’oriente davantage vers le terrain, le transfert et l’application concrète de savoirs ayant déjà montré les bénéfices sur les plans environnementaux, sociaux-économiques et culturels. Dans ce cadre, l’expert se déplace sur le terrain, ou bien des sites de démonstration sont visités, permettant ainsi d’utiliser le caractère exemplaire de pratiques comme moteur d’échanges de compétences.</w:t>
      </w:r>
    </w:p>
    <w:bookmarkEnd w:id="4"/>
    <w:p w14:paraId="50DEB0D4" w14:textId="77777777" w:rsidR="005765FB" w:rsidRPr="005765FB" w:rsidRDefault="005765FB" w:rsidP="005765FB">
      <w:pPr>
        <w:pStyle w:val="Paragraphedeliste"/>
        <w:jc w:val="both"/>
        <w:rPr>
          <w:lang w:val="fr-FR"/>
        </w:rPr>
      </w:pPr>
    </w:p>
    <w:p w14:paraId="2338AD8A" w14:textId="55D53B46" w:rsidR="005765FB" w:rsidRDefault="005765FB" w:rsidP="005765FB">
      <w:pPr>
        <w:pStyle w:val="Paragraphedeliste"/>
        <w:numPr>
          <w:ilvl w:val="0"/>
          <w:numId w:val="13"/>
        </w:numPr>
        <w:spacing w:after="0"/>
        <w:jc w:val="both"/>
      </w:pPr>
      <w:r w:rsidRPr="005765FB">
        <w:rPr>
          <w:b/>
          <w:bCs/>
        </w:rPr>
        <w:t xml:space="preserve">Les </w:t>
      </w:r>
      <w:proofErr w:type="spellStart"/>
      <w:r w:rsidRPr="005765FB">
        <w:rPr>
          <w:b/>
          <w:bCs/>
        </w:rPr>
        <w:t>échanges</w:t>
      </w:r>
      <w:proofErr w:type="spellEnd"/>
      <w:r w:rsidRPr="005765FB">
        <w:rPr>
          <w:b/>
          <w:bCs/>
        </w:rPr>
        <w:t xml:space="preserve"> entre pairs se font sur </w:t>
      </w:r>
      <w:proofErr w:type="spellStart"/>
      <w:r w:rsidRPr="005765FB">
        <w:rPr>
          <w:b/>
          <w:bCs/>
        </w:rPr>
        <w:t>une</w:t>
      </w:r>
      <w:proofErr w:type="spellEnd"/>
      <w:r w:rsidRPr="005765FB">
        <w:rPr>
          <w:b/>
          <w:bCs/>
        </w:rPr>
        <w:t xml:space="preserve"> base </w:t>
      </w:r>
      <w:proofErr w:type="spellStart"/>
      <w:r w:rsidRPr="005765FB">
        <w:rPr>
          <w:b/>
          <w:bCs/>
        </w:rPr>
        <w:t>volontaire</w:t>
      </w:r>
      <w:proofErr w:type="spellEnd"/>
      <w:r w:rsidRPr="005765FB">
        <w:rPr>
          <w:b/>
          <w:bCs/>
        </w:rPr>
        <w:t>:</w:t>
      </w:r>
      <w:r>
        <w:t xml:space="preserve"> </w:t>
      </w:r>
      <w:proofErr w:type="spellStart"/>
      <w:r>
        <w:t>c’est</w:t>
      </w:r>
      <w:proofErr w:type="spellEnd"/>
      <w:r>
        <w:t xml:space="preserve">-à-dire que le </w:t>
      </w:r>
      <w:proofErr w:type="spellStart"/>
      <w:r>
        <w:t>projet</w:t>
      </w:r>
      <w:proofErr w:type="spellEnd"/>
      <w:r>
        <w:t xml:space="preserve"> RECOS </w:t>
      </w:r>
      <w:proofErr w:type="spellStart"/>
      <w:r>
        <w:t>prend</w:t>
      </w:r>
      <w:proofErr w:type="spellEnd"/>
      <w:r>
        <w:t xml:space="preserve"> </w:t>
      </w:r>
      <w:proofErr w:type="spellStart"/>
      <w:r>
        <w:t>en</w:t>
      </w:r>
      <w:proofErr w:type="spellEnd"/>
      <w:r>
        <w:t xml:space="preserve"> charge </w:t>
      </w:r>
      <w:proofErr w:type="spellStart"/>
      <w:r>
        <w:t>uniquement</w:t>
      </w:r>
      <w:proofErr w:type="spellEnd"/>
      <w:r>
        <w:t xml:space="preserve"> les </w:t>
      </w:r>
      <w:proofErr w:type="spellStart"/>
      <w:r>
        <w:t>coûts</w:t>
      </w:r>
      <w:proofErr w:type="spellEnd"/>
      <w:r>
        <w:t xml:space="preserve"> de </w:t>
      </w:r>
      <w:proofErr w:type="spellStart"/>
      <w:r>
        <w:t>déplacement</w:t>
      </w:r>
      <w:proofErr w:type="spellEnd"/>
      <w:r>
        <w:t xml:space="preserve"> (</w:t>
      </w:r>
      <w:proofErr w:type="spellStart"/>
      <w:r>
        <w:t>soit</w:t>
      </w:r>
      <w:proofErr w:type="spellEnd"/>
      <w:r>
        <w:t xml:space="preserve"> de </w:t>
      </w:r>
      <w:proofErr w:type="spellStart"/>
      <w:r>
        <w:t>l’expert</w:t>
      </w:r>
      <w:proofErr w:type="spellEnd"/>
      <w:r>
        <w:t xml:space="preserve"> </w:t>
      </w:r>
      <w:proofErr w:type="spellStart"/>
      <w:r>
        <w:t>soit</w:t>
      </w:r>
      <w:proofErr w:type="spellEnd"/>
      <w:r>
        <w:t xml:space="preserve"> du </w:t>
      </w:r>
      <w:proofErr w:type="spellStart"/>
      <w:r>
        <w:t>demandeur</w:t>
      </w:r>
      <w:proofErr w:type="spellEnd"/>
      <w:r>
        <w:t xml:space="preserve">); </w:t>
      </w:r>
      <w:proofErr w:type="spellStart"/>
      <w:r>
        <w:t>L’expert</w:t>
      </w:r>
      <w:proofErr w:type="spellEnd"/>
      <w:r>
        <w:t xml:space="preserve"> ne </w:t>
      </w:r>
      <w:proofErr w:type="spellStart"/>
      <w:r>
        <w:t>peut</w:t>
      </w:r>
      <w:proofErr w:type="spellEnd"/>
      <w:r>
        <w:t xml:space="preserve"> </w:t>
      </w:r>
      <w:proofErr w:type="gramStart"/>
      <w:r>
        <w:t>pas</w:t>
      </w:r>
      <w:proofErr w:type="gramEnd"/>
      <w:r>
        <w:t xml:space="preserve"> demander de </w:t>
      </w:r>
      <w:proofErr w:type="spellStart"/>
      <w:r>
        <w:t>r</w:t>
      </w:r>
      <w:r w:rsidR="0063560D">
        <w:t>é</w:t>
      </w:r>
      <w:r>
        <w:t>muneration</w:t>
      </w:r>
      <w:proofErr w:type="spellEnd"/>
      <w:r>
        <w:t xml:space="preserve"> dans le cadre de </w:t>
      </w:r>
      <w:proofErr w:type="spellStart"/>
      <w:r>
        <w:t>ce</w:t>
      </w:r>
      <w:proofErr w:type="spellEnd"/>
      <w:r>
        <w:t xml:space="preserve"> </w:t>
      </w:r>
      <w:proofErr w:type="spellStart"/>
      <w:r>
        <w:t>programme</w:t>
      </w:r>
      <w:proofErr w:type="spellEnd"/>
      <w:r>
        <w:t xml:space="preserve">. </w:t>
      </w:r>
      <w:proofErr w:type="spellStart"/>
      <w:r>
        <w:t>Partant</w:t>
      </w:r>
      <w:proofErr w:type="spellEnd"/>
      <w:r>
        <w:t xml:space="preserve"> de </w:t>
      </w:r>
      <w:proofErr w:type="spellStart"/>
      <w:r>
        <w:t>ce</w:t>
      </w:r>
      <w:proofErr w:type="spellEnd"/>
      <w:r>
        <w:t xml:space="preserve"> </w:t>
      </w:r>
      <w:proofErr w:type="spellStart"/>
      <w:r>
        <w:t>principe</w:t>
      </w:r>
      <w:proofErr w:type="spellEnd"/>
      <w:r>
        <w:t xml:space="preserve">, les </w:t>
      </w:r>
      <w:proofErr w:type="spellStart"/>
      <w:r>
        <w:t>échanges</w:t>
      </w:r>
      <w:proofErr w:type="spellEnd"/>
      <w:r>
        <w:t xml:space="preserve"> </w:t>
      </w:r>
      <w:proofErr w:type="spellStart"/>
      <w:r>
        <w:t>impliqueront</w:t>
      </w:r>
      <w:proofErr w:type="spellEnd"/>
      <w:r>
        <w:t xml:space="preserve"> au </w:t>
      </w:r>
      <w:proofErr w:type="spellStart"/>
      <w:r>
        <w:t>préalable</w:t>
      </w:r>
      <w:proofErr w:type="spellEnd"/>
      <w:r>
        <w:t xml:space="preserve"> </w:t>
      </w:r>
      <w:proofErr w:type="spellStart"/>
      <w:r>
        <w:t>une</w:t>
      </w:r>
      <w:proofErr w:type="spellEnd"/>
      <w:r>
        <w:t xml:space="preserve"> mise </w:t>
      </w:r>
      <w:proofErr w:type="spellStart"/>
      <w:r>
        <w:t>en</w:t>
      </w:r>
      <w:proofErr w:type="spellEnd"/>
      <w:r>
        <w:t xml:space="preserve"> relation forte des </w:t>
      </w:r>
      <w:proofErr w:type="spellStart"/>
      <w:r>
        <w:t>acteurs</w:t>
      </w:r>
      <w:proofErr w:type="spellEnd"/>
      <w:r>
        <w:t xml:space="preserve">, qui doit </w:t>
      </w:r>
      <w:proofErr w:type="spellStart"/>
      <w:r>
        <w:t>donc</w:t>
      </w:r>
      <w:proofErr w:type="spellEnd"/>
      <w:r>
        <w:t xml:space="preserve"> </w:t>
      </w:r>
      <w:proofErr w:type="spellStart"/>
      <w:r>
        <w:t>aboutir</w:t>
      </w:r>
      <w:proofErr w:type="spellEnd"/>
      <w:r>
        <w:t xml:space="preserve"> à </w:t>
      </w:r>
      <w:proofErr w:type="spellStart"/>
      <w:r>
        <w:t>une</w:t>
      </w:r>
      <w:proofErr w:type="spellEnd"/>
      <w:r>
        <w:t xml:space="preserve"> </w:t>
      </w:r>
      <w:proofErr w:type="spellStart"/>
      <w:r>
        <w:t>opération</w:t>
      </w:r>
      <w:proofErr w:type="spellEnd"/>
      <w:r>
        <w:t xml:space="preserve"> </w:t>
      </w:r>
      <w:proofErr w:type="spellStart"/>
      <w:r>
        <w:t>gagnant-gagnant</w:t>
      </w:r>
      <w:proofErr w:type="spellEnd"/>
      <w:r>
        <w:t xml:space="preserve"> et </w:t>
      </w:r>
      <w:proofErr w:type="spellStart"/>
      <w:r>
        <w:t>ainsi</w:t>
      </w:r>
      <w:proofErr w:type="spellEnd"/>
      <w:r>
        <w:t xml:space="preserve"> </w:t>
      </w:r>
      <w:proofErr w:type="spellStart"/>
      <w:r>
        <w:t>favoriser</w:t>
      </w:r>
      <w:proofErr w:type="spellEnd"/>
      <w:r>
        <w:t xml:space="preserve"> des </w:t>
      </w:r>
      <w:proofErr w:type="spellStart"/>
      <w:r>
        <w:t>partenariats</w:t>
      </w:r>
      <w:proofErr w:type="spellEnd"/>
      <w:r>
        <w:t xml:space="preserve"> et/</w:t>
      </w:r>
      <w:proofErr w:type="spellStart"/>
      <w:r>
        <w:t>ou</w:t>
      </w:r>
      <w:proofErr w:type="spellEnd"/>
      <w:r>
        <w:t xml:space="preserve"> </w:t>
      </w:r>
      <w:proofErr w:type="spellStart"/>
      <w:r>
        <w:t>une</w:t>
      </w:r>
      <w:proofErr w:type="spellEnd"/>
      <w:r>
        <w:t xml:space="preserve"> collaboration sur le long </w:t>
      </w:r>
      <w:proofErr w:type="spellStart"/>
      <w:r>
        <w:t>terme</w:t>
      </w:r>
      <w:proofErr w:type="spellEnd"/>
      <w:r>
        <w:t>.</w:t>
      </w:r>
    </w:p>
    <w:p w14:paraId="4BD07ECD" w14:textId="77777777" w:rsidR="005765FB" w:rsidRDefault="005765FB" w:rsidP="005765FB">
      <w:pPr>
        <w:pStyle w:val="Paragraphedeliste"/>
        <w:spacing w:after="0"/>
        <w:jc w:val="both"/>
      </w:pPr>
    </w:p>
    <w:p w14:paraId="3E484451" w14:textId="77777777" w:rsidR="0063560D" w:rsidRDefault="0063560D" w:rsidP="003A4CB7">
      <w:pPr>
        <w:rPr>
          <w:b/>
          <w:color w:val="E36C0A" w:themeColor="accent6" w:themeShade="BF"/>
          <w:lang w:val="fr-FR"/>
        </w:rPr>
      </w:pPr>
    </w:p>
    <w:p w14:paraId="04CAA365" w14:textId="704FBE66" w:rsidR="006E6041" w:rsidRDefault="003A4CB7" w:rsidP="003A4CB7">
      <w:pPr>
        <w:rPr>
          <w:b/>
          <w:color w:val="E36C0A" w:themeColor="accent6" w:themeShade="BF"/>
          <w:lang w:val="fr-FR"/>
        </w:rPr>
      </w:pPr>
      <w:r w:rsidRPr="003A4CB7">
        <w:rPr>
          <w:b/>
          <w:color w:val="E36C0A" w:themeColor="accent6" w:themeShade="BF"/>
          <w:lang w:val="fr-FR"/>
        </w:rPr>
        <w:t xml:space="preserve">Qui peut </w:t>
      </w:r>
      <w:r w:rsidR="00601114">
        <w:rPr>
          <w:b/>
          <w:color w:val="E36C0A" w:themeColor="accent6" w:themeShade="BF"/>
          <w:lang w:val="fr-FR"/>
        </w:rPr>
        <w:t>faire une demande ?</w:t>
      </w:r>
    </w:p>
    <w:p w14:paraId="6CEB1CC0" w14:textId="72636CA4" w:rsidR="003A4CB7" w:rsidRDefault="003A4CB7" w:rsidP="003A4CB7">
      <w:pPr>
        <w:rPr>
          <w:lang w:val="fr-FR"/>
        </w:rPr>
      </w:pPr>
      <w:bookmarkStart w:id="5" w:name="_Hlk117094356"/>
      <w:r>
        <w:rPr>
          <w:lang w:val="fr-FR"/>
        </w:rPr>
        <w:t xml:space="preserve">Tout acteur </w:t>
      </w:r>
      <w:r w:rsidR="002006B2">
        <w:rPr>
          <w:lang w:val="fr-FR"/>
        </w:rPr>
        <w:t>impliqué dans la</w:t>
      </w:r>
      <w:r>
        <w:rPr>
          <w:lang w:val="fr-FR"/>
        </w:rPr>
        <w:t xml:space="preserve"> gestion des zones côtières ressortissant des pays</w:t>
      </w:r>
      <w:r w:rsidR="002006B2">
        <w:rPr>
          <w:lang w:val="fr-FR"/>
        </w:rPr>
        <w:t xml:space="preserve"> bénéficiaires</w:t>
      </w:r>
      <w:r>
        <w:rPr>
          <w:lang w:val="fr-FR"/>
        </w:rPr>
        <w:t xml:space="preserve"> de la COI </w:t>
      </w:r>
      <w:r w:rsidR="002006B2">
        <w:rPr>
          <w:lang w:val="fr-FR"/>
        </w:rPr>
        <w:t xml:space="preserve">(Comores, Madagascar, Maurice, Seychelles) </w:t>
      </w:r>
      <w:r>
        <w:rPr>
          <w:lang w:val="fr-FR"/>
        </w:rPr>
        <w:t xml:space="preserve">peut faire une demande d’appui sur une opération d’échange </w:t>
      </w:r>
      <w:r w:rsidR="00601114">
        <w:rPr>
          <w:lang w:val="fr-FR"/>
        </w:rPr>
        <w:t>d’expérience en lien avec les thématiques du projet RECOS, décrites ci-dessous.</w:t>
      </w:r>
      <w:r>
        <w:rPr>
          <w:lang w:val="fr-FR"/>
        </w:rPr>
        <w:t xml:space="preserve"> </w:t>
      </w:r>
    </w:p>
    <w:bookmarkEnd w:id="5"/>
    <w:p w14:paraId="2585FF5C" w14:textId="77777777" w:rsidR="00387DF1" w:rsidRDefault="00387DF1" w:rsidP="003A4CB7">
      <w:pPr>
        <w:rPr>
          <w:color w:val="E36C0A" w:themeColor="accent6" w:themeShade="BF"/>
          <w:lang w:val="fr-FR"/>
        </w:rPr>
      </w:pPr>
    </w:p>
    <w:p w14:paraId="20A22C57" w14:textId="67A01163" w:rsidR="00387DF1" w:rsidRPr="0063560D" w:rsidRDefault="002006B2" w:rsidP="003A4CB7">
      <w:pPr>
        <w:rPr>
          <w:b/>
          <w:bCs/>
          <w:color w:val="E36C0A" w:themeColor="accent6" w:themeShade="BF"/>
          <w:lang w:val="fr-FR"/>
        </w:rPr>
      </w:pPr>
      <w:r w:rsidRPr="0063560D">
        <w:rPr>
          <w:b/>
          <w:bCs/>
          <w:color w:val="E36C0A" w:themeColor="accent6" w:themeShade="BF"/>
          <w:lang w:val="fr-FR"/>
        </w:rPr>
        <w:t>Sur quels sujets porte la demande d’échange</w:t>
      </w:r>
      <w:r w:rsidR="00D265D1">
        <w:rPr>
          <w:b/>
          <w:bCs/>
          <w:color w:val="E36C0A" w:themeColor="accent6" w:themeShade="BF"/>
          <w:lang w:val="fr-FR"/>
        </w:rPr>
        <w:t> ?</w:t>
      </w:r>
    </w:p>
    <w:p w14:paraId="34FC13E2" w14:textId="77777777" w:rsidR="000C55B1" w:rsidRPr="000C55B1" w:rsidRDefault="000C55B1" w:rsidP="000C55B1">
      <w:pPr>
        <w:widowControl w:val="0"/>
        <w:spacing w:before="120" w:after="120" w:line="247" w:lineRule="auto"/>
        <w:jc w:val="both"/>
        <w:rPr>
          <w:rFonts w:ascii="Calibri" w:eastAsia="Calibri" w:hAnsi="Calibri" w:cs="Times New Roman"/>
          <w:lang w:val="fr-FR"/>
        </w:rPr>
      </w:pPr>
      <w:r w:rsidRPr="000C55B1">
        <w:rPr>
          <w:rFonts w:ascii="Calibri" w:eastAsia="Calibri" w:hAnsi="Calibri" w:cs="Times New Roman"/>
          <w:lang w:val="fr-FR"/>
        </w:rPr>
        <w:t>Les échanges d’expertise porteront sur les thématiques de travail du projet RECOS et viendront renforcer les activités mises en œuvre dans le cadre de toutes les composantes du projet. Seront donc éligibles :</w:t>
      </w:r>
    </w:p>
    <w:p w14:paraId="45939427" w14:textId="77777777" w:rsidR="000C55B1" w:rsidRPr="000C55B1" w:rsidRDefault="000C55B1" w:rsidP="000C55B1">
      <w:pPr>
        <w:widowControl w:val="0"/>
        <w:numPr>
          <w:ilvl w:val="0"/>
          <w:numId w:val="14"/>
        </w:numPr>
        <w:spacing w:before="120" w:after="120" w:line="247" w:lineRule="auto"/>
        <w:contextualSpacing/>
        <w:jc w:val="both"/>
        <w:rPr>
          <w:rFonts w:ascii="Calibri" w:eastAsia="Calibri" w:hAnsi="Calibri" w:cs="Times New Roman"/>
          <w:lang w:val="fr-FR"/>
        </w:rPr>
      </w:pPr>
      <w:r w:rsidRPr="000C55B1">
        <w:rPr>
          <w:rFonts w:ascii="Calibri" w:eastAsia="Calibri" w:hAnsi="Calibri" w:cs="Times New Roman"/>
          <w:b/>
          <w:bCs/>
          <w:lang w:val="fr-FR"/>
        </w:rPr>
        <w:t xml:space="preserve">Les échanges contribuant à renforcer le volet scientifique du projet RECOS: </w:t>
      </w:r>
      <w:r w:rsidRPr="000C55B1">
        <w:rPr>
          <w:rFonts w:ascii="Calibri" w:eastAsia="Calibri" w:hAnsi="Calibri" w:cs="Times New Roman"/>
          <w:lang w:val="fr-FR"/>
        </w:rPr>
        <w:t>participation d’acteurs scientifiques nationaux aux ateliers de travail des groupes thématiques, déplacement d’experts en renforcement de capacités des groupes de travail, participation à des rencontres scientifiques régionales et internationales, déplacements d’experts dans le cadre de missions de suivi et évaluation des projets pilotes et des projets subventionnés par RECOS dans le cadre de l’appel à projet, visites de terrain sur des sites de démonstration, participation à des formations…</w:t>
      </w:r>
    </w:p>
    <w:p w14:paraId="49A767D8" w14:textId="77777777" w:rsidR="000C55B1" w:rsidRPr="000C55B1" w:rsidRDefault="000C55B1" w:rsidP="000C55B1">
      <w:pPr>
        <w:widowControl w:val="0"/>
        <w:spacing w:before="120" w:after="120" w:line="247" w:lineRule="auto"/>
        <w:ind w:left="720"/>
        <w:contextualSpacing/>
        <w:jc w:val="both"/>
        <w:rPr>
          <w:rFonts w:ascii="Calibri" w:eastAsia="Calibri" w:hAnsi="Calibri" w:cs="Times New Roman"/>
          <w:lang w:val="fr-FR"/>
        </w:rPr>
      </w:pPr>
    </w:p>
    <w:p w14:paraId="3647B4D8" w14:textId="77777777" w:rsidR="000C55B1" w:rsidRPr="000C55B1" w:rsidRDefault="000C55B1" w:rsidP="000C55B1">
      <w:pPr>
        <w:widowControl w:val="0"/>
        <w:spacing w:before="120" w:after="120" w:line="247" w:lineRule="auto"/>
        <w:ind w:left="720"/>
        <w:contextualSpacing/>
        <w:jc w:val="both"/>
        <w:rPr>
          <w:rFonts w:ascii="Calibri" w:eastAsia="Calibri" w:hAnsi="Calibri" w:cs="Times New Roman"/>
          <w:lang w:val="fr-FR"/>
        </w:rPr>
      </w:pPr>
      <w:r w:rsidRPr="000C55B1">
        <w:rPr>
          <w:rFonts w:ascii="Calibri" w:eastAsia="Calibri" w:hAnsi="Calibri" w:cs="Times New Roman"/>
          <w:lang w:val="fr-FR"/>
        </w:rPr>
        <w:t>Dans le cadre du volet scientifique, les expertises retenues pouvant faire l’objet d’opérations d’échanges sont :</w:t>
      </w:r>
    </w:p>
    <w:p w14:paraId="77F1811B" w14:textId="77777777" w:rsidR="000C55B1" w:rsidRPr="000C55B1" w:rsidRDefault="000C55B1" w:rsidP="000C55B1">
      <w:pPr>
        <w:widowControl w:val="0"/>
        <w:spacing w:before="120" w:after="120" w:line="247" w:lineRule="auto"/>
        <w:ind w:left="720"/>
        <w:contextualSpacing/>
        <w:jc w:val="both"/>
        <w:rPr>
          <w:rFonts w:ascii="Calibri" w:eastAsia="Calibri" w:hAnsi="Calibri" w:cs="Times New Roman"/>
          <w:lang w:val="fr-FR"/>
        </w:rPr>
      </w:pPr>
    </w:p>
    <w:p w14:paraId="06F2E352" w14:textId="77777777" w:rsidR="000C55B1" w:rsidRPr="000C55B1" w:rsidRDefault="000C55B1" w:rsidP="000C55B1">
      <w:pPr>
        <w:widowControl w:val="0"/>
        <w:numPr>
          <w:ilvl w:val="0"/>
          <w:numId w:val="15"/>
        </w:numPr>
        <w:spacing w:before="120" w:after="120" w:line="247" w:lineRule="auto"/>
        <w:contextualSpacing/>
        <w:jc w:val="both"/>
        <w:rPr>
          <w:rFonts w:ascii="Calibri" w:eastAsia="Calibri" w:hAnsi="Calibri" w:cs="Times New Roman"/>
          <w:lang w:val="fr-FR"/>
        </w:rPr>
      </w:pPr>
      <w:r w:rsidRPr="000C55B1">
        <w:rPr>
          <w:rFonts w:ascii="Calibri" w:eastAsia="Calibri" w:hAnsi="Calibri" w:cs="Times New Roman"/>
          <w:b/>
          <w:bCs/>
          <w:lang w:val="fr-FR"/>
        </w:rPr>
        <w:t>La gestion des AMP/LMMA :</w:t>
      </w:r>
      <w:r w:rsidRPr="000C55B1">
        <w:rPr>
          <w:rFonts w:ascii="Calibri" w:eastAsia="Calibri" w:hAnsi="Calibri" w:cs="Times New Roman"/>
          <w:lang w:val="fr-FR"/>
        </w:rPr>
        <w:t xml:space="preserve"> méthodes de suivi et de protection des écosystèmes marins et côtiers, pratiques de gestion et modes de gouvernances, techniques de </w:t>
      </w:r>
      <w:r w:rsidRPr="000C55B1">
        <w:rPr>
          <w:rFonts w:ascii="Calibri" w:eastAsia="Calibri" w:hAnsi="Calibri" w:cs="Times New Roman"/>
          <w:lang w:val="fr-FR"/>
        </w:rPr>
        <w:lastRenderedPageBreak/>
        <w:t>surveillance, aspects juridiques, études sociales et économiques, pratiques de pêche durable, évaluation de l’efficacité des mesures de gestion, mise en place d’activité génératrices de revenus, accompagnement socio-économique des communautés côtières, partage d’outils, renforcement de capacités…</w:t>
      </w:r>
    </w:p>
    <w:p w14:paraId="2F0773AB" w14:textId="77777777" w:rsidR="000C55B1" w:rsidRPr="000C55B1" w:rsidRDefault="000C55B1" w:rsidP="000C55B1">
      <w:pPr>
        <w:widowControl w:val="0"/>
        <w:spacing w:before="120" w:after="120" w:line="247" w:lineRule="auto"/>
        <w:ind w:left="1440"/>
        <w:contextualSpacing/>
        <w:jc w:val="both"/>
        <w:rPr>
          <w:rFonts w:ascii="Calibri" w:eastAsia="Calibri" w:hAnsi="Calibri" w:cs="Times New Roman"/>
          <w:lang w:val="fr-FR"/>
        </w:rPr>
      </w:pPr>
    </w:p>
    <w:p w14:paraId="5AAADB43" w14:textId="73CE82EA" w:rsidR="000C55B1" w:rsidRDefault="000C55B1" w:rsidP="000C55B1">
      <w:pPr>
        <w:widowControl w:val="0"/>
        <w:numPr>
          <w:ilvl w:val="0"/>
          <w:numId w:val="15"/>
        </w:numPr>
        <w:spacing w:before="120" w:after="120" w:line="247" w:lineRule="auto"/>
        <w:contextualSpacing/>
        <w:jc w:val="both"/>
        <w:rPr>
          <w:rFonts w:ascii="Calibri" w:eastAsia="Calibri" w:hAnsi="Calibri" w:cs="Times New Roman"/>
          <w:lang w:val="fr-FR"/>
        </w:rPr>
      </w:pPr>
      <w:r w:rsidRPr="000C55B1">
        <w:rPr>
          <w:rFonts w:ascii="Calibri" w:eastAsia="Calibri" w:hAnsi="Calibri" w:cs="Times New Roman"/>
          <w:b/>
          <w:bCs/>
          <w:lang w:val="fr-FR"/>
        </w:rPr>
        <w:t>La gestion et la restauration des écosystèmes marins et côtiers (mangroves, herbiers marins, récifs coralliens) :</w:t>
      </w:r>
      <w:r w:rsidRPr="000C55B1">
        <w:rPr>
          <w:rFonts w:ascii="Calibri" w:eastAsia="Calibri" w:hAnsi="Calibri" w:cs="Times New Roman"/>
          <w:lang w:val="fr-FR"/>
        </w:rPr>
        <w:t xml:space="preserve"> méthodologies de monitoring, mapping, restauration. Techniques d’ingénierie écologique, mesures de gestion intégrée de ces écosystèmes, expertise et méthodologie liées à la quantification et la valorisation du carbone bleu…</w:t>
      </w:r>
    </w:p>
    <w:p w14:paraId="5481363B" w14:textId="77777777" w:rsidR="000C55B1" w:rsidRPr="000C55B1" w:rsidRDefault="000C55B1" w:rsidP="000C55B1">
      <w:pPr>
        <w:widowControl w:val="0"/>
        <w:spacing w:before="120" w:after="120" w:line="247" w:lineRule="auto"/>
        <w:contextualSpacing/>
        <w:jc w:val="both"/>
        <w:rPr>
          <w:rFonts w:ascii="Calibri" w:eastAsia="Calibri" w:hAnsi="Calibri" w:cs="Times New Roman"/>
          <w:lang w:val="fr-FR"/>
        </w:rPr>
      </w:pPr>
    </w:p>
    <w:p w14:paraId="67AA70C7" w14:textId="77777777" w:rsidR="000C55B1" w:rsidRPr="000C55B1" w:rsidRDefault="000C55B1" w:rsidP="000C55B1">
      <w:pPr>
        <w:widowControl w:val="0"/>
        <w:numPr>
          <w:ilvl w:val="0"/>
          <w:numId w:val="15"/>
        </w:numPr>
        <w:spacing w:before="120" w:after="120" w:line="247" w:lineRule="auto"/>
        <w:contextualSpacing/>
        <w:jc w:val="both"/>
        <w:rPr>
          <w:rFonts w:ascii="Calibri" w:eastAsia="Calibri" w:hAnsi="Calibri" w:cs="Times New Roman"/>
          <w:b/>
          <w:bCs/>
          <w:lang w:val="fr-FR"/>
        </w:rPr>
      </w:pPr>
      <w:r w:rsidRPr="000C55B1">
        <w:rPr>
          <w:rFonts w:ascii="Calibri" w:eastAsia="Calibri" w:hAnsi="Calibri" w:cs="Times New Roman"/>
          <w:b/>
          <w:bCs/>
          <w:lang w:val="fr-FR"/>
        </w:rPr>
        <w:t xml:space="preserve">L’étude des pressions côtières : </w:t>
      </w:r>
      <w:r w:rsidRPr="000C55B1">
        <w:rPr>
          <w:rFonts w:ascii="Calibri" w:eastAsia="Calibri" w:hAnsi="Calibri" w:cs="Times New Roman"/>
          <w:lang w:val="fr-FR"/>
        </w:rPr>
        <w:t>techniques de surveillance du trait de côte, mesure de l’érosion, techniques SIG, techniques de traitement des images satellitaire, partage de solutions de réduction de l’érosion et de restauration du littoral, restauration de cordons dunaires, étude des pressions et de la dynamique des bassins versant…</w:t>
      </w:r>
    </w:p>
    <w:p w14:paraId="10B58186" w14:textId="77777777" w:rsidR="000C55B1" w:rsidRPr="000C55B1" w:rsidRDefault="000C55B1" w:rsidP="000C55B1">
      <w:pPr>
        <w:widowControl w:val="0"/>
        <w:spacing w:before="120" w:after="120" w:line="247" w:lineRule="auto"/>
        <w:ind w:left="720"/>
        <w:contextualSpacing/>
        <w:jc w:val="both"/>
        <w:rPr>
          <w:rFonts w:ascii="Calibri" w:eastAsia="Calibri" w:hAnsi="Calibri" w:cs="Times New Roman"/>
          <w:b/>
          <w:bCs/>
          <w:lang w:val="fr-FR"/>
        </w:rPr>
      </w:pPr>
    </w:p>
    <w:p w14:paraId="1E36B57E" w14:textId="15C48990" w:rsidR="000C55B1" w:rsidRPr="000C55B1" w:rsidRDefault="000C55B1" w:rsidP="000C55B1">
      <w:pPr>
        <w:widowControl w:val="0"/>
        <w:numPr>
          <w:ilvl w:val="0"/>
          <w:numId w:val="15"/>
        </w:numPr>
        <w:spacing w:before="120" w:after="120" w:line="247" w:lineRule="auto"/>
        <w:contextualSpacing/>
        <w:jc w:val="both"/>
        <w:rPr>
          <w:rFonts w:ascii="Calibri" w:eastAsia="Calibri" w:hAnsi="Calibri" w:cs="Times New Roman"/>
          <w:b/>
          <w:bCs/>
          <w:lang w:val="fr-FR"/>
        </w:rPr>
      </w:pPr>
      <w:r w:rsidRPr="000C55B1">
        <w:rPr>
          <w:rFonts w:ascii="Calibri" w:eastAsia="Calibri" w:hAnsi="Calibri" w:cs="Times New Roman"/>
          <w:b/>
          <w:bCs/>
          <w:lang w:val="fr-FR"/>
        </w:rPr>
        <w:t xml:space="preserve">Les sujets de socio-économie de la GIZC, au sens large. </w:t>
      </w:r>
      <w:r w:rsidRPr="000C55B1">
        <w:rPr>
          <w:rFonts w:ascii="Calibri" w:eastAsia="Calibri" w:hAnsi="Calibri" w:cs="Times New Roman"/>
          <w:lang w:val="fr-FR"/>
        </w:rPr>
        <w:t>Les échanges pourront porter notamment sur du partage d’outils, de méthodologies et d’expériences dans le domaine de l’éducation à l’environnement</w:t>
      </w:r>
      <w:r w:rsidRPr="000C55B1">
        <w:rPr>
          <w:rFonts w:ascii="Calibri" w:eastAsia="Calibri" w:hAnsi="Calibri" w:cs="Times New Roman"/>
          <w:b/>
          <w:bCs/>
          <w:lang w:val="fr-FR"/>
        </w:rPr>
        <w:t xml:space="preserve"> (</w:t>
      </w:r>
      <w:r w:rsidRPr="000C55B1">
        <w:rPr>
          <w:rFonts w:ascii="Calibri" w:eastAsia="Calibri" w:hAnsi="Calibri" w:cs="Times New Roman"/>
          <w:lang w:val="fr-FR"/>
        </w:rPr>
        <w:t>en lien avec l’activité 3.2 sur la sensibilisation). Ce programme permettra notamment d’appuyer le déploiement du programme Sand</w:t>
      </w:r>
      <w:r w:rsidR="00C26B7E">
        <w:rPr>
          <w:rFonts w:ascii="Calibri" w:eastAsia="Calibri" w:hAnsi="Calibri" w:cs="Times New Roman"/>
          <w:lang w:val="fr-FR"/>
        </w:rPr>
        <w:t>w</w:t>
      </w:r>
      <w:r w:rsidRPr="000C55B1">
        <w:rPr>
          <w:rFonts w:ascii="Calibri" w:eastAsia="Calibri" w:hAnsi="Calibri" w:cs="Times New Roman"/>
          <w:lang w:val="fr-FR"/>
        </w:rPr>
        <w:t xml:space="preserve">atch dans les Etats membres de la COI, mais aussi de favoriser d’autres initiatives éducatives régionales (Programme Eco </w:t>
      </w:r>
      <w:proofErr w:type="spellStart"/>
      <w:r w:rsidRPr="000C55B1">
        <w:rPr>
          <w:rFonts w:ascii="Calibri" w:eastAsia="Calibri" w:hAnsi="Calibri" w:cs="Times New Roman"/>
          <w:lang w:val="fr-FR"/>
        </w:rPr>
        <w:t>School</w:t>
      </w:r>
      <w:proofErr w:type="spellEnd"/>
      <w:r w:rsidRPr="000C55B1">
        <w:rPr>
          <w:rFonts w:ascii="Calibri" w:eastAsia="Calibri" w:hAnsi="Calibri" w:cs="Times New Roman"/>
          <w:lang w:val="fr-FR"/>
        </w:rPr>
        <w:t>, projet PAREO2, échanges sur les Aires marines Educatives…).</w:t>
      </w:r>
    </w:p>
    <w:p w14:paraId="33DD6503" w14:textId="77777777" w:rsidR="000C55B1" w:rsidRPr="000C55B1" w:rsidRDefault="000C55B1" w:rsidP="000C55B1">
      <w:pPr>
        <w:widowControl w:val="0"/>
        <w:spacing w:before="120" w:after="120" w:line="247" w:lineRule="auto"/>
        <w:ind w:left="720"/>
        <w:contextualSpacing/>
        <w:jc w:val="both"/>
        <w:rPr>
          <w:rFonts w:ascii="Calibri" w:eastAsia="Calibri" w:hAnsi="Calibri" w:cs="Times New Roman"/>
          <w:lang w:val="fr-FR"/>
        </w:rPr>
      </w:pPr>
    </w:p>
    <w:p w14:paraId="4F78ED72" w14:textId="77777777" w:rsidR="000C55B1" w:rsidRPr="000C55B1" w:rsidRDefault="000C55B1" w:rsidP="000C55B1">
      <w:pPr>
        <w:widowControl w:val="0"/>
        <w:spacing w:before="120" w:after="120" w:line="247" w:lineRule="auto"/>
        <w:ind w:left="720"/>
        <w:contextualSpacing/>
        <w:jc w:val="both"/>
        <w:rPr>
          <w:rFonts w:ascii="Calibri" w:eastAsia="Calibri" w:hAnsi="Calibri" w:cs="Times New Roman"/>
          <w:lang w:val="fr-FR"/>
        </w:rPr>
      </w:pPr>
    </w:p>
    <w:p w14:paraId="6D3A0195" w14:textId="77777777" w:rsidR="000C55B1" w:rsidRPr="000C55B1" w:rsidRDefault="000C55B1" w:rsidP="000C55B1">
      <w:pPr>
        <w:widowControl w:val="0"/>
        <w:numPr>
          <w:ilvl w:val="0"/>
          <w:numId w:val="14"/>
        </w:numPr>
        <w:spacing w:before="120" w:after="120" w:line="247" w:lineRule="auto"/>
        <w:contextualSpacing/>
        <w:jc w:val="both"/>
        <w:rPr>
          <w:rFonts w:ascii="Calibri" w:eastAsia="Calibri" w:hAnsi="Calibri" w:cs="Times New Roman"/>
          <w:lang w:val="fr-FR"/>
        </w:rPr>
      </w:pPr>
      <w:r w:rsidRPr="000C55B1">
        <w:rPr>
          <w:rFonts w:ascii="Calibri" w:eastAsia="Calibri" w:hAnsi="Calibri" w:cs="Times New Roman"/>
          <w:lang w:val="fr-FR"/>
        </w:rPr>
        <w:t xml:space="preserve">Les échanges </w:t>
      </w:r>
      <w:r w:rsidRPr="000C55B1">
        <w:rPr>
          <w:rFonts w:ascii="Calibri" w:eastAsia="Calibri" w:hAnsi="Calibri" w:cs="Times New Roman"/>
          <w:b/>
          <w:bCs/>
          <w:lang w:val="fr-FR"/>
        </w:rPr>
        <w:t>contribuant à renforcer les projets pilotes :</w:t>
      </w:r>
      <w:r w:rsidRPr="000C55B1">
        <w:rPr>
          <w:rFonts w:ascii="Calibri" w:eastAsia="Calibri" w:hAnsi="Calibri" w:cs="Times New Roman"/>
          <w:lang w:val="fr-FR"/>
        </w:rPr>
        <w:t xml:space="preserve"> de la recherche d’expertise pourra être identifiée en début ou en cours de projet pour préparer au mieux la mise en œuvre de certaines activités et renforcer les capacités de l’équipe projet. Les porteurs des projets pilotes et des projets qui seront subventionnés dans la cadre de l’appel à projets de RECOS (activités 2.2 et 2.3) seront encouragés à bénéficier de ce programme, qui pourra leur permettre de répliquer des expériences réussies sur leur site pilote. (Exemples de besoins pré-identifiés : développement de filières, gestion durable de la pêche au poulpe, méthodologies de suivi et de cartographies des écosystèmes marins…)</w:t>
      </w:r>
    </w:p>
    <w:p w14:paraId="655BA2CB" w14:textId="77777777" w:rsidR="000C55B1" w:rsidRPr="000C55B1" w:rsidRDefault="000C55B1" w:rsidP="000C55B1">
      <w:pPr>
        <w:widowControl w:val="0"/>
        <w:spacing w:before="120" w:after="120" w:line="247" w:lineRule="auto"/>
        <w:ind w:left="720"/>
        <w:contextualSpacing/>
        <w:jc w:val="both"/>
        <w:rPr>
          <w:rFonts w:ascii="Calibri" w:eastAsia="Calibri" w:hAnsi="Calibri" w:cs="Times New Roman"/>
          <w:lang w:val="fr-FR"/>
        </w:rPr>
      </w:pPr>
    </w:p>
    <w:p w14:paraId="078134B8" w14:textId="77777777" w:rsidR="000C55B1" w:rsidRPr="000C55B1" w:rsidRDefault="000C55B1" w:rsidP="000C55B1">
      <w:pPr>
        <w:widowControl w:val="0"/>
        <w:numPr>
          <w:ilvl w:val="0"/>
          <w:numId w:val="14"/>
        </w:numPr>
        <w:spacing w:before="120" w:after="120" w:line="247" w:lineRule="auto"/>
        <w:contextualSpacing/>
        <w:jc w:val="both"/>
        <w:rPr>
          <w:rFonts w:ascii="Calibri" w:eastAsia="Calibri" w:hAnsi="Calibri" w:cs="Times New Roman"/>
          <w:lang w:val="fr-FR"/>
        </w:rPr>
      </w:pPr>
      <w:r w:rsidRPr="000C55B1">
        <w:rPr>
          <w:rFonts w:ascii="Calibri" w:eastAsia="Calibri" w:hAnsi="Calibri" w:cs="Times New Roman"/>
          <w:lang w:val="fr-FR"/>
        </w:rPr>
        <w:t xml:space="preserve">Echanges portant sur les </w:t>
      </w:r>
      <w:r w:rsidRPr="000C55B1">
        <w:rPr>
          <w:rFonts w:ascii="Calibri" w:eastAsia="Calibri" w:hAnsi="Calibri" w:cs="Times New Roman"/>
          <w:b/>
          <w:bCs/>
          <w:lang w:val="fr-FR"/>
        </w:rPr>
        <w:t>bonnes pratiques de mise en œuvre de l’approche GIZC</w:t>
      </w:r>
      <w:r w:rsidRPr="000C55B1">
        <w:rPr>
          <w:rFonts w:ascii="Calibri" w:eastAsia="Calibri" w:hAnsi="Calibri" w:cs="Times New Roman"/>
          <w:lang w:val="fr-FR"/>
        </w:rPr>
        <w:t xml:space="preserve">. En renfort des activités 1.1 et 1.2, ces échanges pourront cibler plus particulièrement les décideurs, bénéficier à des structures GIZC locales (ou équivalentes) en développement, appuyer la mise en œuvre de plans d’actions GIZC. </w:t>
      </w:r>
    </w:p>
    <w:p w14:paraId="088BB6C3" w14:textId="77777777" w:rsidR="00387DF1" w:rsidRDefault="00387DF1" w:rsidP="003A4CB7">
      <w:pPr>
        <w:rPr>
          <w:color w:val="E36C0A" w:themeColor="accent6" w:themeShade="BF"/>
          <w:lang w:val="fr-FR"/>
        </w:rPr>
      </w:pPr>
    </w:p>
    <w:p w14:paraId="72EF104F" w14:textId="575DA9AC" w:rsidR="003A4CB7" w:rsidRDefault="003A4CB7" w:rsidP="00C26B7E">
      <w:pPr>
        <w:jc w:val="both"/>
        <w:rPr>
          <w:b/>
          <w:color w:val="E36C0A" w:themeColor="accent6" w:themeShade="BF"/>
          <w:lang w:val="fr-FR"/>
        </w:rPr>
      </w:pPr>
      <w:r w:rsidRPr="00387DF1">
        <w:rPr>
          <w:b/>
          <w:color w:val="E36C0A" w:themeColor="accent6" w:themeShade="BF"/>
          <w:lang w:val="fr-FR"/>
        </w:rPr>
        <w:t>Comment faire la demande ?</w:t>
      </w:r>
    </w:p>
    <w:p w14:paraId="3F430613" w14:textId="78468252" w:rsidR="002006B2" w:rsidRPr="00093CAC" w:rsidRDefault="002006B2" w:rsidP="00C26B7E">
      <w:pPr>
        <w:jc w:val="both"/>
        <w:rPr>
          <w:lang w:val="fr-FR"/>
        </w:rPr>
      </w:pPr>
      <w:bookmarkStart w:id="6" w:name="_Hlk117177793"/>
      <w:r>
        <w:rPr>
          <w:lang w:val="fr-FR"/>
        </w:rPr>
        <w:t>Préalablement à toute demande, il revient au demandeur de se mettre en contact avec le porteur d’expertise et de négocier l’échange d’expérience sur une base partenariale.</w:t>
      </w:r>
    </w:p>
    <w:p w14:paraId="5855C199" w14:textId="03F49B5E" w:rsidR="00764081" w:rsidRDefault="003A4CB7" w:rsidP="00764081">
      <w:pPr>
        <w:pStyle w:val="Paragraphedeliste"/>
        <w:numPr>
          <w:ilvl w:val="0"/>
          <w:numId w:val="16"/>
        </w:numPr>
      </w:pPr>
      <w:r w:rsidRPr="00387DF1">
        <w:rPr>
          <w:lang w:val="fr-FR"/>
        </w:rPr>
        <w:t xml:space="preserve">Après accord entre le demandeur et le porteur </w:t>
      </w:r>
      <w:r w:rsidR="0099161F">
        <w:rPr>
          <w:lang w:val="fr-FR"/>
        </w:rPr>
        <w:t>d’expertise</w:t>
      </w:r>
      <w:r w:rsidRPr="00387DF1">
        <w:rPr>
          <w:lang w:val="fr-FR"/>
        </w:rPr>
        <w:t xml:space="preserve">, le demandeur envoie une demande par mail à la COI </w:t>
      </w:r>
      <w:r w:rsidR="00764081">
        <w:rPr>
          <w:lang w:val="fr-FR"/>
        </w:rPr>
        <w:t>(</w:t>
      </w:r>
      <w:r w:rsidR="00764081">
        <w:t xml:space="preserve">sur </w:t>
      </w:r>
      <w:proofErr w:type="spellStart"/>
      <w:r w:rsidR="00764081">
        <w:t>une</w:t>
      </w:r>
      <w:proofErr w:type="spellEnd"/>
      <w:r w:rsidR="00764081">
        <w:t xml:space="preserve"> </w:t>
      </w:r>
      <w:proofErr w:type="spellStart"/>
      <w:r w:rsidR="00764081">
        <w:t>adresse</w:t>
      </w:r>
      <w:proofErr w:type="spellEnd"/>
      <w:r w:rsidR="00764081">
        <w:t xml:space="preserve"> à </w:t>
      </w:r>
      <w:r w:rsidR="00764081">
        <w:t>determiner)</w:t>
      </w:r>
      <w:r w:rsidR="00764081" w:rsidRPr="00387DF1">
        <w:rPr>
          <w:lang w:val="fr-FR"/>
        </w:rPr>
        <w:t xml:space="preserve"> </w:t>
      </w:r>
      <w:r w:rsidRPr="00387DF1">
        <w:rPr>
          <w:lang w:val="fr-FR"/>
        </w:rPr>
        <w:t xml:space="preserve">accompagnée du formulaire de demande </w:t>
      </w:r>
      <w:r w:rsidR="00387DF1" w:rsidRPr="00387DF1">
        <w:rPr>
          <w:lang w:val="fr-FR"/>
        </w:rPr>
        <w:t>(Annexe 1) dûment complété</w:t>
      </w:r>
      <w:r w:rsidR="00764081">
        <w:rPr>
          <w:lang w:val="fr-FR"/>
        </w:rPr>
        <w:t>.</w:t>
      </w:r>
    </w:p>
    <w:p w14:paraId="32ED94B6" w14:textId="6CF10191" w:rsidR="003F25E2" w:rsidRDefault="003F25E2" w:rsidP="00764081">
      <w:pPr>
        <w:pStyle w:val="Paragraphedeliste"/>
        <w:jc w:val="both"/>
        <w:rPr>
          <w:lang w:val="fr-FR"/>
        </w:rPr>
      </w:pPr>
    </w:p>
    <w:p w14:paraId="3514C140" w14:textId="77777777" w:rsidR="00093CAC" w:rsidRPr="00093CAC" w:rsidRDefault="00093CAC" w:rsidP="00C26B7E">
      <w:pPr>
        <w:pStyle w:val="Paragraphedeliste"/>
        <w:jc w:val="both"/>
        <w:rPr>
          <w:lang w:val="fr-FR"/>
        </w:rPr>
      </w:pPr>
    </w:p>
    <w:p w14:paraId="5F6EE980" w14:textId="0CE8964B" w:rsidR="00387DF1" w:rsidRDefault="00387DF1" w:rsidP="00C26B7E">
      <w:pPr>
        <w:pStyle w:val="Paragraphedeliste"/>
        <w:numPr>
          <w:ilvl w:val="0"/>
          <w:numId w:val="5"/>
        </w:numPr>
        <w:jc w:val="both"/>
        <w:rPr>
          <w:lang w:val="fr-FR"/>
        </w:rPr>
      </w:pPr>
      <w:r>
        <w:rPr>
          <w:lang w:val="fr-FR"/>
        </w:rPr>
        <w:lastRenderedPageBreak/>
        <w:t xml:space="preserve">Validation de la demande : la demande est examinée par </w:t>
      </w:r>
      <w:r w:rsidR="00093CAC">
        <w:rPr>
          <w:lang w:val="fr-FR"/>
        </w:rPr>
        <w:t xml:space="preserve">l’UGP du projet RECOS </w:t>
      </w:r>
      <w:r w:rsidR="0099161F">
        <w:rPr>
          <w:lang w:val="fr-FR"/>
        </w:rPr>
        <w:t xml:space="preserve">puis transmise aux points focaux nationaux des pays concernés par la demande avant validation par la COI. </w:t>
      </w:r>
    </w:p>
    <w:p w14:paraId="3D00B61B" w14:textId="77777777" w:rsidR="003F25E2" w:rsidRDefault="003F25E2" w:rsidP="00C26B7E">
      <w:pPr>
        <w:pStyle w:val="Paragraphedeliste"/>
        <w:jc w:val="both"/>
        <w:rPr>
          <w:lang w:val="fr-FR"/>
        </w:rPr>
      </w:pPr>
    </w:p>
    <w:p w14:paraId="5F570525" w14:textId="693FBC85" w:rsidR="00387DF1" w:rsidRPr="000C55B1" w:rsidRDefault="00387DF1" w:rsidP="00C26B7E">
      <w:pPr>
        <w:pStyle w:val="Paragraphedeliste"/>
        <w:numPr>
          <w:ilvl w:val="0"/>
          <w:numId w:val="5"/>
        </w:numPr>
        <w:jc w:val="both"/>
        <w:rPr>
          <w:rStyle w:val="Lienhypertexte"/>
          <w:color w:val="auto"/>
          <w:u w:val="none"/>
          <w:lang w:val="fr-FR"/>
        </w:rPr>
      </w:pPr>
      <w:r>
        <w:rPr>
          <w:lang w:val="fr-FR"/>
        </w:rPr>
        <w:t>Après validation : l’accord de principe est transmis au demandeur qui doit re</w:t>
      </w:r>
      <w:r w:rsidR="00093CAC">
        <w:rPr>
          <w:lang w:val="fr-FR"/>
        </w:rPr>
        <w:t>tourner un exemplaire signé à la même adresse </w:t>
      </w:r>
      <w:proofErr w:type="gramStart"/>
      <w:r w:rsidR="00764081">
        <w:rPr>
          <w:lang w:val="fr-FR"/>
        </w:rPr>
        <w:t>mail</w:t>
      </w:r>
      <w:proofErr w:type="gramEnd"/>
      <w:r w:rsidR="00764081">
        <w:rPr>
          <w:lang w:val="fr-FR"/>
        </w:rPr>
        <w:t>.</w:t>
      </w:r>
    </w:p>
    <w:p w14:paraId="063579B1" w14:textId="77777777" w:rsidR="000C55B1" w:rsidRPr="000C55B1" w:rsidRDefault="000C55B1" w:rsidP="00C26B7E">
      <w:pPr>
        <w:pStyle w:val="Paragraphedeliste"/>
        <w:jc w:val="both"/>
        <w:rPr>
          <w:lang w:val="fr-FR"/>
        </w:rPr>
      </w:pPr>
    </w:p>
    <w:p w14:paraId="3545F637" w14:textId="75DD3BD0" w:rsidR="003F25E2" w:rsidRDefault="003F25E2" w:rsidP="00C26B7E">
      <w:pPr>
        <w:pStyle w:val="Paragraphedeliste"/>
        <w:numPr>
          <w:ilvl w:val="0"/>
          <w:numId w:val="5"/>
        </w:numPr>
        <w:spacing w:after="0"/>
        <w:jc w:val="both"/>
        <w:rPr>
          <w:lang w:val="fr-FR"/>
        </w:rPr>
      </w:pPr>
      <w:r>
        <w:rPr>
          <w:lang w:val="fr-FR"/>
        </w:rPr>
        <w:t>Après réception de l’accord signé</w:t>
      </w:r>
      <w:r w:rsidR="0099161F">
        <w:rPr>
          <w:lang w:val="fr-FR"/>
        </w:rPr>
        <w:t xml:space="preserve"> par la COI</w:t>
      </w:r>
      <w:r>
        <w:rPr>
          <w:lang w:val="fr-FR"/>
        </w:rPr>
        <w:t xml:space="preserve">, le demandeur </w:t>
      </w:r>
      <w:r w:rsidR="00093CAC">
        <w:rPr>
          <w:lang w:val="fr-FR"/>
        </w:rPr>
        <w:t xml:space="preserve">peut engager l’organisation de son voyage : il </w:t>
      </w:r>
      <w:r>
        <w:rPr>
          <w:lang w:val="fr-FR"/>
        </w:rPr>
        <w:t xml:space="preserve">peut solliciter le projet </w:t>
      </w:r>
      <w:r w:rsidR="00093CAC">
        <w:rPr>
          <w:lang w:val="fr-FR"/>
        </w:rPr>
        <w:t>RECOS pour une avance des frais à hauteur maximale de 60% du budget total. Il transmettra alors ses coordonnées bancaires pour virement</w:t>
      </w:r>
      <w:r w:rsidR="0099161F">
        <w:rPr>
          <w:lang w:val="fr-FR"/>
        </w:rPr>
        <w:t xml:space="preserve"> bancaire</w:t>
      </w:r>
      <w:r w:rsidR="00093CAC">
        <w:rPr>
          <w:lang w:val="fr-FR"/>
        </w:rPr>
        <w:t xml:space="preserve"> (RIB).</w:t>
      </w:r>
    </w:p>
    <w:p w14:paraId="5803664F" w14:textId="77777777" w:rsidR="003F25E2" w:rsidRDefault="003F25E2" w:rsidP="00C26B7E">
      <w:pPr>
        <w:pStyle w:val="Paragraphedeliste"/>
        <w:spacing w:after="0"/>
        <w:jc w:val="both"/>
        <w:rPr>
          <w:lang w:val="fr-FR"/>
        </w:rPr>
      </w:pPr>
    </w:p>
    <w:p w14:paraId="1578D13C" w14:textId="2CE5DF4F" w:rsidR="003F25E2" w:rsidRDefault="003F25E2" w:rsidP="00C26B7E">
      <w:pPr>
        <w:pStyle w:val="Paragraphedeliste"/>
        <w:numPr>
          <w:ilvl w:val="0"/>
          <w:numId w:val="5"/>
        </w:numPr>
        <w:spacing w:after="0"/>
        <w:jc w:val="both"/>
        <w:rPr>
          <w:lang w:val="fr-FR"/>
        </w:rPr>
      </w:pPr>
      <w:r>
        <w:rPr>
          <w:lang w:val="fr-FR"/>
        </w:rPr>
        <w:t>Après l’opération</w:t>
      </w:r>
      <w:r w:rsidR="0099161F">
        <w:rPr>
          <w:lang w:val="fr-FR"/>
        </w:rPr>
        <w:t> :</w:t>
      </w:r>
      <w:r>
        <w:rPr>
          <w:lang w:val="fr-FR"/>
        </w:rPr>
        <w:t xml:space="preserve"> le demandeur s’engage à retourner dans les 15 jours suivants</w:t>
      </w:r>
      <w:r w:rsidR="0099161F">
        <w:rPr>
          <w:lang w:val="fr-FR"/>
        </w:rPr>
        <w:t xml:space="preserve"> son retour</w:t>
      </w:r>
      <w:r>
        <w:rPr>
          <w:lang w:val="fr-FR"/>
        </w:rPr>
        <w:t xml:space="preserve">, </w:t>
      </w:r>
      <w:r w:rsidR="00093CAC">
        <w:rPr>
          <w:lang w:val="fr-FR"/>
        </w:rPr>
        <w:t>en main propre ou par courrier postal à l’adresse </w:t>
      </w:r>
      <w:r w:rsidR="00AF7759">
        <w:rPr>
          <w:lang w:val="fr-FR"/>
        </w:rPr>
        <w:t>suivante :</w:t>
      </w:r>
    </w:p>
    <w:p w14:paraId="12E159A0" w14:textId="77777777" w:rsidR="00093CAC" w:rsidRPr="00093CAC" w:rsidRDefault="00093CAC" w:rsidP="00C26B7E">
      <w:pPr>
        <w:pStyle w:val="Paragraphedeliste"/>
        <w:jc w:val="both"/>
        <w:rPr>
          <w:lang w:val="fr-FR"/>
        </w:rPr>
      </w:pPr>
    </w:p>
    <w:p w14:paraId="18B92C33" w14:textId="0CDC0A72" w:rsidR="00093CAC" w:rsidRDefault="00093CAC" w:rsidP="00C26B7E">
      <w:pPr>
        <w:pStyle w:val="Paragraphedeliste"/>
        <w:spacing w:after="0"/>
        <w:jc w:val="both"/>
        <w:rPr>
          <w:lang w:val="fr-FR"/>
        </w:rPr>
      </w:pPr>
      <w:r>
        <w:rPr>
          <w:lang w:val="fr-FR"/>
        </w:rPr>
        <w:t>Projet RECOS</w:t>
      </w:r>
    </w:p>
    <w:p w14:paraId="760DAB0F" w14:textId="77777777" w:rsidR="00AF7759" w:rsidRDefault="00AF7759" w:rsidP="00C26B7E">
      <w:pPr>
        <w:pStyle w:val="Paragraphedeliste"/>
        <w:spacing w:after="0"/>
        <w:jc w:val="both"/>
        <w:rPr>
          <w:lang w:val="fr-FR"/>
        </w:rPr>
      </w:pPr>
      <w:r>
        <w:rPr>
          <w:lang w:val="fr-FR"/>
        </w:rPr>
        <w:t xml:space="preserve">Commission de l’Océan Indien </w:t>
      </w:r>
    </w:p>
    <w:p w14:paraId="70897A19" w14:textId="05685B5C" w:rsidR="00093CAC" w:rsidRDefault="00093CAC" w:rsidP="00C26B7E">
      <w:pPr>
        <w:pStyle w:val="Paragraphedeliste"/>
        <w:spacing w:after="0"/>
        <w:jc w:val="both"/>
        <w:rPr>
          <w:lang w:val="fr-FR"/>
        </w:rPr>
      </w:pPr>
      <w:r>
        <w:rPr>
          <w:lang w:val="fr-FR"/>
        </w:rPr>
        <w:t xml:space="preserve">4 </w:t>
      </w:r>
      <w:proofErr w:type="spellStart"/>
      <w:r>
        <w:rPr>
          <w:lang w:val="fr-FR"/>
        </w:rPr>
        <w:t>ème</w:t>
      </w:r>
      <w:proofErr w:type="spellEnd"/>
      <w:r>
        <w:rPr>
          <w:lang w:val="fr-FR"/>
        </w:rPr>
        <w:t xml:space="preserve"> étage, Blue Tower</w:t>
      </w:r>
      <w:r w:rsidR="00AF7759">
        <w:rPr>
          <w:lang w:val="fr-FR"/>
        </w:rPr>
        <w:t xml:space="preserve"> </w:t>
      </w:r>
    </w:p>
    <w:p w14:paraId="0F85841C" w14:textId="31254819" w:rsidR="00AF7759" w:rsidRDefault="00AF7759" w:rsidP="00C26B7E">
      <w:pPr>
        <w:pStyle w:val="Paragraphedeliste"/>
        <w:spacing w:after="0"/>
        <w:jc w:val="both"/>
        <w:rPr>
          <w:lang w:val="fr-FR"/>
        </w:rPr>
      </w:pPr>
      <w:r>
        <w:rPr>
          <w:lang w:val="fr-FR"/>
        </w:rPr>
        <w:t>Ebène, Ile Maurice</w:t>
      </w:r>
    </w:p>
    <w:p w14:paraId="7E4BA7D1" w14:textId="77777777" w:rsidR="00AF7759" w:rsidRDefault="00AF7759" w:rsidP="00C26B7E">
      <w:pPr>
        <w:pStyle w:val="Paragraphedeliste"/>
        <w:spacing w:after="0"/>
        <w:jc w:val="both"/>
        <w:rPr>
          <w:lang w:val="fr-FR"/>
        </w:rPr>
      </w:pPr>
    </w:p>
    <w:p w14:paraId="56FFB593" w14:textId="64AFF800" w:rsidR="003F25E2" w:rsidRDefault="003F25E2" w:rsidP="00C26B7E">
      <w:pPr>
        <w:pStyle w:val="Paragraphedeliste"/>
        <w:numPr>
          <w:ilvl w:val="0"/>
          <w:numId w:val="10"/>
        </w:numPr>
        <w:spacing w:after="0"/>
        <w:jc w:val="both"/>
        <w:rPr>
          <w:lang w:val="fr-FR"/>
        </w:rPr>
      </w:pPr>
      <w:r>
        <w:rPr>
          <w:lang w:val="fr-FR"/>
        </w:rPr>
        <w:t xml:space="preserve">Le compte-rendu de l’opération (format de rapport en annexe </w:t>
      </w:r>
      <w:r w:rsidR="00093CAC">
        <w:rPr>
          <w:lang w:val="fr-FR"/>
        </w:rPr>
        <w:t>3</w:t>
      </w:r>
      <w:r>
        <w:rPr>
          <w:lang w:val="fr-FR"/>
        </w:rPr>
        <w:t xml:space="preserve">) incluant </w:t>
      </w:r>
      <w:r w:rsidR="00093CAC">
        <w:rPr>
          <w:lang w:val="fr-FR"/>
        </w:rPr>
        <w:t xml:space="preserve">des éléments visuels et </w:t>
      </w:r>
      <w:r>
        <w:rPr>
          <w:lang w:val="fr-FR"/>
        </w:rPr>
        <w:t>le décompte des coûts de l’opération.</w:t>
      </w:r>
    </w:p>
    <w:p w14:paraId="22792496" w14:textId="77777777" w:rsidR="00AF7759" w:rsidRDefault="00AF7759" w:rsidP="00C26B7E">
      <w:pPr>
        <w:pStyle w:val="Paragraphedeliste"/>
        <w:spacing w:after="0"/>
        <w:ind w:left="1080"/>
        <w:jc w:val="both"/>
        <w:rPr>
          <w:lang w:val="fr-FR"/>
        </w:rPr>
      </w:pPr>
    </w:p>
    <w:p w14:paraId="2AE5ACE2" w14:textId="3BD80537" w:rsidR="003F25E2" w:rsidRDefault="003F25E2" w:rsidP="00C26B7E">
      <w:pPr>
        <w:pStyle w:val="Paragraphedeliste"/>
        <w:numPr>
          <w:ilvl w:val="0"/>
          <w:numId w:val="10"/>
        </w:numPr>
        <w:spacing w:after="0"/>
        <w:jc w:val="both"/>
        <w:rPr>
          <w:lang w:val="fr-FR"/>
        </w:rPr>
      </w:pPr>
      <w:r>
        <w:rPr>
          <w:lang w:val="fr-FR"/>
        </w:rPr>
        <w:t xml:space="preserve">Les pièces justificatives originales : talons de cartes d’embarquements, justificatifs de transport, </w:t>
      </w:r>
      <w:r w:rsidR="00093CAC">
        <w:rPr>
          <w:lang w:val="fr-FR"/>
        </w:rPr>
        <w:t>attestations signées</w:t>
      </w:r>
      <w:r>
        <w:rPr>
          <w:lang w:val="fr-FR"/>
        </w:rPr>
        <w:t xml:space="preserve"> par les bénéficiaires d’indemnités journalières </w:t>
      </w:r>
      <w:r w:rsidR="001A23F5">
        <w:rPr>
          <w:lang w:val="fr-FR"/>
        </w:rPr>
        <w:t xml:space="preserve">(attestations en annexe </w:t>
      </w:r>
      <w:r w:rsidR="00093CAC">
        <w:rPr>
          <w:lang w:val="fr-FR"/>
        </w:rPr>
        <w:t>4</w:t>
      </w:r>
      <w:r w:rsidR="001A23F5">
        <w:rPr>
          <w:lang w:val="fr-FR"/>
        </w:rPr>
        <w:t xml:space="preserve">) </w:t>
      </w:r>
      <w:r>
        <w:rPr>
          <w:lang w:val="fr-FR"/>
        </w:rPr>
        <w:t>et toute autre justification de dépense.</w:t>
      </w:r>
    </w:p>
    <w:bookmarkEnd w:id="6"/>
    <w:p w14:paraId="482623D5" w14:textId="785A99B2" w:rsidR="003F25E2" w:rsidRDefault="003F25E2" w:rsidP="00C26B7E">
      <w:pPr>
        <w:pStyle w:val="Paragraphedeliste"/>
        <w:spacing w:after="0"/>
        <w:ind w:left="1080"/>
        <w:jc w:val="both"/>
        <w:rPr>
          <w:lang w:val="fr-FR"/>
        </w:rPr>
      </w:pPr>
    </w:p>
    <w:p w14:paraId="46C73295" w14:textId="2BC185F8" w:rsidR="00093CAC" w:rsidRPr="003F25E2" w:rsidRDefault="00093CAC" w:rsidP="00C26B7E">
      <w:pPr>
        <w:pStyle w:val="Paragraphedeliste"/>
        <w:numPr>
          <w:ilvl w:val="0"/>
          <w:numId w:val="5"/>
        </w:numPr>
        <w:spacing w:after="0"/>
        <w:jc w:val="both"/>
        <w:rPr>
          <w:lang w:val="fr-FR"/>
        </w:rPr>
      </w:pPr>
      <w:r>
        <w:rPr>
          <w:lang w:val="fr-FR"/>
        </w:rPr>
        <w:t>Après validation du compte-rendu et des pièces justificatives des paiement, la COI engagera le paiement de la tranche restante, ajustée au montant réel. Si les dépenses réelles sont inférieures à l’avance initiale, le demandeur s’engage à restituer la somme non dépensée.</w:t>
      </w:r>
    </w:p>
    <w:sectPr w:rsidR="00093CAC" w:rsidRPr="003F25E2" w:rsidSect="00D570FC">
      <w:footerReference w:type="defaul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7C9F4" w14:textId="77777777" w:rsidR="00C37A6D" w:rsidRDefault="00C37A6D" w:rsidP="00C75D1E">
      <w:pPr>
        <w:spacing w:after="0" w:line="240" w:lineRule="auto"/>
      </w:pPr>
      <w:r>
        <w:separator/>
      </w:r>
    </w:p>
  </w:endnote>
  <w:endnote w:type="continuationSeparator" w:id="0">
    <w:p w14:paraId="2DEC7443" w14:textId="77777777" w:rsidR="00C37A6D" w:rsidRDefault="00C37A6D" w:rsidP="00C75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AC052" w14:textId="77777777" w:rsidR="00C26B7E" w:rsidRDefault="00C26B7E">
    <w:pPr>
      <w:pStyle w:val="Pieddepage"/>
      <w:tabs>
        <w:tab w:val="clear" w:pos="4680"/>
        <w:tab w:val="clear" w:pos="9360"/>
      </w:tabs>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fr-FR"/>
      </w:rPr>
      <w:t>2</w:t>
    </w:r>
    <w:r>
      <w:rPr>
        <w:caps/>
        <w:color w:val="4F81BD" w:themeColor="accent1"/>
      </w:rPr>
      <w:fldChar w:fldCharType="end"/>
    </w:r>
  </w:p>
  <w:p w14:paraId="43D5F0A1" w14:textId="0D5C4CCB" w:rsidR="00B95B5A" w:rsidRDefault="00B95B5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D5EBB" w14:textId="77777777" w:rsidR="00C37A6D" w:rsidRDefault="00C37A6D" w:rsidP="00C75D1E">
      <w:pPr>
        <w:spacing w:after="0" w:line="240" w:lineRule="auto"/>
      </w:pPr>
      <w:r>
        <w:separator/>
      </w:r>
    </w:p>
  </w:footnote>
  <w:footnote w:type="continuationSeparator" w:id="0">
    <w:p w14:paraId="48CC16CF" w14:textId="77777777" w:rsidR="00C37A6D" w:rsidRDefault="00C37A6D" w:rsidP="00C75D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3D4"/>
    <w:multiLevelType w:val="hybridMultilevel"/>
    <w:tmpl w:val="D408DF3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1E11B3"/>
    <w:multiLevelType w:val="hybridMultilevel"/>
    <w:tmpl w:val="5978CBFA"/>
    <w:lvl w:ilvl="0" w:tplc="5D3E7B8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D8979A8"/>
    <w:multiLevelType w:val="hybridMultilevel"/>
    <w:tmpl w:val="D7988208"/>
    <w:lvl w:ilvl="0" w:tplc="69A8B736">
      <w:start w:val="1"/>
      <w:numFmt w:val="decimal"/>
      <w:lvlText w:val="%1-"/>
      <w:lvlJc w:val="left"/>
      <w:pPr>
        <w:ind w:left="720" w:hanging="360"/>
      </w:pPr>
      <w:rPr>
        <w:rFonts w:ascii="Arial" w:hAnsi="Arial" w:cs="Aria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29F109E"/>
    <w:multiLevelType w:val="hybridMultilevel"/>
    <w:tmpl w:val="E0861910"/>
    <w:lvl w:ilvl="0" w:tplc="E9AAAF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5993411"/>
    <w:multiLevelType w:val="hybridMultilevel"/>
    <w:tmpl w:val="1B0637DE"/>
    <w:lvl w:ilvl="0" w:tplc="404AA7B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6E7460C"/>
    <w:multiLevelType w:val="hybridMultilevel"/>
    <w:tmpl w:val="B61605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E7767D"/>
    <w:multiLevelType w:val="hybridMultilevel"/>
    <w:tmpl w:val="B2223DDA"/>
    <w:lvl w:ilvl="0" w:tplc="1038822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421527"/>
    <w:multiLevelType w:val="hybridMultilevel"/>
    <w:tmpl w:val="C19AE132"/>
    <w:lvl w:ilvl="0" w:tplc="F516DA5C">
      <w:start w:val="1"/>
      <w:numFmt w:val="bullet"/>
      <w:lvlText w:val=""/>
      <w:lvlJc w:val="left"/>
      <w:pPr>
        <w:ind w:left="720" w:hanging="360"/>
      </w:pPr>
      <w:rPr>
        <w:rFonts w:ascii="Symbol" w:hAnsi="Symbol" w:hint="default"/>
        <w:color w:val="4F81BD"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81E247C"/>
    <w:multiLevelType w:val="hybridMultilevel"/>
    <w:tmpl w:val="A3A09CEA"/>
    <w:lvl w:ilvl="0" w:tplc="2C12347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4D726D2"/>
    <w:multiLevelType w:val="hybridMultilevel"/>
    <w:tmpl w:val="D7D49272"/>
    <w:lvl w:ilvl="0" w:tplc="040C000F">
      <w:start w:val="1"/>
      <w:numFmt w:val="decimal"/>
      <w:lvlText w:val="%1."/>
      <w:lvlJc w:val="left"/>
      <w:pPr>
        <w:ind w:left="720" w:hanging="360"/>
      </w:pPr>
    </w:lvl>
    <w:lvl w:ilvl="1" w:tplc="A0042EA6">
      <w:start w:val="4"/>
      <w:numFmt w:val="bullet"/>
      <w:lvlText w:val="-"/>
      <w:lvlJc w:val="left"/>
      <w:pPr>
        <w:ind w:left="1440" w:hanging="360"/>
      </w:pPr>
      <w:rPr>
        <w:rFonts w:ascii="Calibri" w:eastAsia="Calibri" w:hAnsi="Calibri"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493C49C0"/>
    <w:multiLevelType w:val="hybridMultilevel"/>
    <w:tmpl w:val="43E07C86"/>
    <w:lvl w:ilvl="0" w:tplc="C49ADCD8">
      <w:start w:val="1"/>
      <w:numFmt w:val="decimal"/>
      <w:lvlText w:val="%1-"/>
      <w:lvlJc w:val="left"/>
      <w:pPr>
        <w:ind w:left="1440" w:hanging="360"/>
      </w:pPr>
      <w:rPr>
        <w:rFonts w:hint="default"/>
        <w:b w:val="0"/>
        <w:bCs w:val="0"/>
      </w:rPr>
    </w:lvl>
    <w:lvl w:ilvl="1" w:tplc="20000019">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1" w15:restartNumberingAfterBreak="0">
    <w:nsid w:val="58225366"/>
    <w:multiLevelType w:val="hybridMultilevel"/>
    <w:tmpl w:val="F6C0C1FA"/>
    <w:lvl w:ilvl="0" w:tplc="26B699A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15:restartNumberingAfterBreak="0">
    <w:nsid w:val="64782CBD"/>
    <w:multiLevelType w:val="hybridMultilevel"/>
    <w:tmpl w:val="E08619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6897279"/>
    <w:multiLevelType w:val="hybridMultilevel"/>
    <w:tmpl w:val="5E2A0B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A3843D8"/>
    <w:multiLevelType w:val="hybridMultilevel"/>
    <w:tmpl w:val="506467FC"/>
    <w:lvl w:ilvl="0" w:tplc="862CE8EA">
      <w:start w:val="1"/>
      <w:numFmt w:val="bullet"/>
      <w:lvlText w:val="-"/>
      <w:lvlJc w:val="left"/>
      <w:pPr>
        <w:ind w:left="890" w:hanging="360"/>
      </w:pPr>
      <w:rPr>
        <w:rFonts w:ascii="Calibri" w:eastAsiaTheme="minorHAnsi" w:hAnsi="Calibri" w:cstheme="minorBidi" w:hint="default"/>
      </w:rPr>
    </w:lvl>
    <w:lvl w:ilvl="1" w:tplc="20000003">
      <w:start w:val="1"/>
      <w:numFmt w:val="bullet"/>
      <w:lvlText w:val="o"/>
      <w:lvlJc w:val="left"/>
      <w:pPr>
        <w:ind w:left="1610" w:hanging="360"/>
      </w:pPr>
      <w:rPr>
        <w:rFonts w:ascii="Courier New" w:hAnsi="Courier New" w:cs="Courier New" w:hint="default"/>
      </w:rPr>
    </w:lvl>
    <w:lvl w:ilvl="2" w:tplc="20000005" w:tentative="1">
      <w:start w:val="1"/>
      <w:numFmt w:val="bullet"/>
      <w:lvlText w:val=""/>
      <w:lvlJc w:val="left"/>
      <w:pPr>
        <w:ind w:left="2330" w:hanging="360"/>
      </w:pPr>
      <w:rPr>
        <w:rFonts w:ascii="Wingdings" w:hAnsi="Wingdings" w:hint="default"/>
      </w:rPr>
    </w:lvl>
    <w:lvl w:ilvl="3" w:tplc="20000001" w:tentative="1">
      <w:start w:val="1"/>
      <w:numFmt w:val="bullet"/>
      <w:lvlText w:val=""/>
      <w:lvlJc w:val="left"/>
      <w:pPr>
        <w:ind w:left="3050" w:hanging="360"/>
      </w:pPr>
      <w:rPr>
        <w:rFonts w:ascii="Symbol" w:hAnsi="Symbol" w:hint="default"/>
      </w:rPr>
    </w:lvl>
    <w:lvl w:ilvl="4" w:tplc="20000003" w:tentative="1">
      <w:start w:val="1"/>
      <w:numFmt w:val="bullet"/>
      <w:lvlText w:val="o"/>
      <w:lvlJc w:val="left"/>
      <w:pPr>
        <w:ind w:left="3770" w:hanging="360"/>
      </w:pPr>
      <w:rPr>
        <w:rFonts w:ascii="Courier New" w:hAnsi="Courier New" w:cs="Courier New" w:hint="default"/>
      </w:rPr>
    </w:lvl>
    <w:lvl w:ilvl="5" w:tplc="20000005" w:tentative="1">
      <w:start w:val="1"/>
      <w:numFmt w:val="bullet"/>
      <w:lvlText w:val=""/>
      <w:lvlJc w:val="left"/>
      <w:pPr>
        <w:ind w:left="4490" w:hanging="360"/>
      </w:pPr>
      <w:rPr>
        <w:rFonts w:ascii="Wingdings" w:hAnsi="Wingdings" w:hint="default"/>
      </w:rPr>
    </w:lvl>
    <w:lvl w:ilvl="6" w:tplc="20000001" w:tentative="1">
      <w:start w:val="1"/>
      <w:numFmt w:val="bullet"/>
      <w:lvlText w:val=""/>
      <w:lvlJc w:val="left"/>
      <w:pPr>
        <w:ind w:left="5210" w:hanging="360"/>
      </w:pPr>
      <w:rPr>
        <w:rFonts w:ascii="Symbol" w:hAnsi="Symbol" w:hint="default"/>
      </w:rPr>
    </w:lvl>
    <w:lvl w:ilvl="7" w:tplc="20000003" w:tentative="1">
      <w:start w:val="1"/>
      <w:numFmt w:val="bullet"/>
      <w:lvlText w:val="o"/>
      <w:lvlJc w:val="left"/>
      <w:pPr>
        <w:ind w:left="5930" w:hanging="360"/>
      </w:pPr>
      <w:rPr>
        <w:rFonts w:ascii="Courier New" w:hAnsi="Courier New" w:cs="Courier New" w:hint="default"/>
      </w:rPr>
    </w:lvl>
    <w:lvl w:ilvl="8" w:tplc="20000005" w:tentative="1">
      <w:start w:val="1"/>
      <w:numFmt w:val="bullet"/>
      <w:lvlText w:val=""/>
      <w:lvlJc w:val="left"/>
      <w:pPr>
        <w:ind w:left="6650" w:hanging="360"/>
      </w:pPr>
      <w:rPr>
        <w:rFonts w:ascii="Wingdings" w:hAnsi="Wingdings" w:hint="default"/>
      </w:rPr>
    </w:lvl>
  </w:abstractNum>
  <w:abstractNum w:abstractNumId="15" w15:restartNumberingAfterBreak="0">
    <w:nsid w:val="6BDB10FE"/>
    <w:multiLevelType w:val="hybridMultilevel"/>
    <w:tmpl w:val="0494DB5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09845944">
    <w:abstractNumId w:val="6"/>
  </w:num>
  <w:num w:numId="2" w16cid:durableId="986473974">
    <w:abstractNumId w:val="4"/>
  </w:num>
  <w:num w:numId="3" w16cid:durableId="462164087">
    <w:abstractNumId w:val="5"/>
  </w:num>
  <w:num w:numId="4" w16cid:durableId="207841426">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6376961">
    <w:abstractNumId w:val="13"/>
  </w:num>
  <w:num w:numId="6" w16cid:durableId="1883596695">
    <w:abstractNumId w:val="1"/>
  </w:num>
  <w:num w:numId="7" w16cid:durableId="1664241870">
    <w:abstractNumId w:val="2"/>
  </w:num>
  <w:num w:numId="8" w16cid:durableId="936450901">
    <w:abstractNumId w:val="15"/>
  </w:num>
  <w:num w:numId="9" w16cid:durableId="845755258">
    <w:abstractNumId w:val="0"/>
  </w:num>
  <w:num w:numId="10" w16cid:durableId="55738320">
    <w:abstractNumId w:val="14"/>
  </w:num>
  <w:num w:numId="11" w16cid:durableId="430125071">
    <w:abstractNumId w:val="3"/>
  </w:num>
  <w:num w:numId="12" w16cid:durableId="2103451887">
    <w:abstractNumId w:val="12"/>
  </w:num>
  <w:num w:numId="13" w16cid:durableId="573977596">
    <w:abstractNumId w:val="8"/>
  </w:num>
  <w:num w:numId="14" w16cid:durableId="815148558">
    <w:abstractNumId w:val="7"/>
  </w:num>
  <w:num w:numId="15" w16cid:durableId="221214376">
    <w:abstractNumId w:val="10"/>
  </w:num>
  <w:num w:numId="16" w16cid:durableId="7287643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D1E"/>
    <w:rsid w:val="00093CAC"/>
    <w:rsid w:val="000C55B1"/>
    <w:rsid w:val="000C6AE9"/>
    <w:rsid w:val="00100787"/>
    <w:rsid w:val="001572F6"/>
    <w:rsid w:val="001A23F5"/>
    <w:rsid w:val="002006B2"/>
    <w:rsid w:val="00275098"/>
    <w:rsid w:val="002A1E56"/>
    <w:rsid w:val="002E2986"/>
    <w:rsid w:val="002F53C6"/>
    <w:rsid w:val="002F6098"/>
    <w:rsid w:val="00323295"/>
    <w:rsid w:val="00324B57"/>
    <w:rsid w:val="003277CA"/>
    <w:rsid w:val="00387DF1"/>
    <w:rsid w:val="003A4CB7"/>
    <w:rsid w:val="003F25E2"/>
    <w:rsid w:val="004279EB"/>
    <w:rsid w:val="00457510"/>
    <w:rsid w:val="00544AC1"/>
    <w:rsid w:val="005765FB"/>
    <w:rsid w:val="005B1FCC"/>
    <w:rsid w:val="00601114"/>
    <w:rsid w:val="0063560D"/>
    <w:rsid w:val="006E6041"/>
    <w:rsid w:val="00722F0B"/>
    <w:rsid w:val="007370F8"/>
    <w:rsid w:val="00764081"/>
    <w:rsid w:val="00791E4B"/>
    <w:rsid w:val="007C6E01"/>
    <w:rsid w:val="00800013"/>
    <w:rsid w:val="008453D4"/>
    <w:rsid w:val="00872FF3"/>
    <w:rsid w:val="008B05A8"/>
    <w:rsid w:val="008D3A5C"/>
    <w:rsid w:val="0095722B"/>
    <w:rsid w:val="0099161F"/>
    <w:rsid w:val="00A0404E"/>
    <w:rsid w:val="00A75C41"/>
    <w:rsid w:val="00AA5111"/>
    <w:rsid w:val="00AE0EAA"/>
    <w:rsid w:val="00AE1B90"/>
    <w:rsid w:val="00AF7759"/>
    <w:rsid w:val="00B43BC8"/>
    <w:rsid w:val="00B95B5A"/>
    <w:rsid w:val="00BC1447"/>
    <w:rsid w:val="00BD4E9B"/>
    <w:rsid w:val="00BE4F37"/>
    <w:rsid w:val="00C26B7E"/>
    <w:rsid w:val="00C37A6D"/>
    <w:rsid w:val="00C45923"/>
    <w:rsid w:val="00C75D1E"/>
    <w:rsid w:val="00C94FBB"/>
    <w:rsid w:val="00D265D1"/>
    <w:rsid w:val="00D570FC"/>
    <w:rsid w:val="00E73B39"/>
    <w:rsid w:val="00F56115"/>
    <w:rsid w:val="00FA3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4A622"/>
  <w15:docId w15:val="{4EF69C7F-2D8C-4DA3-97B9-548DF2A0B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A35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4A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44A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5D1E"/>
    <w:pPr>
      <w:tabs>
        <w:tab w:val="center" w:pos="4680"/>
        <w:tab w:val="right" w:pos="9360"/>
      </w:tabs>
      <w:spacing w:after="0" w:line="240" w:lineRule="auto"/>
    </w:pPr>
  </w:style>
  <w:style w:type="character" w:customStyle="1" w:styleId="En-tteCar">
    <w:name w:val="En-tête Car"/>
    <w:basedOn w:val="Policepardfaut"/>
    <w:link w:val="En-tte"/>
    <w:uiPriority w:val="99"/>
    <w:rsid w:val="00C75D1E"/>
  </w:style>
  <w:style w:type="paragraph" w:styleId="Pieddepage">
    <w:name w:val="footer"/>
    <w:basedOn w:val="Normal"/>
    <w:link w:val="PieddepageCar"/>
    <w:uiPriority w:val="99"/>
    <w:unhideWhenUsed/>
    <w:rsid w:val="00C75D1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75D1E"/>
  </w:style>
  <w:style w:type="paragraph" w:styleId="Textedebulles">
    <w:name w:val="Balloon Text"/>
    <w:basedOn w:val="Normal"/>
    <w:link w:val="TextedebullesCar"/>
    <w:uiPriority w:val="99"/>
    <w:semiHidden/>
    <w:unhideWhenUsed/>
    <w:rsid w:val="00C75D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5D1E"/>
    <w:rPr>
      <w:rFonts w:ascii="Tahoma" w:hAnsi="Tahoma" w:cs="Tahoma"/>
      <w:sz w:val="16"/>
      <w:szCs w:val="16"/>
    </w:rPr>
  </w:style>
  <w:style w:type="character" w:customStyle="1" w:styleId="Titre1Car">
    <w:name w:val="Titre 1 Car"/>
    <w:basedOn w:val="Policepardfaut"/>
    <w:link w:val="Titre1"/>
    <w:uiPriority w:val="9"/>
    <w:rsid w:val="00FA3521"/>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link w:val="ParagraphedelisteCar"/>
    <w:uiPriority w:val="34"/>
    <w:qFormat/>
    <w:rsid w:val="00544AC1"/>
    <w:pPr>
      <w:ind w:left="720"/>
      <w:contextualSpacing/>
    </w:pPr>
  </w:style>
  <w:style w:type="character" w:customStyle="1" w:styleId="Titre2Car">
    <w:name w:val="Titre 2 Car"/>
    <w:basedOn w:val="Policepardfaut"/>
    <w:link w:val="Titre2"/>
    <w:uiPriority w:val="9"/>
    <w:rsid w:val="00544AC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44AC1"/>
    <w:rPr>
      <w:rFonts w:asciiTheme="majorHAnsi" w:eastAsiaTheme="majorEastAsia" w:hAnsiTheme="majorHAnsi" w:cstheme="majorBidi"/>
      <w:b/>
      <w:bCs/>
      <w:color w:val="4F81BD" w:themeColor="accent1"/>
    </w:rPr>
  </w:style>
  <w:style w:type="character" w:styleId="Lienhypertexte">
    <w:name w:val="Hyperlink"/>
    <w:basedOn w:val="Policepardfaut"/>
    <w:uiPriority w:val="99"/>
    <w:unhideWhenUsed/>
    <w:rsid w:val="00AA5111"/>
    <w:rPr>
      <w:color w:val="0000FF" w:themeColor="hyperlink"/>
      <w:u w:val="single"/>
    </w:rPr>
  </w:style>
  <w:style w:type="paragraph" w:styleId="Titre">
    <w:name w:val="Title"/>
    <w:basedOn w:val="Normal"/>
    <w:next w:val="Normal"/>
    <w:link w:val="TitreCar"/>
    <w:uiPriority w:val="10"/>
    <w:qFormat/>
    <w:rsid w:val="00324B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24B57"/>
    <w:rPr>
      <w:rFonts w:asciiTheme="majorHAnsi" w:eastAsiaTheme="majorEastAsia" w:hAnsiTheme="majorHAnsi" w:cstheme="majorBidi"/>
      <w:spacing w:val="-10"/>
      <w:kern w:val="28"/>
      <w:sz w:val="56"/>
      <w:szCs w:val="56"/>
    </w:rPr>
  </w:style>
  <w:style w:type="character" w:styleId="Mentionnonrsolue">
    <w:name w:val="Unresolved Mention"/>
    <w:basedOn w:val="Policepardfaut"/>
    <w:uiPriority w:val="99"/>
    <w:semiHidden/>
    <w:unhideWhenUsed/>
    <w:rsid w:val="00093CAC"/>
    <w:rPr>
      <w:color w:val="605E5C"/>
      <w:shd w:val="clear" w:color="auto" w:fill="E1DFDD"/>
    </w:rPr>
  </w:style>
  <w:style w:type="character" w:customStyle="1" w:styleId="ParagraphedelisteCar">
    <w:name w:val="Paragraphe de liste Car"/>
    <w:basedOn w:val="Policepardfaut"/>
    <w:link w:val="Paragraphedeliste"/>
    <w:uiPriority w:val="34"/>
    <w:locked/>
    <w:rsid w:val="00764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mmissionoceanindien.org/projets-en-cou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missionoceanindien.org/axes-strategiques/nos-domaines-dinterventio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ommissionoceanindien.org/axes-strategiques/" TargetMode="External"/><Relationship Id="rId4" Type="http://schemas.openxmlformats.org/officeDocument/2006/relationships/settings" Target="settings.xml"/><Relationship Id="rId9" Type="http://schemas.openxmlformats.org/officeDocument/2006/relationships/hyperlink" Target="https://www.commissionoceanindien.org/etats-membres-coi/"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2631F-A27B-4E8E-AB1F-6AE158197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1908</Words>
  <Characters>10879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Andry Rasoanindrainy</dc:creator>
  <cp:lastModifiedBy>Adèle DE TOMA</cp:lastModifiedBy>
  <cp:revision>8</cp:revision>
  <cp:lastPrinted>2013-02-22T06:15:00Z</cp:lastPrinted>
  <dcterms:created xsi:type="dcterms:W3CDTF">2022-10-20T18:14:00Z</dcterms:created>
  <dcterms:modified xsi:type="dcterms:W3CDTF">2022-10-25T10:27:00Z</dcterms:modified>
</cp:coreProperties>
</file>