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4D353FDB" w:rsidR="00EC22CC" w:rsidRDefault="00473567" w:rsidP="00854EEA">
            <w:pPr>
              <w:jc w:val="center"/>
              <w:rPr>
                <w:rFonts w:ascii="Verdana" w:hAnsi="Verdana"/>
                <w:b/>
                <w:bCs/>
                <w:sz w:val="20"/>
                <w:szCs w:val="20"/>
              </w:rPr>
            </w:pPr>
            <w:r>
              <w:rPr>
                <w:rFonts w:ascii="Verdana" w:hAnsi="Verdana"/>
                <w:b/>
                <w:bCs/>
                <w:sz w:val="20"/>
                <w:szCs w:val="20"/>
              </w:rPr>
              <w:t>Unité de communication</w:t>
            </w:r>
          </w:p>
        </w:tc>
      </w:tr>
      <w:tr w:rsidR="00EC22CC" w14:paraId="7F1B63D2" w14:textId="77777777" w:rsidTr="002A0933">
        <w:tc>
          <w:tcPr>
            <w:tcW w:w="7225" w:type="dxa"/>
          </w:tcPr>
          <w:p w14:paraId="056D9B10" w14:textId="490D7BF8" w:rsidR="00EC22CC" w:rsidRPr="002A096E" w:rsidRDefault="00473567" w:rsidP="002A096E">
            <w:pPr>
              <w:rPr>
                <w:rFonts w:ascii="Verdana" w:hAnsi="Verdana"/>
                <w:sz w:val="20"/>
                <w:szCs w:val="20"/>
              </w:rPr>
            </w:pPr>
            <w:r>
              <w:rPr>
                <w:rFonts w:ascii="Verdana" w:hAnsi="Verdana"/>
                <w:sz w:val="20"/>
                <w:szCs w:val="20"/>
              </w:rPr>
              <w:t>Comité des OPL préparatoire au 36</w:t>
            </w:r>
            <w:r w:rsidRPr="00473567">
              <w:rPr>
                <w:rFonts w:ascii="Verdana" w:hAnsi="Verdana"/>
                <w:sz w:val="20"/>
                <w:szCs w:val="20"/>
                <w:vertAlign w:val="superscript"/>
              </w:rPr>
              <w:t>e</w:t>
            </w:r>
            <w:r>
              <w:rPr>
                <w:rFonts w:ascii="Verdana" w:hAnsi="Verdana"/>
                <w:sz w:val="20"/>
                <w:szCs w:val="20"/>
              </w:rPr>
              <w:t xml:space="preserve"> Conseil des ministres | 8-9 février 2022</w:t>
            </w:r>
          </w:p>
        </w:tc>
        <w:tc>
          <w:tcPr>
            <w:tcW w:w="1837" w:type="dxa"/>
          </w:tcPr>
          <w:p w14:paraId="58E25D1F" w14:textId="7D7A646E"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473567">
              <w:rPr>
                <w:rFonts w:ascii="Verdana" w:hAnsi="Verdana"/>
                <w:sz w:val="20"/>
                <w:szCs w:val="20"/>
              </w:rPr>
              <w:t>4.</w:t>
            </w:r>
            <w:r w:rsidR="0078177F">
              <w:rPr>
                <w:rFonts w:ascii="Verdana" w:hAnsi="Verdana"/>
                <w:sz w:val="20"/>
                <w:szCs w:val="20"/>
              </w:rPr>
              <w:t>3</w:t>
            </w:r>
            <w:r w:rsidR="00473567">
              <w:rPr>
                <w:rFonts w:ascii="Verdana" w:hAnsi="Verdana"/>
                <w:sz w:val="20"/>
                <w:szCs w:val="20"/>
              </w:rPr>
              <w:t>.</w:t>
            </w:r>
          </w:p>
        </w:tc>
      </w:tr>
      <w:tr w:rsidR="00EC22CC" w14:paraId="537D1DE5" w14:textId="77777777" w:rsidTr="002A0933">
        <w:tc>
          <w:tcPr>
            <w:tcW w:w="7225" w:type="dxa"/>
          </w:tcPr>
          <w:p w14:paraId="43DEF09E" w14:textId="17FAAB52"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73567">
              <w:rPr>
                <w:rFonts w:ascii="Verdana" w:hAnsi="Verdana"/>
                <w:sz w:val="20"/>
                <w:szCs w:val="20"/>
              </w:rPr>
              <w:t>Gilles Ribouet, responsable de la communication</w:t>
            </w:r>
          </w:p>
        </w:tc>
        <w:tc>
          <w:tcPr>
            <w:tcW w:w="1837" w:type="dxa"/>
          </w:tcPr>
          <w:p w14:paraId="5AC1AFAB" w14:textId="2868118B" w:rsidR="00EC22CC" w:rsidRPr="002A0933" w:rsidRDefault="00C12F78" w:rsidP="00854EEA">
            <w:pPr>
              <w:jc w:val="center"/>
              <w:rPr>
                <w:rFonts w:ascii="Verdana" w:hAnsi="Verdana"/>
                <w:sz w:val="20"/>
                <w:szCs w:val="20"/>
              </w:rPr>
            </w:pPr>
            <w:r>
              <w:rPr>
                <w:rFonts w:ascii="Verdana" w:hAnsi="Verdana"/>
                <w:sz w:val="20"/>
                <w:szCs w:val="20"/>
              </w:rPr>
              <w:t>I</w:t>
            </w:r>
            <w:r w:rsidR="004607F7" w:rsidRPr="00473567">
              <w:rPr>
                <w:rFonts w:ascii="Verdana" w:hAnsi="Verdana"/>
                <w:sz w:val="20"/>
                <w:szCs w:val="20"/>
              </w:rPr>
              <w:t>nformatio</w:t>
            </w:r>
            <w:r w:rsidR="00473567" w:rsidRPr="00473567">
              <w:rPr>
                <w:rFonts w:ascii="Verdana" w:hAnsi="Verdana"/>
                <w:sz w:val="20"/>
                <w:szCs w:val="20"/>
              </w:rPr>
              <w:t>n</w:t>
            </w:r>
          </w:p>
        </w:tc>
      </w:tr>
      <w:tr w:rsidR="00A90305" w14:paraId="6896DB30" w14:textId="77777777" w:rsidTr="009F5233">
        <w:tc>
          <w:tcPr>
            <w:tcW w:w="9062" w:type="dxa"/>
            <w:gridSpan w:val="2"/>
          </w:tcPr>
          <w:p w14:paraId="0495241B" w14:textId="23083A2F" w:rsidR="00A90305" w:rsidRDefault="00A90305" w:rsidP="00A90305">
            <w:pPr>
              <w:rPr>
                <w:rFonts w:ascii="Verdana" w:hAnsi="Verdana"/>
                <w:sz w:val="20"/>
                <w:szCs w:val="20"/>
              </w:rPr>
            </w:pPr>
            <w:r>
              <w:rPr>
                <w:rFonts w:ascii="Verdana" w:hAnsi="Verdana"/>
                <w:i/>
                <w:iCs/>
                <w:sz w:val="20"/>
                <w:szCs w:val="20"/>
              </w:rPr>
              <w:t xml:space="preserve">Version du </w:t>
            </w:r>
            <w:r w:rsidR="004A5B55">
              <w:rPr>
                <w:rFonts w:ascii="Verdana" w:hAnsi="Verdana"/>
                <w:i/>
                <w:iCs/>
                <w:sz w:val="20"/>
                <w:szCs w:val="20"/>
              </w:rPr>
              <w:t>10</w:t>
            </w:r>
            <w:r w:rsidR="00473567">
              <w:rPr>
                <w:rFonts w:ascii="Verdana" w:hAnsi="Verdana"/>
                <w:i/>
                <w:iCs/>
                <w:sz w:val="20"/>
                <w:szCs w:val="20"/>
              </w:rPr>
              <w:t>/01/2022</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14DEF887" w14:textId="77777777" w:rsidR="004A5B55" w:rsidRDefault="004A5B55" w:rsidP="00CE2386">
      <w:pPr>
        <w:pStyle w:val="Paragraphe"/>
      </w:pPr>
      <w:r>
        <w:t xml:space="preserve">L’unité de communication supervise l’ensemble des activités de communication et visibilité de la COI, incluant la mise en œuvre des activités de communication des projets. </w:t>
      </w:r>
    </w:p>
    <w:p w14:paraId="2A95ECEF" w14:textId="0697B985" w:rsidR="004A5B55" w:rsidRDefault="004A5B55" w:rsidP="00CE2386">
      <w:pPr>
        <w:pStyle w:val="Paragraphe"/>
      </w:pPr>
      <w:r>
        <w:t xml:space="preserve">La stratégie de communication de la COI est arrivée à échéance en 2021. </w:t>
      </w:r>
      <w:r w:rsidR="00920501">
        <w:t xml:space="preserve">Tenant compte de l’élaboration prévue d’un nouveau plan de développement stratégique, la période de mise en œuvre de la stratégie de communication pourra être étendue sur l’année 2022 et </w:t>
      </w:r>
      <w:r w:rsidR="00FB6415">
        <w:t>une nouvelle stratégie élaborée en cohérence avec le prochain PDS</w:t>
      </w:r>
      <w:r>
        <w:t xml:space="preserve">. </w:t>
      </w:r>
    </w:p>
    <w:p w14:paraId="7C927EAA" w14:textId="77777777" w:rsidR="004A5B55" w:rsidRDefault="004A5B55" w:rsidP="00CE2386">
      <w:pPr>
        <w:pStyle w:val="Paragraphe"/>
      </w:pPr>
      <w:r>
        <w:t xml:space="preserve">Des recrutements de communicants sont en cours pour plusieurs projets de la COI. </w:t>
      </w:r>
    </w:p>
    <w:p w14:paraId="29AD1400" w14:textId="5D8906A6" w:rsidR="0041278C" w:rsidRDefault="004A5B55" w:rsidP="00CE2386">
      <w:pPr>
        <w:pStyle w:val="Paragraphe"/>
      </w:pPr>
      <w:r>
        <w:t xml:space="preserve">La pandémie de Covid-19 a conduit à renforcer le volet digital de la communication. Les résultats globaux de la communication sont positifs : on note une augmentation significative des abonnements et engagements sur les plateformes digitales de la COI (site internet, Facebook, Twitter, Linkedin). </w:t>
      </w:r>
    </w:p>
    <w:p w14:paraId="6CD0EB70" w14:textId="77777777" w:rsidR="000E5684" w:rsidRPr="000E5684" w:rsidRDefault="000E5684" w:rsidP="00CE2386">
      <w:pPr>
        <w:pStyle w:val="Paragraphe"/>
        <w:rPr>
          <w:sz w:val="8"/>
          <w:szCs w:val="8"/>
        </w:rPr>
      </w:pPr>
    </w:p>
    <w:p w14:paraId="68009DDB" w14:textId="06AAE9C2" w:rsidR="0008468B" w:rsidRPr="0008468B" w:rsidRDefault="00955BB3" w:rsidP="00A70123">
      <w:pPr>
        <w:pStyle w:val="Titrepartie"/>
      </w:pPr>
      <w:r w:rsidRPr="0008468B">
        <w:t>Etat d’avancement</w:t>
      </w:r>
    </w:p>
    <w:p w14:paraId="48AB0783" w14:textId="0486D724" w:rsidR="00426673" w:rsidRPr="00426673" w:rsidRDefault="004A5B55" w:rsidP="002C56ED">
      <w:pPr>
        <w:pStyle w:val="Sous-partie2"/>
      </w:pPr>
      <w:r>
        <w:t>Equipe</w:t>
      </w:r>
    </w:p>
    <w:p w14:paraId="0BEBBB31" w14:textId="1CE31C1A" w:rsidR="002C56ED" w:rsidRDefault="004A5B55" w:rsidP="002C56ED">
      <w:pPr>
        <w:pStyle w:val="Paragraphe"/>
      </w:pPr>
      <w:r>
        <w:t xml:space="preserve">En 2021, les mises à disposition en appui à l’unité de communication ont pris fin : volontaire de la Francophonie à la fonction d’infographiste (mars 2021) et volontaire de </w:t>
      </w:r>
      <w:r w:rsidR="00C5502E">
        <w:t xml:space="preserve">solidarité internationale au poste d’assistante de communication (octobre 2021). Dans le même temps, le responsable de la communication a été chargé de l’intérim pour la culture (instruction du projet ICC et autres actions culturelles) et apporte un appui au SG sur le dossier éducation et recherche (partenariats PRERAD, IRD, Université de La Réunion, autres universités – en cours, Assises de la formation professionnelle – en cours). </w:t>
      </w:r>
    </w:p>
    <w:p w14:paraId="449EC6ED" w14:textId="77777777" w:rsidR="00C5502E" w:rsidRDefault="00C5502E" w:rsidP="002C56ED">
      <w:pPr>
        <w:pStyle w:val="Paragraphe"/>
      </w:pPr>
      <w:r>
        <w:t xml:space="preserve">Parallèlement, des projets sans communicant dédié démarrent ou sont en cours (GCCA+, EMCP, Sécurité portuaire, RECOS, BRIO, EXPLOI, SWIOFISH…). L’unité de communication doit répondre aux besoins de ces projets conformément aux clauses de communication et visibilité des conventions de financement. </w:t>
      </w:r>
    </w:p>
    <w:p w14:paraId="22F95528" w14:textId="77777777" w:rsidR="00C5502E" w:rsidRDefault="00C5502E" w:rsidP="002C56ED">
      <w:pPr>
        <w:pStyle w:val="Paragraphe"/>
      </w:pPr>
      <w:r>
        <w:t xml:space="preserve">La </w:t>
      </w:r>
      <w:r w:rsidRPr="00193C00">
        <w:rPr>
          <w:b/>
          <w:bCs/>
        </w:rPr>
        <w:t>disponibilité de ressources humaines pérennes au sein de l’unité de communication reste donc d’actualité</w:t>
      </w:r>
      <w:r>
        <w:t xml:space="preserve">. Au-delà des recrutements de communicants dédiés pour des projets d’envergure, il est recommandé de : </w:t>
      </w:r>
    </w:p>
    <w:p w14:paraId="6AB4D62E" w14:textId="77777777" w:rsidR="00C5502E" w:rsidRPr="00C5502E" w:rsidRDefault="00C5502E" w:rsidP="00C5502E">
      <w:pPr>
        <w:pStyle w:val="Paragraphe"/>
        <w:numPr>
          <w:ilvl w:val="0"/>
          <w:numId w:val="10"/>
        </w:numPr>
        <w:rPr>
          <w:shd w:val="clear" w:color="auto" w:fill="FFFFFF"/>
        </w:rPr>
      </w:pPr>
      <w:r w:rsidRPr="00193C00">
        <w:rPr>
          <w:b/>
          <w:bCs/>
        </w:rPr>
        <w:t>Capitaliser sur les</w:t>
      </w:r>
      <w:r>
        <w:t xml:space="preserve"> </w:t>
      </w:r>
      <w:r w:rsidRPr="00193C00">
        <w:rPr>
          <w:b/>
          <w:bCs/>
        </w:rPr>
        <w:t>opportunités de mise à disposition</w:t>
      </w:r>
      <w:r>
        <w:t xml:space="preserve"> : en prévision au travers du programme de VSI pour le poste d’assistant de communication au mieux d’ici la fin du premier trimestre 2022 ; </w:t>
      </w:r>
    </w:p>
    <w:p w14:paraId="4FB9C299" w14:textId="0EBD2621" w:rsidR="00C5502E" w:rsidRDefault="00C5502E" w:rsidP="00C5502E">
      <w:pPr>
        <w:pStyle w:val="Paragraphe"/>
        <w:numPr>
          <w:ilvl w:val="0"/>
          <w:numId w:val="10"/>
        </w:numPr>
        <w:rPr>
          <w:shd w:val="clear" w:color="auto" w:fill="FFFFFF"/>
        </w:rPr>
      </w:pPr>
      <w:r w:rsidRPr="00193C00">
        <w:rPr>
          <w:b/>
          <w:bCs/>
        </w:rPr>
        <w:t xml:space="preserve">Mutualiser les ressources et les expertises </w:t>
      </w:r>
      <w:r>
        <w:t xml:space="preserve">en mobilisant, pour des activités transversales, </w:t>
      </w:r>
      <w:r w:rsidRPr="00193C00">
        <w:rPr>
          <w:b/>
          <w:bCs/>
        </w:rPr>
        <w:t>les communicants des projets</w:t>
      </w:r>
      <w:r>
        <w:t xml:space="preserve"> en cours de recrutement (RECOS, Sécurité portuaire, Santé).  </w:t>
      </w:r>
    </w:p>
    <w:p w14:paraId="54854EB5" w14:textId="0D8BB52D" w:rsidR="002C56ED" w:rsidRPr="00A76B07" w:rsidRDefault="0025312D" w:rsidP="00A76B07">
      <w:pPr>
        <w:pStyle w:val="Sous-partie2"/>
      </w:pPr>
      <w:r>
        <w:t>Stratégie de communication</w:t>
      </w:r>
    </w:p>
    <w:p w14:paraId="21875958" w14:textId="7F99D57F" w:rsidR="002C56ED" w:rsidRDefault="0025312D" w:rsidP="002C56ED">
      <w:pPr>
        <w:pStyle w:val="Paragraphe"/>
      </w:pPr>
      <w:r>
        <w:t>En 2018, l’unité de communication a élaboré la première stratégie de communication et visibilité de la COI. Celle-ci est arrivée à échéance en 2021. Dans la mesure où</w:t>
      </w:r>
      <w:r w:rsidR="008E547F">
        <w:t xml:space="preserve"> la COI devrait se doter d’un nouveau plan de développement stratégique, il est proposé d’</w:t>
      </w:r>
      <w:r w:rsidR="008E547F" w:rsidRPr="00193C00">
        <w:rPr>
          <w:b/>
          <w:bCs/>
        </w:rPr>
        <w:t xml:space="preserve">étendre </w:t>
      </w:r>
      <w:r w:rsidR="008E547F" w:rsidRPr="00193C00">
        <w:rPr>
          <w:b/>
          <w:bCs/>
        </w:rPr>
        <w:lastRenderedPageBreak/>
        <w:t xml:space="preserve">la période de mise en œuvre de la stratégie de communication </w:t>
      </w:r>
      <w:r w:rsidR="008E547F">
        <w:t>en cours afin d’élaborer une nouvelle stratégie accolée au prochain PDS.</w:t>
      </w:r>
      <w:r w:rsidR="00FB6415">
        <w:t xml:space="preserve"> Le digital et les actions de visibilité dans les Etats membres devraient figurer parmi les priorités de la prochaine stratégie de communication et visibilité. </w:t>
      </w:r>
      <w:r w:rsidR="008E547F">
        <w:t xml:space="preserve"> </w:t>
      </w:r>
    </w:p>
    <w:p w14:paraId="3E23AA82" w14:textId="77777777" w:rsidR="002C46BC" w:rsidRDefault="002C46BC" w:rsidP="00435D74">
      <w:pPr>
        <w:pStyle w:val="Sous-partie2"/>
        <w:numPr>
          <w:ilvl w:val="0"/>
          <w:numId w:val="0"/>
        </w:numPr>
        <w:ind w:left="1080" w:hanging="720"/>
      </w:pPr>
    </w:p>
    <w:p w14:paraId="4EC58EA2" w14:textId="5AEC8127" w:rsidR="00511866" w:rsidRPr="00A76B07" w:rsidRDefault="00511866" w:rsidP="00511866">
      <w:pPr>
        <w:pStyle w:val="Sous-partie2"/>
      </w:pPr>
      <w:r>
        <w:t>Résultats</w:t>
      </w:r>
    </w:p>
    <w:p w14:paraId="3AA99205" w14:textId="15826074" w:rsidR="00560B6E" w:rsidRDefault="00511866" w:rsidP="002C56ED">
      <w:pPr>
        <w:pStyle w:val="Paragraphe"/>
        <w:rPr>
          <w:shd w:val="clear" w:color="auto" w:fill="FFFFFF"/>
        </w:rPr>
      </w:pPr>
      <w:r>
        <w:rPr>
          <w:shd w:val="clear" w:color="auto" w:fill="FFFFFF"/>
        </w:rPr>
        <w:t>La pandémie de Covid-19 a</w:t>
      </w:r>
      <w:r w:rsidR="008F577B">
        <w:rPr>
          <w:shd w:val="clear" w:color="auto" w:fill="FFFFFF"/>
        </w:rPr>
        <w:t xml:space="preserve"> été l’occasion de renforcer la communication digitale de la COI. Cette </w:t>
      </w:r>
      <w:r w:rsidR="008F577B" w:rsidRPr="00C12F78">
        <w:rPr>
          <w:b/>
          <w:bCs/>
          <w:shd w:val="clear" w:color="auto" w:fill="FFFFFF"/>
        </w:rPr>
        <w:t>réorientation de l’effort de communication sur le digital a été payant</w:t>
      </w:r>
      <w:r w:rsidR="008F577B">
        <w:rPr>
          <w:shd w:val="clear" w:color="auto" w:fill="FFFFFF"/>
        </w:rPr>
        <w:t xml:space="preserve">. </w:t>
      </w:r>
      <w:r w:rsidR="003405FD">
        <w:rPr>
          <w:shd w:val="clear" w:color="auto" w:fill="FFFFFF"/>
        </w:rPr>
        <w:t xml:space="preserve">En effet, on note </w:t>
      </w:r>
      <w:r w:rsidR="0085088F">
        <w:rPr>
          <w:shd w:val="clear" w:color="auto" w:fill="FFFFFF"/>
        </w:rPr>
        <w:t xml:space="preserve">sur l’année 2021 </w:t>
      </w:r>
      <w:r w:rsidR="003405FD">
        <w:rPr>
          <w:shd w:val="clear" w:color="auto" w:fill="FFFFFF"/>
        </w:rPr>
        <w:t xml:space="preserve">une </w:t>
      </w:r>
      <w:r w:rsidR="003405FD" w:rsidRPr="00C12F78">
        <w:rPr>
          <w:b/>
          <w:bCs/>
          <w:shd w:val="clear" w:color="auto" w:fill="FFFFFF"/>
        </w:rPr>
        <w:t>augmentation significative des abonnements et des taux d’engagement</w:t>
      </w:r>
      <w:r w:rsidR="003405FD">
        <w:rPr>
          <w:shd w:val="clear" w:color="auto" w:fill="FFFFFF"/>
        </w:rPr>
        <w:t xml:space="preserve"> sur les plateformes </w:t>
      </w:r>
      <w:r w:rsidR="00560B6E">
        <w:rPr>
          <w:shd w:val="clear" w:color="auto" w:fill="FFFFFF"/>
        </w:rPr>
        <w:t>digitales de la COI</w:t>
      </w:r>
      <w:r w:rsidR="0085088F">
        <w:rPr>
          <w:shd w:val="clear" w:color="auto" w:fill="FFFFFF"/>
        </w:rPr>
        <w:t xml:space="preserve"> pour un total de 669 publications</w:t>
      </w:r>
      <w:r w:rsidR="00560B6E">
        <w:rPr>
          <w:shd w:val="clear" w:color="auto" w:fill="FFFFFF"/>
        </w:rPr>
        <w:t xml:space="preserve"> comparativement à 2020</w:t>
      </w:r>
      <w:r w:rsidR="0085088F">
        <w:rPr>
          <w:shd w:val="clear" w:color="auto" w:fill="FFFFFF"/>
        </w:rPr>
        <w:t xml:space="preserve"> avec 480 publications</w:t>
      </w:r>
      <w:r w:rsidR="00560B6E">
        <w:rPr>
          <w:shd w:val="clear" w:color="auto" w:fill="FFFFFF"/>
        </w:rPr>
        <w:t xml:space="preserve"> comme le montre le tableau ci-dessous : </w:t>
      </w:r>
    </w:p>
    <w:tbl>
      <w:tblPr>
        <w:tblStyle w:val="Grilledutableau"/>
        <w:tblW w:w="0" w:type="auto"/>
        <w:jc w:val="center"/>
        <w:tblLook w:val="04A0" w:firstRow="1" w:lastRow="0" w:firstColumn="1" w:lastColumn="0" w:noHBand="0" w:noVBand="1"/>
      </w:tblPr>
      <w:tblGrid>
        <w:gridCol w:w="3256"/>
        <w:gridCol w:w="1989"/>
        <w:gridCol w:w="1843"/>
        <w:gridCol w:w="1843"/>
      </w:tblGrid>
      <w:tr w:rsidR="001E4641" w14:paraId="16837557" w14:textId="77777777" w:rsidTr="001556F0">
        <w:trPr>
          <w:jc w:val="center"/>
        </w:trPr>
        <w:tc>
          <w:tcPr>
            <w:tcW w:w="3256" w:type="dxa"/>
          </w:tcPr>
          <w:p w14:paraId="5E1B742B" w14:textId="77777777" w:rsidR="001E4641" w:rsidRDefault="001E4641" w:rsidP="002C56ED">
            <w:pPr>
              <w:pStyle w:val="Paragraphe"/>
              <w:rPr>
                <w:shd w:val="clear" w:color="auto" w:fill="FFFFFF"/>
              </w:rPr>
            </w:pPr>
          </w:p>
        </w:tc>
        <w:tc>
          <w:tcPr>
            <w:tcW w:w="1989" w:type="dxa"/>
          </w:tcPr>
          <w:p w14:paraId="5E446EB6" w14:textId="551EB3EC" w:rsidR="001E4641" w:rsidRDefault="001E4641" w:rsidP="002C56ED">
            <w:pPr>
              <w:pStyle w:val="Paragraphe"/>
              <w:rPr>
                <w:shd w:val="clear" w:color="auto" w:fill="FFFFFF"/>
              </w:rPr>
            </w:pPr>
            <w:r>
              <w:rPr>
                <w:shd w:val="clear" w:color="auto" w:fill="FFFFFF"/>
              </w:rPr>
              <w:t>Facebook</w:t>
            </w:r>
          </w:p>
        </w:tc>
        <w:tc>
          <w:tcPr>
            <w:tcW w:w="1843" w:type="dxa"/>
          </w:tcPr>
          <w:p w14:paraId="025814D6" w14:textId="43CDBE33" w:rsidR="001E4641" w:rsidRDefault="001E4641" w:rsidP="002C56ED">
            <w:pPr>
              <w:pStyle w:val="Paragraphe"/>
              <w:rPr>
                <w:shd w:val="clear" w:color="auto" w:fill="FFFFFF"/>
              </w:rPr>
            </w:pPr>
            <w:r>
              <w:rPr>
                <w:shd w:val="clear" w:color="auto" w:fill="FFFFFF"/>
              </w:rPr>
              <w:t>Twitter</w:t>
            </w:r>
          </w:p>
        </w:tc>
        <w:tc>
          <w:tcPr>
            <w:tcW w:w="1843" w:type="dxa"/>
          </w:tcPr>
          <w:p w14:paraId="08240B9F" w14:textId="4DA5E8A9" w:rsidR="001E4641" w:rsidRDefault="001E4641" w:rsidP="002C56ED">
            <w:pPr>
              <w:pStyle w:val="Paragraphe"/>
              <w:rPr>
                <w:shd w:val="clear" w:color="auto" w:fill="FFFFFF"/>
              </w:rPr>
            </w:pPr>
            <w:r>
              <w:rPr>
                <w:shd w:val="clear" w:color="auto" w:fill="FFFFFF"/>
              </w:rPr>
              <w:t>Linkedin</w:t>
            </w:r>
          </w:p>
        </w:tc>
      </w:tr>
      <w:tr w:rsidR="001E4641" w14:paraId="4BEA087B" w14:textId="77777777" w:rsidTr="001556F0">
        <w:trPr>
          <w:jc w:val="center"/>
        </w:trPr>
        <w:tc>
          <w:tcPr>
            <w:tcW w:w="3256" w:type="dxa"/>
          </w:tcPr>
          <w:p w14:paraId="4C394C78" w14:textId="17A509E6" w:rsidR="001E4641" w:rsidRDefault="001E4641" w:rsidP="002C56ED">
            <w:pPr>
              <w:pStyle w:val="Paragraphe"/>
              <w:rPr>
                <w:shd w:val="clear" w:color="auto" w:fill="FFFFFF"/>
              </w:rPr>
            </w:pPr>
            <w:r>
              <w:rPr>
                <w:shd w:val="clear" w:color="auto" w:fill="FFFFFF"/>
              </w:rPr>
              <w:t>Augmentation du nombre d’abonnés 2021 vs 2020 (%)</w:t>
            </w:r>
          </w:p>
        </w:tc>
        <w:tc>
          <w:tcPr>
            <w:tcW w:w="1989" w:type="dxa"/>
          </w:tcPr>
          <w:p w14:paraId="4D376478" w14:textId="5F9456F6" w:rsidR="001E4641" w:rsidRDefault="001E4641" w:rsidP="001556F0">
            <w:pPr>
              <w:pStyle w:val="Paragraphe"/>
              <w:jc w:val="center"/>
              <w:rPr>
                <w:shd w:val="clear" w:color="auto" w:fill="FFFFFF"/>
              </w:rPr>
            </w:pPr>
            <w:r>
              <w:rPr>
                <w:shd w:val="clear" w:color="auto" w:fill="FFFFFF"/>
              </w:rPr>
              <w:t>+ 11%</w:t>
            </w:r>
          </w:p>
        </w:tc>
        <w:tc>
          <w:tcPr>
            <w:tcW w:w="1843" w:type="dxa"/>
          </w:tcPr>
          <w:p w14:paraId="6116375E" w14:textId="1F3A7C46" w:rsidR="001E4641" w:rsidRDefault="001E4641" w:rsidP="001556F0">
            <w:pPr>
              <w:pStyle w:val="Paragraphe"/>
              <w:jc w:val="center"/>
              <w:rPr>
                <w:shd w:val="clear" w:color="auto" w:fill="FFFFFF"/>
              </w:rPr>
            </w:pPr>
            <w:r>
              <w:rPr>
                <w:shd w:val="clear" w:color="auto" w:fill="FFFFFF"/>
              </w:rPr>
              <w:t>+18%</w:t>
            </w:r>
          </w:p>
        </w:tc>
        <w:tc>
          <w:tcPr>
            <w:tcW w:w="1843" w:type="dxa"/>
          </w:tcPr>
          <w:p w14:paraId="2C5700F1" w14:textId="6B452841" w:rsidR="001E4641" w:rsidRDefault="001E4641" w:rsidP="001556F0">
            <w:pPr>
              <w:pStyle w:val="Paragraphe"/>
              <w:jc w:val="center"/>
              <w:rPr>
                <w:shd w:val="clear" w:color="auto" w:fill="FFFFFF"/>
              </w:rPr>
            </w:pPr>
            <w:r>
              <w:rPr>
                <w:shd w:val="clear" w:color="auto" w:fill="FFFFFF"/>
              </w:rPr>
              <w:t>+ 78%</w:t>
            </w:r>
          </w:p>
        </w:tc>
      </w:tr>
      <w:tr w:rsidR="001E4641" w14:paraId="4C887231" w14:textId="77777777" w:rsidTr="001556F0">
        <w:trPr>
          <w:jc w:val="center"/>
        </w:trPr>
        <w:tc>
          <w:tcPr>
            <w:tcW w:w="3256" w:type="dxa"/>
          </w:tcPr>
          <w:p w14:paraId="6C5445F3" w14:textId="056154D5" w:rsidR="001E4641" w:rsidRDefault="001E4641" w:rsidP="002C56ED">
            <w:pPr>
              <w:pStyle w:val="Paragraphe"/>
              <w:rPr>
                <w:shd w:val="clear" w:color="auto" w:fill="FFFFFF"/>
              </w:rPr>
            </w:pPr>
            <w:r>
              <w:rPr>
                <w:shd w:val="clear" w:color="auto" w:fill="FFFFFF"/>
              </w:rPr>
              <w:t>Portée organique</w:t>
            </w:r>
            <w:r>
              <w:rPr>
                <w:rStyle w:val="Appelnotedebasdep"/>
                <w:shd w:val="clear" w:color="auto" w:fill="FFFFFF"/>
              </w:rPr>
              <w:footnoteReference w:id="1"/>
            </w:r>
            <w:r>
              <w:rPr>
                <w:shd w:val="clear" w:color="auto" w:fill="FFFFFF"/>
              </w:rPr>
              <w:t xml:space="preserve"> des publications</w:t>
            </w:r>
          </w:p>
        </w:tc>
        <w:tc>
          <w:tcPr>
            <w:tcW w:w="1989" w:type="dxa"/>
          </w:tcPr>
          <w:p w14:paraId="780C715C" w14:textId="24DED3BA" w:rsidR="001E4641" w:rsidRDefault="001E4641" w:rsidP="001556F0">
            <w:pPr>
              <w:pStyle w:val="Paragraphe"/>
              <w:jc w:val="center"/>
              <w:rPr>
                <w:shd w:val="clear" w:color="auto" w:fill="FFFFFF"/>
              </w:rPr>
            </w:pPr>
            <w:r>
              <w:rPr>
                <w:shd w:val="clear" w:color="auto" w:fill="FFFFFF"/>
              </w:rPr>
              <w:t>+ 166%</w:t>
            </w:r>
          </w:p>
        </w:tc>
        <w:tc>
          <w:tcPr>
            <w:tcW w:w="1843" w:type="dxa"/>
          </w:tcPr>
          <w:p w14:paraId="1065E0D1" w14:textId="75B432E6" w:rsidR="001E4641" w:rsidRDefault="001E4641" w:rsidP="001556F0">
            <w:pPr>
              <w:pStyle w:val="Paragraphe"/>
              <w:jc w:val="center"/>
              <w:rPr>
                <w:shd w:val="clear" w:color="auto" w:fill="FFFFFF"/>
              </w:rPr>
            </w:pPr>
            <w:r>
              <w:rPr>
                <w:shd w:val="clear" w:color="auto" w:fill="FFFFFF"/>
              </w:rPr>
              <w:t>+ 35%</w:t>
            </w:r>
          </w:p>
        </w:tc>
        <w:tc>
          <w:tcPr>
            <w:tcW w:w="1843" w:type="dxa"/>
          </w:tcPr>
          <w:p w14:paraId="2F6E7849" w14:textId="4E85457C" w:rsidR="001E4641" w:rsidRDefault="001E4641" w:rsidP="001556F0">
            <w:pPr>
              <w:pStyle w:val="Paragraphe"/>
              <w:jc w:val="center"/>
              <w:rPr>
                <w:shd w:val="clear" w:color="auto" w:fill="FFFFFF"/>
              </w:rPr>
            </w:pPr>
            <w:r>
              <w:rPr>
                <w:shd w:val="clear" w:color="auto" w:fill="FFFFFF"/>
              </w:rPr>
              <w:t>+ 113%</w:t>
            </w:r>
          </w:p>
        </w:tc>
      </w:tr>
      <w:tr w:rsidR="001E4641" w14:paraId="1D48A742" w14:textId="77777777" w:rsidTr="001556F0">
        <w:trPr>
          <w:jc w:val="center"/>
        </w:trPr>
        <w:tc>
          <w:tcPr>
            <w:tcW w:w="3256" w:type="dxa"/>
          </w:tcPr>
          <w:p w14:paraId="2991A1B6" w14:textId="1D7B74F6" w:rsidR="001E4641" w:rsidRDefault="001E4641" w:rsidP="002C56ED">
            <w:pPr>
              <w:pStyle w:val="Paragraphe"/>
              <w:rPr>
                <w:shd w:val="clear" w:color="auto" w:fill="FFFFFF"/>
              </w:rPr>
            </w:pPr>
            <w:r>
              <w:rPr>
                <w:shd w:val="clear" w:color="auto" w:fill="FFFFFF"/>
              </w:rPr>
              <w:t>Nombre de partage (engagement)</w:t>
            </w:r>
          </w:p>
        </w:tc>
        <w:tc>
          <w:tcPr>
            <w:tcW w:w="1989" w:type="dxa"/>
          </w:tcPr>
          <w:p w14:paraId="0B859646" w14:textId="574A68E5" w:rsidR="001E4641" w:rsidRDefault="001E4641" w:rsidP="001556F0">
            <w:pPr>
              <w:pStyle w:val="Paragraphe"/>
              <w:jc w:val="center"/>
              <w:rPr>
                <w:shd w:val="clear" w:color="auto" w:fill="FFFFFF"/>
              </w:rPr>
            </w:pPr>
            <w:r>
              <w:rPr>
                <w:shd w:val="clear" w:color="auto" w:fill="FFFFFF"/>
              </w:rPr>
              <w:t>995</w:t>
            </w:r>
          </w:p>
          <w:p w14:paraId="52F589C6" w14:textId="3A63A22D" w:rsidR="001E4641" w:rsidRDefault="001E4641" w:rsidP="001556F0">
            <w:pPr>
              <w:pStyle w:val="Paragraphe"/>
              <w:jc w:val="center"/>
              <w:rPr>
                <w:shd w:val="clear" w:color="auto" w:fill="FFFFFF"/>
              </w:rPr>
            </w:pPr>
            <w:r w:rsidRPr="001E4641">
              <w:rPr>
                <w:sz w:val="18"/>
                <w:szCs w:val="18"/>
                <w:shd w:val="clear" w:color="auto" w:fill="FFFFFF"/>
              </w:rPr>
              <w:t>(vs 706 en 2020)</w:t>
            </w:r>
          </w:p>
        </w:tc>
        <w:tc>
          <w:tcPr>
            <w:tcW w:w="1843" w:type="dxa"/>
          </w:tcPr>
          <w:p w14:paraId="442B8F50" w14:textId="77777777" w:rsidR="001E4641" w:rsidRDefault="001E4641" w:rsidP="001556F0">
            <w:pPr>
              <w:pStyle w:val="Paragraphe"/>
              <w:jc w:val="center"/>
              <w:rPr>
                <w:shd w:val="clear" w:color="auto" w:fill="FFFFFF"/>
              </w:rPr>
            </w:pPr>
            <w:r>
              <w:rPr>
                <w:shd w:val="clear" w:color="auto" w:fill="FFFFFF"/>
              </w:rPr>
              <w:t>996</w:t>
            </w:r>
          </w:p>
          <w:p w14:paraId="30B355C9" w14:textId="0B47E05B" w:rsidR="001E4641" w:rsidRDefault="001E4641" w:rsidP="001556F0">
            <w:pPr>
              <w:pStyle w:val="Paragraphe"/>
              <w:jc w:val="center"/>
              <w:rPr>
                <w:shd w:val="clear" w:color="auto" w:fill="FFFFFF"/>
              </w:rPr>
            </w:pPr>
            <w:r w:rsidRPr="001E4641">
              <w:rPr>
                <w:sz w:val="18"/>
                <w:szCs w:val="18"/>
                <w:shd w:val="clear" w:color="auto" w:fill="FFFFFF"/>
              </w:rPr>
              <w:t>(vs 809 en 2020)</w:t>
            </w:r>
          </w:p>
        </w:tc>
        <w:tc>
          <w:tcPr>
            <w:tcW w:w="1843" w:type="dxa"/>
          </w:tcPr>
          <w:p w14:paraId="1A3B9D8E" w14:textId="77777777" w:rsidR="001E4641" w:rsidRDefault="001E4641" w:rsidP="001556F0">
            <w:pPr>
              <w:pStyle w:val="Paragraphe"/>
              <w:jc w:val="center"/>
              <w:rPr>
                <w:shd w:val="clear" w:color="auto" w:fill="FFFFFF"/>
              </w:rPr>
            </w:pPr>
            <w:r>
              <w:rPr>
                <w:shd w:val="clear" w:color="auto" w:fill="FFFFFF"/>
              </w:rPr>
              <w:t>357</w:t>
            </w:r>
          </w:p>
          <w:p w14:paraId="6AEEC63A" w14:textId="5C8082E2" w:rsidR="001E4641" w:rsidRDefault="001E4641" w:rsidP="001556F0">
            <w:pPr>
              <w:pStyle w:val="Paragraphe"/>
              <w:jc w:val="center"/>
              <w:rPr>
                <w:shd w:val="clear" w:color="auto" w:fill="FFFFFF"/>
              </w:rPr>
            </w:pPr>
            <w:r w:rsidRPr="001E4641">
              <w:rPr>
                <w:sz w:val="18"/>
                <w:szCs w:val="18"/>
                <w:shd w:val="clear" w:color="auto" w:fill="FFFFFF"/>
              </w:rPr>
              <w:t>(vs 170 en 2020)</w:t>
            </w:r>
          </w:p>
        </w:tc>
      </w:tr>
    </w:tbl>
    <w:p w14:paraId="147B06EE" w14:textId="78150954" w:rsidR="00511866" w:rsidRDefault="003405FD" w:rsidP="002C56ED">
      <w:pPr>
        <w:pStyle w:val="Paragraphe"/>
        <w:rPr>
          <w:shd w:val="clear" w:color="auto" w:fill="FFFFFF"/>
        </w:rPr>
      </w:pPr>
      <w:r>
        <w:rPr>
          <w:shd w:val="clear" w:color="auto" w:fill="FFFFFF"/>
        </w:rPr>
        <w:t xml:space="preserve"> </w:t>
      </w:r>
      <w:r w:rsidR="008F577B">
        <w:rPr>
          <w:shd w:val="clear" w:color="auto" w:fill="FFFFFF"/>
        </w:rPr>
        <w:t xml:space="preserve"> </w:t>
      </w:r>
    </w:p>
    <w:p w14:paraId="5A13C264" w14:textId="116DD549" w:rsidR="00ED3D0E" w:rsidRDefault="00ED3D0E" w:rsidP="002C56ED">
      <w:pPr>
        <w:pStyle w:val="Paragraphe"/>
        <w:rPr>
          <w:shd w:val="clear" w:color="auto" w:fill="FFFFFF"/>
        </w:rPr>
      </w:pPr>
      <w:r>
        <w:rPr>
          <w:shd w:val="clear" w:color="auto" w:fill="FFFFFF"/>
        </w:rPr>
        <w:t xml:space="preserve">Cette tendance positive a été largement soutenue par la disponibilité de personnels au sein de l’unité, à savoir une assistante de communication </w:t>
      </w:r>
      <w:r w:rsidR="00580168">
        <w:rPr>
          <w:shd w:val="clear" w:color="auto" w:fill="FFFFFF"/>
        </w:rPr>
        <w:t xml:space="preserve">disposant d’une expertise avérée en communication digitale et d’une infographiste à temps plein chargée de la création graphique. </w:t>
      </w:r>
    </w:p>
    <w:p w14:paraId="79F2177D" w14:textId="53E035B1" w:rsidR="008B45A4" w:rsidRDefault="00B4521E" w:rsidP="002C56ED">
      <w:pPr>
        <w:pStyle w:val="Paragraphe"/>
        <w:rPr>
          <w:shd w:val="clear" w:color="auto" w:fill="FFFFFF"/>
        </w:rPr>
      </w:pPr>
      <w:r>
        <w:rPr>
          <w:shd w:val="clear" w:color="auto" w:fill="FFFFFF"/>
        </w:rPr>
        <w:t xml:space="preserve">En 2021, l’unité de communication a également </w:t>
      </w:r>
      <w:r w:rsidRPr="00C12F78">
        <w:rPr>
          <w:b/>
          <w:bCs/>
          <w:shd w:val="clear" w:color="auto" w:fill="FFFFFF"/>
        </w:rPr>
        <w:t>lancé une newsletter numérique</w:t>
      </w:r>
      <w:r>
        <w:rPr>
          <w:shd w:val="clear" w:color="auto" w:fill="FFFFFF"/>
        </w:rPr>
        <w:t xml:space="preserve">. Quatre numéros (fréquence trimestrielle) et deux éditions spéciales </w:t>
      </w:r>
      <w:r w:rsidR="008B5158">
        <w:rPr>
          <w:shd w:val="clear" w:color="auto" w:fill="FFFFFF"/>
        </w:rPr>
        <w:t xml:space="preserve">sur les instances </w:t>
      </w:r>
      <w:r>
        <w:rPr>
          <w:shd w:val="clear" w:color="auto" w:fill="FFFFFF"/>
        </w:rPr>
        <w:t xml:space="preserve">ont été </w:t>
      </w:r>
      <w:r w:rsidR="00814D2D">
        <w:rPr>
          <w:shd w:val="clear" w:color="auto" w:fill="FFFFFF"/>
        </w:rPr>
        <w:t>produits</w:t>
      </w:r>
      <w:r w:rsidR="00D03AA0">
        <w:rPr>
          <w:shd w:val="clear" w:color="auto" w:fill="FFFFFF"/>
        </w:rPr>
        <w:t>.</w:t>
      </w:r>
      <w:r w:rsidR="008B5158">
        <w:rPr>
          <w:shd w:val="clear" w:color="auto" w:fill="FFFFFF"/>
        </w:rPr>
        <w:t xml:space="preserve"> Les newsletter</w:t>
      </w:r>
      <w:r w:rsidR="008B45A4">
        <w:rPr>
          <w:shd w:val="clear" w:color="auto" w:fill="FFFFFF"/>
        </w:rPr>
        <w:t>s</w:t>
      </w:r>
      <w:r w:rsidR="008B5158">
        <w:rPr>
          <w:shd w:val="clear" w:color="auto" w:fill="FFFFFF"/>
        </w:rPr>
        <w:t xml:space="preserve"> sont diffusées auprès d’un réseau institutionnel, diplomatique et médiatique</w:t>
      </w:r>
      <w:r w:rsidR="00D03AA0">
        <w:rPr>
          <w:shd w:val="clear" w:color="auto" w:fill="FFFFFF"/>
        </w:rPr>
        <w:t xml:space="preserve"> </w:t>
      </w:r>
      <w:r w:rsidR="008B5158">
        <w:rPr>
          <w:shd w:val="clear" w:color="auto" w:fill="FFFFFF"/>
        </w:rPr>
        <w:t xml:space="preserve">de </w:t>
      </w:r>
      <w:r w:rsidR="004E21D5">
        <w:rPr>
          <w:shd w:val="clear" w:color="auto" w:fill="FFFFFF"/>
        </w:rPr>
        <w:t>682 personnes. Le taux d’ouverture des newsletter</w:t>
      </w:r>
      <w:r w:rsidR="008B45A4">
        <w:rPr>
          <w:shd w:val="clear" w:color="auto" w:fill="FFFFFF"/>
        </w:rPr>
        <w:t>s</w:t>
      </w:r>
      <w:r w:rsidR="004E21D5">
        <w:rPr>
          <w:shd w:val="clear" w:color="auto" w:fill="FFFFFF"/>
        </w:rPr>
        <w:t xml:space="preserve"> est compris entre </w:t>
      </w:r>
      <w:r w:rsidR="00AD72D5">
        <w:rPr>
          <w:shd w:val="clear" w:color="auto" w:fill="FFFFFF"/>
        </w:rPr>
        <w:t>36</w:t>
      </w:r>
      <w:r w:rsidR="004E21D5">
        <w:rPr>
          <w:shd w:val="clear" w:color="auto" w:fill="FFFFFF"/>
        </w:rPr>
        <w:t xml:space="preserve">.8% et </w:t>
      </w:r>
      <w:r w:rsidR="00AD72D5">
        <w:rPr>
          <w:shd w:val="clear" w:color="auto" w:fill="FFFFFF"/>
        </w:rPr>
        <w:t>64.7</w:t>
      </w:r>
      <w:r w:rsidR="008B45A4">
        <w:rPr>
          <w:shd w:val="clear" w:color="auto" w:fill="FFFFFF"/>
        </w:rPr>
        <w:t xml:space="preserve">%. L’unité de communication participe également à l’élaboration / révision des newsletters des projets RSIE (Santé) et Ecofish (pêche). </w:t>
      </w:r>
    </w:p>
    <w:p w14:paraId="3BE4BF61" w14:textId="3107EDE4" w:rsidR="002C46BC" w:rsidRDefault="002C46BC" w:rsidP="002C56ED">
      <w:pPr>
        <w:pStyle w:val="Paragraphe"/>
        <w:rPr>
          <w:shd w:val="clear" w:color="auto" w:fill="FFFFFF"/>
        </w:rPr>
      </w:pPr>
      <w:r>
        <w:rPr>
          <w:shd w:val="clear" w:color="auto" w:fill="FFFFFF"/>
        </w:rPr>
        <w:t xml:space="preserve">Concernant la présence médiatique de la COI, on constate un </w:t>
      </w:r>
      <w:r w:rsidRPr="00C12F78">
        <w:rPr>
          <w:b/>
          <w:bCs/>
          <w:shd w:val="clear" w:color="auto" w:fill="FFFFFF"/>
        </w:rPr>
        <w:t>tassement des retombées presse</w:t>
      </w:r>
      <w:r w:rsidR="00505FF9">
        <w:rPr>
          <w:shd w:val="clear" w:color="auto" w:fill="FFFFFF"/>
        </w:rPr>
        <w:t xml:space="preserve"> </w:t>
      </w:r>
      <w:r w:rsidR="0021619F">
        <w:rPr>
          <w:shd w:val="clear" w:color="auto" w:fill="FFFFFF"/>
        </w:rPr>
        <w:t xml:space="preserve">soit 472 en 2021 contre </w:t>
      </w:r>
      <w:r w:rsidR="003F1487">
        <w:rPr>
          <w:shd w:val="clear" w:color="auto" w:fill="FFFFFF"/>
        </w:rPr>
        <w:t xml:space="preserve">607 en 2020. Cette baisse notable des retombées médiatiques est imputable principalement au ralentissement des activités présentielles organisées par la COI et ses projets. </w:t>
      </w:r>
      <w:r w:rsidR="003F1487" w:rsidRPr="00C12F78">
        <w:rPr>
          <w:b/>
          <w:bCs/>
          <w:shd w:val="clear" w:color="auto" w:fill="FFFFFF"/>
        </w:rPr>
        <w:t>Cependant, on note un</w:t>
      </w:r>
      <w:r w:rsidR="006B5E5A" w:rsidRPr="00C12F78">
        <w:rPr>
          <w:b/>
          <w:bCs/>
          <w:shd w:val="clear" w:color="auto" w:fill="FFFFFF"/>
        </w:rPr>
        <w:t>e</w:t>
      </w:r>
      <w:r w:rsidR="003F1487" w:rsidRPr="00C12F78">
        <w:rPr>
          <w:b/>
          <w:bCs/>
          <w:shd w:val="clear" w:color="auto" w:fill="FFFFFF"/>
        </w:rPr>
        <w:t xml:space="preserve"> amélioration de la qualité des retombées médiatiques</w:t>
      </w:r>
      <w:r w:rsidR="003F1487">
        <w:rPr>
          <w:shd w:val="clear" w:color="auto" w:fill="FFFFFF"/>
        </w:rPr>
        <w:t xml:space="preserve"> notamment grâce à une </w:t>
      </w:r>
      <w:r w:rsidR="00A25705">
        <w:rPr>
          <w:shd w:val="clear" w:color="auto" w:fill="FFFFFF"/>
        </w:rPr>
        <w:t xml:space="preserve">relation plus suivie avec certains médias, </w:t>
      </w:r>
      <w:r w:rsidR="00C12F78">
        <w:rPr>
          <w:shd w:val="clear" w:color="auto" w:fill="FFFFFF"/>
        </w:rPr>
        <w:t>notamment RFI/France24 et le</w:t>
      </w:r>
      <w:r w:rsidR="00A25705">
        <w:rPr>
          <w:shd w:val="clear" w:color="auto" w:fill="FFFFFF"/>
        </w:rPr>
        <w:t xml:space="preserve"> trimestriel « Magazine des archipels »</w:t>
      </w:r>
      <w:r w:rsidR="00B839C9">
        <w:rPr>
          <w:shd w:val="clear" w:color="auto" w:fill="FFFFFF"/>
        </w:rPr>
        <w:t xml:space="preserve"> (régional) qui assure une visibilité sur plusieurs pages de la COI à chaque numéro et met en perspective les actions de la COI. </w:t>
      </w:r>
      <w:r w:rsidR="006B5E5A">
        <w:rPr>
          <w:shd w:val="clear" w:color="auto" w:fill="FFFFFF"/>
        </w:rPr>
        <w:t>En outre, afin de mieux mesurer les retombées médiatiques sur la COI</w:t>
      </w:r>
      <w:r w:rsidR="006B5E5A" w:rsidRPr="00C12F78">
        <w:rPr>
          <w:b/>
          <w:bCs/>
          <w:shd w:val="clear" w:color="auto" w:fill="FFFFFF"/>
        </w:rPr>
        <w:t xml:space="preserve">, il est </w:t>
      </w:r>
      <w:r w:rsidR="00B40285" w:rsidRPr="00C12F78">
        <w:rPr>
          <w:b/>
          <w:bCs/>
          <w:shd w:val="clear" w:color="auto" w:fill="FFFFFF"/>
        </w:rPr>
        <w:t>proposé que les services presse des ministères des Affaires étrangères partagent à l’archiviste-documentaliste de la COI</w:t>
      </w:r>
      <w:r w:rsidR="00B40285">
        <w:rPr>
          <w:shd w:val="clear" w:color="auto" w:fill="FFFFFF"/>
        </w:rPr>
        <w:t xml:space="preserve"> (</w:t>
      </w:r>
      <w:r w:rsidR="00D6656D" w:rsidRPr="00D6656D">
        <w:rPr>
          <w:shd w:val="clear" w:color="auto" w:fill="FFFFFF"/>
        </w:rPr>
        <w:t xml:space="preserve">Ahmed Cheik ABOUBACAR </w:t>
      </w:r>
      <w:hyperlink r:id="rId8" w:history="1">
        <w:r w:rsidR="00D6656D" w:rsidRPr="009F0347">
          <w:rPr>
            <w:rStyle w:val="Lienhypertexte"/>
            <w:shd w:val="clear" w:color="auto" w:fill="FFFFFF"/>
          </w:rPr>
          <w:t>aboubacar.ahmed@coi-ioc.org</w:t>
        </w:r>
      </w:hyperlink>
      <w:r w:rsidR="00D6656D">
        <w:rPr>
          <w:shd w:val="clear" w:color="auto" w:fill="FFFFFF"/>
        </w:rPr>
        <w:t xml:space="preserve">) les revues de presse réalisée. </w:t>
      </w:r>
    </w:p>
    <w:p w14:paraId="5B78B5E5" w14:textId="183DFE93" w:rsidR="008B45A4" w:rsidRDefault="008B45A4" w:rsidP="002C56ED">
      <w:pPr>
        <w:pStyle w:val="Paragraphe"/>
        <w:rPr>
          <w:shd w:val="clear" w:color="auto" w:fill="FFFFFF"/>
        </w:rPr>
      </w:pPr>
      <w:r>
        <w:rPr>
          <w:shd w:val="clear" w:color="auto" w:fill="FFFFFF"/>
        </w:rPr>
        <w:t xml:space="preserve">Pour </w:t>
      </w:r>
      <w:r w:rsidR="00531F04">
        <w:rPr>
          <w:shd w:val="clear" w:color="auto" w:fill="FFFFFF"/>
        </w:rPr>
        <w:t xml:space="preserve">marquer la journée régionale de l’économie bleue le 17 juillet 2021, l’unité de communication a organisé un </w:t>
      </w:r>
      <w:r w:rsidR="00531F04" w:rsidRPr="00C12F78">
        <w:rPr>
          <w:b/>
          <w:bCs/>
          <w:shd w:val="clear" w:color="auto" w:fill="FFFFFF"/>
        </w:rPr>
        <w:t>webinaire sur les métiers de l’économie bleue</w:t>
      </w:r>
      <w:r w:rsidR="00531F04">
        <w:rPr>
          <w:shd w:val="clear" w:color="auto" w:fill="FFFFFF"/>
        </w:rPr>
        <w:t xml:space="preserve"> qui a rencontré un vif succès. </w:t>
      </w:r>
      <w:r w:rsidR="00531F04" w:rsidRPr="00C12F78">
        <w:rPr>
          <w:b/>
          <w:bCs/>
          <w:shd w:val="clear" w:color="auto" w:fill="FFFFFF"/>
        </w:rPr>
        <w:t>Ce type d’action</w:t>
      </w:r>
      <w:r w:rsidR="003A4D77" w:rsidRPr="00C12F78">
        <w:rPr>
          <w:b/>
          <w:bCs/>
          <w:shd w:val="clear" w:color="auto" w:fill="FFFFFF"/>
        </w:rPr>
        <w:t xml:space="preserve"> devrait être réédité</w:t>
      </w:r>
      <w:r w:rsidR="003A4D77">
        <w:rPr>
          <w:shd w:val="clear" w:color="auto" w:fill="FFFFFF"/>
        </w:rPr>
        <w:t xml:space="preserve"> tenant compte (i) de la disponibilité de ressources (prestation de</w:t>
      </w:r>
      <w:r w:rsidR="0090605B">
        <w:rPr>
          <w:shd w:val="clear" w:color="auto" w:fill="FFFFFF"/>
        </w:rPr>
        <w:t xml:space="preserve"> visioconférence) et (ii) du temps nécessaire à l’élaboration du concept et à l’organisation</w:t>
      </w:r>
      <w:r w:rsidR="002C46BC">
        <w:rPr>
          <w:shd w:val="clear" w:color="auto" w:fill="FFFFFF"/>
        </w:rPr>
        <w:t xml:space="preserve"> d’un tel événement. </w:t>
      </w:r>
    </w:p>
    <w:p w14:paraId="63AFADF7" w14:textId="47D4728A" w:rsidR="002C46BC" w:rsidRDefault="00D67CAD" w:rsidP="002C56ED">
      <w:pPr>
        <w:pStyle w:val="Paragraphe"/>
        <w:rPr>
          <w:shd w:val="clear" w:color="auto" w:fill="FFFFFF"/>
        </w:rPr>
      </w:pPr>
      <w:r>
        <w:rPr>
          <w:shd w:val="clear" w:color="auto" w:fill="FFFFFF"/>
        </w:rPr>
        <w:lastRenderedPageBreak/>
        <w:t>Par ailleurs, l</w:t>
      </w:r>
      <w:r w:rsidR="00897294">
        <w:rPr>
          <w:shd w:val="clear" w:color="auto" w:fill="FFFFFF"/>
        </w:rPr>
        <w:t>’unité de communication a</w:t>
      </w:r>
      <w:r>
        <w:rPr>
          <w:shd w:val="clear" w:color="auto" w:fill="FFFFFF"/>
        </w:rPr>
        <w:t>, entre autres,</w:t>
      </w:r>
      <w:r w:rsidR="00897294">
        <w:rPr>
          <w:shd w:val="clear" w:color="auto" w:fill="FFFFFF"/>
        </w:rPr>
        <w:t xml:space="preserve"> : </w:t>
      </w:r>
    </w:p>
    <w:p w14:paraId="49DA9620" w14:textId="4F512F8C" w:rsidR="007D347F" w:rsidRPr="00EC38FB" w:rsidRDefault="007D347F" w:rsidP="00C12F78">
      <w:pPr>
        <w:pStyle w:val="Paragraphe"/>
        <w:numPr>
          <w:ilvl w:val="0"/>
          <w:numId w:val="10"/>
        </w:numPr>
        <w:ind w:left="714" w:hanging="357"/>
        <w:contextualSpacing/>
        <w:rPr>
          <w:shd w:val="clear" w:color="auto" w:fill="FFFFFF"/>
        </w:rPr>
      </w:pPr>
      <w:r>
        <w:rPr>
          <w:shd w:val="clear" w:color="auto" w:fill="FFFFFF"/>
        </w:rPr>
        <w:t>Rédigé, en plus des contenus de communication attendus, les projets de discours du Secrétaire général</w:t>
      </w:r>
      <w:r w:rsidR="00EC38FB">
        <w:rPr>
          <w:shd w:val="clear" w:color="auto" w:fill="FFFFFF"/>
        </w:rPr>
        <w:t>, des projets de préface ou messages, et</w:t>
      </w:r>
      <w:r>
        <w:rPr>
          <w:shd w:val="clear" w:color="auto" w:fill="FFFFFF"/>
        </w:rPr>
        <w:t xml:space="preserve"> </w:t>
      </w:r>
      <w:r w:rsidR="00EC38FB">
        <w:rPr>
          <w:shd w:val="clear" w:color="auto" w:fill="FFFFFF"/>
        </w:rPr>
        <w:t xml:space="preserve">les projets de réponse aux interviews ; </w:t>
      </w:r>
    </w:p>
    <w:p w14:paraId="6C62194D" w14:textId="1F7E42EF" w:rsidR="00897294" w:rsidRDefault="00897294" w:rsidP="00C12F78">
      <w:pPr>
        <w:pStyle w:val="Paragraphe"/>
        <w:numPr>
          <w:ilvl w:val="0"/>
          <w:numId w:val="10"/>
        </w:numPr>
        <w:ind w:left="714" w:hanging="357"/>
        <w:contextualSpacing/>
        <w:rPr>
          <w:shd w:val="clear" w:color="auto" w:fill="FFFFFF"/>
        </w:rPr>
      </w:pPr>
      <w:r>
        <w:rPr>
          <w:shd w:val="clear" w:color="auto" w:fill="FFFFFF"/>
        </w:rPr>
        <w:t xml:space="preserve">Suivi la mise en œuvre du concours ePOP porté par </w:t>
      </w:r>
      <w:r w:rsidR="00635303">
        <w:rPr>
          <w:shd w:val="clear" w:color="auto" w:fill="FFFFFF"/>
        </w:rPr>
        <w:t xml:space="preserve">RFI Planète Radio et l’IRD. Ce concours, qui a vu le sacre d’un jeune réalisateur de Madagascar, a offert une visibilité à l’international à la COI ; </w:t>
      </w:r>
    </w:p>
    <w:p w14:paraId="2FBFCE58" w14:textId="3CE7D030" w:rsidR="00635303" w:rsidRDefault="00635303" w:rsidP="00C12F78">
      <w:pPr>
        <w:pStyle w:val="Paragraphe"/>
        <w:numPr>
          <w:ilvl w:val="0"/>
          <w:numId w:val="10"/>
        </w:numPr>
        <w:ind w:left="714" w:hanging="357"/>
        <w:contextualSpacing/>
        <w:rPr>
          <w:shd w:val="clear" w:color="auto" w:fill="FFFFFF"/>
        </w:rPr>
      </w:pPr>
      <w:r>
        <w:rPr>
          <w:shd w:val="clear" w:color="auto" w:fill="FFFFFF"/>
        </w:rPr>
        <w:t>Mis en œuvre le concours photo « les îles face au défi climatique » dans le cadre du projet GCCA+</w:t>
      </w:r>
      <w:r w:rsidR="008E59EA">
        <w:rPr>
          <w:shd w:val="clear" w:color="auto" w:fill="FFFFFF"/>
        </w:rPr>
        <w:t xml:space="preserve">. L’unité de communication est actuellement engagée dans la phase finale de la production du livre. </w:t>
      </w:r>
    </w:p>
    <w:p w14:paraId="242A87DF" w14:textId="061B7546" w:rsidR="008E59EA" w:rsidRDefault="00733057" w:rsidP="00C12F78">
      <w:pPr>
        <w:pStyle w:val="Paragraphe"/>
        <w:numPr>
          <w:ilvl w:val="0"/>
          <w:numId w:val="10"/>
        </w:numPr>
        <w:ind w:left="714" w:hanging="357"/>
        <w:contextualSpacing/>
        <w:rPr>
          <w:shd w:val="clear" w:color="auto" w:fill="FFFFFF"/>
        </w:rPr>
      </w:pPr>
      <w:r>
        <w:rPr>
          <w:shd w:val="clear" w:color="auto" w:fill="FFFFFF"/>
        </w:rPr>
        <w:t>Mis en oeuvre</w:t>
      </w:r>
      <w:r w:rsidR="00694281">
        <w:rPr>
          <w:shd w:val="clear" w:color="auto" w:fill="FFFFFF"/>
        </w:rPr>
        <w:t xml:space="preserve"> la communication du prix Indianocéanie 2021 ; </w:t>
      </w:r>
    </w:p>
    <w:p w14:paraId="19F7C7DD" w14:textId="4283E8CE" w:rsidR="00694281" w:rsidRDefault="00733057" w:rsidP="00C12F78">
      <w:pPr>
        <w:pStyle w:val="Paragraphe"/>
        <w:numPr>
          <w:ilvl w:val="0"/>
          <w:numId w:val="10"/>
        </w:numPr>
        <w:ind w:left="714" w:hanging="357"/>
        <w:contextualSpacing/>
        <w:rPr>
          <w:shd w:val="clear" w:color="auto" w:fill="FFFFFF"/>
        </w:rPr>
      </w:pPr>
      <w:r>
        <w:rPr>
          <w:shd w:val="clear" w:color="auto" w:fill="FFFFFF"/>
        </w:rPr>
        <w:t>Appuy</w:t>
      </w:r>
      <w:r w:rsidR="000A0405">
        <w:rPr>
          <w:shd w:val="clear" w:color="auto" w:fill="FFFFFF"/>
        </w:rPr>
        <w:t>é</w:t>
      </w:r>
      <w:r>
        <w:rPr>
          <w:shd w:val="clear" w:color="auto" w:fill="FFFFFF"/>
        </w:rPr>
        <w:t xml:space="preserve"> l’organisation des instances décisionnelles de la COI (organisation, </w:t>
      </w:r>
      <w:r w:rsidR="00083E8E">
        <w:rPr>
          <w:shd w:val="clear" w:color="auto" w:fill="FFFFFF"/>
        </w:rPr>
        <w:t>préparation des dossiers et des fiches, animation des cérémonies officielles, coordination des séquences, communication)</w:t>
      </w:r>
      <w:r>
        <w:rPr>
          <w:shd w:val="clear" w:color="auto" w:fill="FFFFFF"/>
        </w:rPr>
        <w:t> ;</w:t>
      </w:r>
    </w:p>
    <w:p w14:paraId="15EABE7A" w14:textId="77777777" w:rsidR="000A0405" w:rsidRDefault="000A0405" w:rsidP="00C12F78">
      <w:pPr>
        <w:pStyle w:val="Paragraphe"/>
        <w:numPr>
          <w:ilvl w:val="0"/>
          <w:numId w:val="10"/>
        </w:numPr>
        <w:ind w:left="714" w:hanging="357"/>
        <w:contextualSpacing/>
        <w:rPr>
          <w:shd w:val="clear" w:color="auto" w:fill="FFFFFF"/>
        </w:rPr>
      </w:pPr>
      <w:r>
        <w:rPr>
          <w:shd w:val="clear" w:color="auto" w:fill="FFFFFF"/>
        </w:rPr>
        <w:t>Révisé les plans ou appuyé la mise en œuvre des activités de communication des projets (projets santé, MASE, Ecofish…)</w:t>
      </w:r>
    </w:p>
    <w:p w14:paraId="6E37926B" w14:textId="20C62F4E" w:rsidR="000A0405" w:rsidRDefault="00D67CAD" w:rsidP="00C12F78">
      <w:pPr>
        <w:pStyle w:val="Paragraphe"/>
        <w:numPr>
          <w:ilvl w:val="0"/>
          <w:numId w:val="10"/>
        </w:numPr>
        <w:ind w:left="714" w:hanging="357"/>
        <w:contextualSpacing/>
        <w:rPr>
          <w:shd w:val="clear" w:color="auto" w:fill="FFFFFF"/>
        </w:rPr>
      </w:pPr>
      <w:r>
        <w:rPr>
          <w:shd w:val="clear" w:color="auto" w:fill="FFFFFF"/>
        </w:rPr>
        <w:t>Soutenu la mise en œuvre d’activités de communication interne avec la direction, les ressources humaines et le comité Ziloi.</w:t>
      </w:r>
      <w:r w:rsidR="000A0405">
        <w:rPr>
          <w:shd w:val="clear" w:color="auto" w:fill="FFFFFF"/>
        </w:rPr>
        <w:t xml:space="preserve">  </w:t>
      </w:r>
    </w:p>
    <w:p w14:paraId="004F8498" w14:textId="7F3EDBFB" w:rsidR="00955BB3" w:rsidRPr="000E5684" w:rsidRDefault="00955BB3" w:rsidP="00D67CAD">
      <w:pPr>
        <w:jc w:val="both"/>
        <w:rPr>
          <w:rFonts w:ascii="Verdana" w:hAnsi="Verdana" w:cs="Calibri"/>
          <w:sz w:val="8"/>
          <w:szCs w:val="8"/>
        </w:rPr>
      </w:pPr>
    </w:p>
    <w:p w14:paraId="2F7F5914" w14:textId="41B74440" w:rsidR="00955BB3" w:rsidRPr="0008468B" w:rsidRDefault="00FB6415" w:rsidP="00A70123">
      <w:pPr>
        <w:pStyle w:val="Titrepartie"/>
      </w:pPr>
      <w:r>
        <w:t>Perspectives</w:t>
      </w:r>
    </w:p>
    <w:p w14:paraId="2065BA0D" w14:textId="77777777" w:rsidR="00435D74" w:rsidRDefault="00435D74" w:rsidP="00435D74">
      <w:pPr>
        <w:pStyle w:val="Paragraphe"/>
        <w:numPr>
          <w:ilvl w:val="0"/>
          <w:numId w:val="10"/>
        </w:numPr>
      </w:pPr>
      <w:r w:rsidRPr="00C12F78">
        <w:rPr>
          <w:b/>
          <w:bCs/>
        </w:rPr>
        <w:t>Renforcer l’équipe de communication</w:t>
      </w:r>
      <w:r>
        <w:t xml:space="preserve"> : mutualisation des ressources humaines des projets et nouvelles mises à disposition ; </w:t>
      </w:r>
    </w:p>
    <w:p w14:paraId="34C02E7E" w14:textId="13B87C4D" w:rsidR="00435D74" w:rsidRDefault="00435D74" w:rsidP="00676184">
      <w:pPr>
        <w:pStyle w:val="Paragraphe"/>
        <w:numPr>
          <w:ilvl w:val="0"/>
          <w:numId w:val="10"/>
        </w:numPr>
      </w:pPr>
      <w:r w:rsidRPr="00C12F78">
        <w:rPr>
          <w:b/>
          <w:bCs/>
        </w:rPr>
        <w:t>Evaluer la mise en œuvre de la stratégie</w:t>
      </w:r>
      <w:r>
        <w:t xml:space="preserve"> de communication 2018-2022 et </w:t>
      </w:r>
      <w:r w:rsidRPr="00C12F78">
        <w:rPr>
          <w:b/>
          <w:bCs/>
        </w:rPr>
        <w:t>lancer l’élaboration d’une nouvelle stratégie</w:t>
      </w:r>
      <w:r>
        <w:t xml:space="preserve"> en phase avec le PDS ;</w:t>
      </w:r>
    </w:p>
    <w:p w14:paraId="0A206295" w14:textId="085EB7DC" w:rsidR="00A76B07" w:rsidRDefault="00676184" w:rsidP="00676184">
      <w:pPr>
        <w:pStyle w:val="Paragraphe"/>
        <w:numPr>
          <w:ilvl w:val="0"/>
          <w:numId w:val="10"/>
        </w:numPr>
      </w:pPr>
      <w:r w:rsidRPr="00C12F78">
        <w:rPr>
          <w:b/>
          <w:bCs/>
        </w:rPr>
        <w:t>Poursuivre le renforcement de la communication digitale</w:t>
      </w:r>
      <w:r>
        <w:t xml:space="preserve"> avec une augmentation globale de </w:t>
      </w:r>
      <w:r w:rsidR="001D3E8F">
        <w:t xml:space="preserve">+15% des indicateurs de suivi et l’ouverture d’un nouveau réseau social (Instagram) ; </w:t>
      </w:r>
    </w:p>
    <w:p w14:paraId="71112CF7" w14:textId="3D402F5C" w:rsidR="001D3E8F" w:rsidRDefault="001D3E8F" w:rsidP="00676184">
      <w:pPr>
        <w:pStyle w:val="Paragraphe"/>
        <w:numPr>
          <w:ilvl w:val="0"/>
          <w:numId w:val="10"/>
        </w:numPr>
      </w:pPr>
      <w:r w:rsidRPr="00C12F78">
        <w:rPr>
          <w:b/>
          <w:bCs/>
        </w:rPr>
        <w:t>Renforcer la présence médiatique</w:t>
      </w:r>
      <w:r>
        <w:t xml:space="preserve"> avec une </w:t>
      </w:r>
      <w:r w:rsidR="001B7BF5">
        <w:t xml:space="preserve">augmentation des retombées médiatiques comparativement à 2021 ; </w:t>
      </w:r>
    </w:p>
    <w:p w14:paraId="6265A420" w14:textId="25A115FC" w:rsidR="001B7BF5" w:rsidRDefault="001B7BF5" w:rsidP="00676184">
      <w:pPr>
        <w:pStyle w:val="Paragraphe"/>
        <w:numPr>
          <w:ilvl w:val="0"/>
          <w:numId w:val="10"/>
        </w:numPr>
      </w:pPr>
      <w:r>
        <w:t xml:space="preserve">Mettre en ligne une </w:t>
      </w:r>
      <w:r w:rsidRPr="00C12F78">
        <w:rPr>
          <w:b/>
          <w:bCs/>
        </w:rPr>
        <w:t>version anglaise du site</w:t>
      </w:r>
      <w:r>
        <w:t xml:space="preserve"> Internet</w:t>
      </w:r>
      <w:r w:rsidR="001B4184">
        <w:t xml:space="preserve"> ; </w:t>
      </w:r>
    </w:p>
    <w:p w14:paraId="1F7B7BF1" w14:textId="42840CF3" w:rsidR="00435D74" w:rsidRDefault="00435D74" w:rsidP="00676184">
      <w:pPr>
        <w:pStyle w:val="Paragraphe"/>
        <w:numPr>
          <w:ilvl w:val="0"/>
          <w:numId w:val="10"/>
        </w:numPr>
      </w:pPr>
      <w:r>
        <w:t xml:space="preserve">Organiser au moins </w:t>
      </w:r>
      <w:r w:rsidRPr="00C12F78">
        <w:rPr>
          <w:b/>
          <w:bCs/>
        </w:rPr>
        <w:t>1 évènement en distanciel sous le format du webinaire</w:t>
      </w:r>
      <w:r>
        <w:t xml:space="preserve"> du 17/07/2021 ;</w:t>
      </w:r>
    </w:p>
    <w:p w14:paraId="4B6F7305" w14:textId="5EF18D3C" w:rsidR="00435D74" w:rsidRPr="00676184" w:rsidRDefault="00435D74" w:rsidP="00676184">
      <w:pPr>
        <w:pStyle w:val="Paragraphe"/>
        <w:numPr>
          <w:ilvl w:val="0"/>
          <w:numId w:val="10"/>
        </w:numPr>
      </w:pPr>
      <w:r>
        <w:t xml:space="preserve">Suivre la mise en œuvre des </w:t>
      </w:r>
      <w:r w:rsidRPr="00C12F78">
        <w:rPr>
          <w:b/>
          <w:bCs/>
        </w:rPr>
        <w:t>événements de visibilité COI-UE</w:t>
      </w:r>
      <w:r>
        <w:t xml:space="preserve"> par la Délégation de l’Union européenne.</w:t>
      </w:r>
      <w:bookmarkEnd w:id="0"/>
    </w:p>
    <w:sectPr w:rsidR="00435D74" w:rsidRPr="00676184" w:rsidSect="00C12F78">
      <w:headerReference w:type="default" r:id="rId9"/>
      <w:footerReference w:type="default" r:id="rId10"/>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3111" w14:textId="77777777" w:rsidR="00FB58AB" w:rsidRDefault="00FB58AB">
      <w:pPr>
        <w:spacing w:after="0" w:line="240" w:lineRule="auto"/>
      </w:pPr>
      <w:r>
        <w:separator/>
      </w:r>
    </w:p>
  </w:endnote>
  <w:endnote w:type="continuationSeparator" w:id="0">
    <w:p w14:paraId="5321D308" w14:textId="77777777" w:rsidR="00FB58AB" w:rsidRDefault="00FB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3938" w14:textId="77777777" w:rsidR="00FB58AB" w:rsidRDefault="00FB58AB">
      <w:pPr>
        <w:spacing w:after="0" w:line="240" w:lineRule="auto"/>
      </w:pPr>
      <w:r>
        <w:separator/>
      </w:r>
    </w:p>
  </w:footnote>
  <w:footnote w:type="continuationSeparator" w:id="0">
    <w:p w14:paraId="2C4E8F84" w14:textId="77777777" w:rsidR="00FB58AB" w:rsidRDefault="00FB58AB">
      <w:pPr>
        <w:spacing w:after="0" w:line="240" w:lineRule="auto"/>
      </w:pPr>
      <w:r>
        <w:continuationSeparator/>
      </w:r>
    </w:p>
  </w:footnote>
  <w:footnote w:id="1">
    <w:p w14:paraId="02003404" w14:textId="4A4ADDD7" w:rsidR="001E4641" w:rsidRDefault="001E4641">
      <w:pPr>
        <w:pStyle w:val="Notedebasdepage"/>
      </w:pPr>
      <w:r>
        <w:rPr>
          <w:rStyle w:val="Appelnotedebasdep"/>
        </w:rPr>
        <w:footnoteRef/>
      </w:r>
      <w:r>
        <w:t xml:space="preserve"> Nombre de personnes qui voyant s’afficher naturellement les publications de la COI dans leur fil d’actualité. Aucune dépense n’est engagée sur les publications.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69AF4566"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473567">
      <w:rPr>
        <w:rFonts w:ascii="Verdana" w:hAnsi="Verdana"/>
        <w:b/>
        <w:bCs/>
        <w:sz w:val="20"/>
        <w:szCs w:val="20"/>
      </w:rPr>
      <w:t>4.</w:t>
    </w:r>
    <w:r w:rsidR="0078177F">
      <w:rPr>
        <w:rFonts w:ascii="Verdana" w:hAnsi="Verdana"/>
        <w:b/>
        <w:bCs/>
        <w:sz w:val="20"/>
        <w:szCs w:val="20"/>
      </w:rPr>
      <w:t>3</w:t>
    </w:r>
    <w:r w:rsidR="00473567">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3"/>
  </w:num>
  <w:num w:numId="7">
    <w:abstractNumId w:val="5"/>
  </w:num>
  <w:num w:numId="8">
    <w:abstractNumId w:val="2"/>
    <w:lvlOverride w:ilvl="0">
      <w:startOverride w:val="1"/>
    </w:lvlOverride>
  </w:num>
  <w:num w:numId="9">
    <w:abstractNumId w:val="1"/>
  </w:num>
  <w:num w:numId="10">
    <w:abstractNumId w:val="8"/>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3E8E"/>
    <w:rsid w:val="0008468B"/>
    <w:rsid w:val="000A0405"/>
    <w:rsid w:val="000A468A"/>
    <w:rsid w:val="000B0FBD"/>
    <w:rsid w:val="000B3FD2"/>
    <w:rsid w:val="000E5684"/>
    <w:rsid w:val="000F4728"/>
    <w:rsid w:val="00107D9D"/>
    <w:rsid w:val="001556F0"/>
    <w:rsid w:val="0017619D"/>
    <w:rsid w:val="0018252D"/>
    <w:rsid w:val="00193C00"/>
    <w:rsid w:val="001A56F1"/>
    <w:rsid w:val="001B4184"/>
    <w:rsid w:val="001B4738"/>
    <w:rsid w:val="001B7BF5"/>
    <w:rsid w:val="001D3E8F"/>
    <w:rsid w:val="001E4641"/>
    <w:rsid w:val="0021619F"/>
    <w:rsid w:val="00217CA4"/>
    <w:rsid w:val="0025312D"/>
    <w:rsid w:val="002A0933"/>
    <w:rsid w:val="002A096E"/>
    <w:rsid w:val="002C46BC"/>
    <w:rsid w:val="002C56ED"/>
    <w:rsid w:val="003405FD"/>
    <w:rsid w:val="003604B9"/>
    <w:rsid w:val="00361AE4"/>
    <w:rsid w:val="003772FB"/>
    <w:rsid w:val="00391152"/>
    <w:rsid w:val="0039505B"/>
    <w:rsid w:val="003A4D77"/>
    <w:rsid w:val="003C2538"/>
    <w:rsid w:val="003D485F"/>
    <w:rsid w:val="003D5328"/>
    <w:rsid w:val="003F1487"/>
    <w:rsid w:val="0041278C"/>
    <w:rsid w:val="00417683"/>
    <w:rsid w:val="00426673"/>
    <w:rsid w:val="00435D74"/>
    <w:rsid w:val="004607F7"/>
    <w:rsid w:val="00473567"/>
    <w:rsid w:val="004A5B55"/>
    <w:rsid w:val="004E21D5"/>
    <w:rsid w:val="004F5C4B"/>
    <w:rsid w:val="00505FF9"/>
    <w:rsid w:val="00511866"/>
    <w:rsid w:val="00531F04"/>
    <w:rsid w:val="0053773D"/>
    <w:rsid w:val="00560B6E"/>
    <w:rsid w:val="00580168"/>
    <w:rsid w:val="00620B90"/>
    <w:rsid w:val="00635303"/>
    <w:rsid w:val="006356AF"/>
    <w:rsid w:val="006548BF"/>
    <w:rsid w:val="00660504"/>
    <w:rsid w:val="00676184"/>
    <w:rsid w:val="00694281"/>
    <w:rsid w:val="006B5E5A"/>
    <w:rsid w:val="006E2D9E"/>
    <w:rsid w:val="006F108F"/>
    <w:rsid w:val="00733057"/>
    <w:rsid w:val="0078177F"/>
    <w:rsid w:val="007B245C"/>
    <w:rsid w:val="007C78FC"/>
    <w:rsid w:val="007D347F"/>
    <w:rsid w:val="00814D2D"/>
    <w:rsid w:val="00816DAC"/>
    <w:rsid w:val="0083290E"/>
    <w:rsid w:val="00843FF2"/>
    <w:rsid w:val="008453AB"/>
    <w:rsid w:val="0085088F"/>
    <w:rsid w:val="00854EEA"/>
    <w:rsid w:val="008551DA"/>
    <w:rsid w:val="00897294"/>
    <w:rsid w:val="008B45A4"/>
    <w:rsid w:val="008B5158"/>
    <w:rsid w:val="008D193F"/>
    <w:rsid w:val="008E547F"/>
    <w:rsid w:val="008E59EA"/>
    <w:rsid w:val="008F173C"/>
    <w:rsid w:val="008F577B"/>
    <w:rsid w:val="0090605B"/>
    <w:rsid w:val="00920501"/>
    <w:rsid w:val="00955BB3"/>
    <w:rsid w:val="009A38AD"/>
    <w:rsid w:val="00A148A1"/>
    <w:rsid w:val="00A25705"/>
    <w:rsid w:val="00A36C09"/>
    <w:rsid w:val="00A37C9F"/>
    <w:rsid w:val="00A651FA"/>
    <w:rsid w:val="00A70123"/>
    <w:rsid w:val="00A76B07"/>
    <w:rsid w:val="00A81B98"/>
    <w:rsid w:val="00A90305"/>
    <w:rsid w:val="00AA63A3"/>
    <w:rsid w:val="00AB5EB7"/>
    <w:rsid w:val="00AD4D97"/>
    <w:rsid w:val="00AD72D5"/>
    <w:rsid w:val="00AE2453"/>
    <w:rsid w:val="00B05DFC"/>
    <w:rsid w:val="00B36EEA"/>
    <w:rsid w:val="00B40285"/>
    <w:rsid w:val="00B4521E"/>
    <w:rsid w:val="00B834DF"/>
    <w:rsid w:val="00B839C9"/>
    <w:rsid w:val="00BA4B55"/>
    <w:rsid w:val="00C1263F"/>
    <w:rsid w:val="00C12C93"/>
    <w:rsid w:val="00C12F78"/>
    <w:rsid w:val="00C325F5"/>
    <w:rsid w:val="00C457E8"/>
    <w:rsid w:val="00C5502E"/>
    <w:rsid w:val="00C609B9"/>
    <w:rsid w:val="00CE2386"/>
    <w:rsid w:val="00CF2F91"/>
    <w:rsid w:val="00CF5DE1"/>
    <w:rsid w:val="00D03AA0"/>
    <w:rsid w:val="00D6656D"/>
    <w:rsid w:val="00D67CAD"/>
    <w:rsid w:val="00E2620A"/>
    <w:rsid w:val="00E32408"/>
    <w:rsid w:val="00E845D4"/>
    <w:rsid w:val="00EC22CC"/>
    <w:rsid w:val="00EC38FB"/>
    <w:rsid w:val="00ED3D0E"/>
    <w:rsid w:val="00ED6B69"/>
    <w:rsid w:val="00EE34F4"/>
    <w:rsid w:val="00EF22A4"/>
    <w:rsid w:val="00F54EA0"/>
    <w:rsid w:val="00F96EE9"/>
    <w:rsid w:val="00FB58AB"/>
    <w:rsid w:val="00FB6415"/>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ubacar.ahmed@coi-io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1232</Words>
  <Characters>6778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65</cp:revision>
  <dcterms:created xsi:type="dcterms:W3CDTF">2022-01-17T12:34:00Z</dcterms:created>
  <dcterms:modified xsi:type="dcterms:W3CDTF">2022-01-20T12:30:00Z</dcterms:modified>
</cp:coreProperties>
</file>