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BBF3269" w:rsidR="00EC22CC" w:rsidRDefault="00936084" w:rsidP="00854EEA">
            <w:pPr>
              <w:jc w:val="center"/>
              <w:rPr>
                <w:rFonts w:ascii="Verdana" w:hAnsi="Verdana"/>
                <w:b/>
                <w:bCs/>
                <w:sz w:val="20"/>
                <w:szCs w:val="20"/>
              </w:rPr>
            </w:pPr>
            <w:r>
              <w:rPr>
                <w:rFonts w:ascii="Verdana" w:hAnsi="Verdana"/>
                <w:b/>
                <w:bCs/>
              </w:rPr>
              <w:t>Culture</w:t>
            </w:r>
          </w:p>
        </w:tc>
      </w:tr>
      <w:tr w:rsidR="00EC22CC" w14:paraId="7F1B63D2" w14:textId="77777777" w:rsidTr="002A0933">
        <w:tc>
          <w:tcPr>
            <w:tcW w:w="7225" w:type="dxa"/>
          </w:tcPr>
          <w:p w14:paraId="056D9B10" w14:textId="72293ACF" w:rsidR="00EC22CC" w:rsidRPr="002A096E" w:rsidRDefault="00A5532C" w:rsidP="002A096E">
            <w:pPr>
              <w:rPr>
                <w:rFonts w:ascii="Verdana" w:hAnsi="Verdana"/>
                <w:sz w:val="20"/>
                <w:szCs w:val="20"/>
              </w:rPr>
            </w:pPr>
            <w:r>
              <w:rPr>
                <w:rFonts w:ascii="Verdana" w:hAnsi="Verdana"/>
                <w:sz w:val="20"/>
                <w:szCs w:val="20"/>
              </w:rPr>
              <w:t>Comité des OPL préparatoire au 36</w:t>
            </w:r>
            <w:r w:rsidRPr="00A5532C">
              <w:rPr>
                <w:rFonts w:ascii="Verdana" w:hAnsi="Verdana"/>
                <w:sz w:val="20"/>
                <w:szCs w:val="20"/>
                <w:vertAlign w:val="superscript"/>
              </w:rPr>
              <w:t>e</w:t>
            </w:r>
            <w:r>
              <w:rPr>
                <w:rFonts w:ascii="Verdana" w:hAnsi="Verdana"/>
                <w:sz w:val="20"/>
                <w:szCs w:val="20"/>
              </w:rPr>
              <w:t xml:space="preserve"> Conseil des ministres | 8-9 février 2022</w:t>
            </w:r>
          </w:p>
        </w:tc>
        <w:tc>
          <w:tcPr>
            <w:tcW w:w="1837" w:type="dxa"/>
          </w:tcPr>
          <w:p w14:paraId="58E25D1F" w14:textId="0A317BC2"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936084" w:rsidRPr="00936084">
              <w:rPr>
                <w:rFonts w:ascii="Verdana" w:hAnsi="Verdana"/>
                <w:sz w:val="20"/>
                <w:szCs w:val="20"/>
              </w:rPr>
              <w:t>3.</w:t>
            </w:r>
            <w:r w:rsidR="004E3ED6">
              <w:rPr>
                <w:rFonts w:ascii="Verdana" w:hAnsi="Verdana"/>
                <w:sz w:val="20"/>
                <w:szCs w:val="20"/>
              </w:rPr>
              <w:t>6</w:t>
            </w:r>
          </w:p>
        </w:tc>
      </w:tr>
      <w:tr w:rsidR="00EC22CC" w14:paraId="537D1DE5" w14:textId="77777777" w:rsidTr="002A0933">
        <w:tc>
          <w:tcPr>
            <w:tcW w:w="7225" w:type="dxa"/>
          </w:tcPr>
          <w:p w14:paraId="43DEF09E" w14:textId="5970E29C"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936084">
              <w:rPr>
                <w:rFonts w:ascii="Verdana" w:hAnsi="Verdana"/>
                <w:sz w:val="20"/>
                <w:szCs w:val="20"/>
              </w:rPr>
              <w:t xml:space="preserve">Gilles Ribouet, responsable de la communication </w:t>
            </w:r>
          </w:p>
        </w:tc>
        <w:tc>
          <w:tcPr>
            <w:tcW w:w="1837" w:type="dxa"/>
          </w:tcPr>
          <w:p w14:paraId="5AC1AFAB" w14:textId="097773B3" w:rsidR="00EC22CC" w:rsidRPr="002A0933" w:rsidRDefault="004607F7" w:rsidP="00854EEA">
            <w:pPr>
              <w:jc w:val="center"/>
              <w:rPr>
                <w:rFonts w:ascii="Verdana" w:hAnsi="Verdana"/>
                <w:sz w:val="20"/>
                <w:szCs w:val="20"/>
              </w:rPr>
            </w:pPr>
            <w:r w:rsidRPr="00936084">
              <w:rPr>
                <w:rFonts w:ascii="Verdana" w:hAnsi="Verdana"/>
                <w:sz w:val="20"/>
                <w:szCs w:val="20"/>
              </w:rPr>
              <w:t>Décision</w:t>
            </w:r>
          </w:p>
        </w:tc>
      </w:tr>
      <w:tr w:rsidR="00A90305" w14:paraId="6896DB30" w14:textId="77777777" w:rsidTr="009F5233">
        <w:tc>
          <w:tcPr>
            <w:tcW w:w="9062" w:type="dxa"/>
            <w:gridSpan w:val="2"/>
          </w:tcPr>
          <w:p w14:paraId="0495241B" w14:textId="22511945" w:rsidR="00A90305" w:rsidRDefault="00A90305" w:rsidP="00A90305">
            <w:pPr>
              <w:rPr>
                <w:rFonts w:ascii="Verdana" w:hAnsi="Verdana"/>
                <w:sz w:val="20"/>
                <w:szCs w:val="20"/>
              </w:rPr>
            </w:pPr>
            <w:r>
              <w:rPr>
                <w:rFonts w:ascii="Verdana" w:hAnsi="Verdana"/>
                <w:i/>
                <w:iCs/>
                <w:sz w:val="20"/>
                <w:szCs w:val="20"/>
              </w:rPr>
              <w:t xml:space="preserve">Version du </w:t>
            </w:r>
            <w:r w:rsidR="00936084">
              <w:rPr>
                <w:rFonts w:ascii="Verdana" w:hAnsi="Verdana"/>
                <w:i/>
                <w:iCs/>
                <w:sz w:val="20"/>
                <w:szCs w:val="20"/>
              </w:rPr>
              <w:t>14/01</w:t>
            </w:r>
            <w:r w:rsidR="00A5532C">
              <w:rPr>
                <w:rFonts w:ascii="Verdana" w:hAnsi="Verdana"/>
                <w:i/>
                <w:iCs/>
                <w:sz w:val="20"/>
                <w:szCs w:val="20"/>
              </w:rPr>
              <w:t>/22</w:t>
            </w:r>
            <w:r>
              <w:rPr>
                <w:rFonts w:ascii="Verdana" w:hAnsi="Verdana"/>
                <w:i/>
                <w:iCs/>
                <w:sz w:val="20"/>
                <w:szCs w:val="20"/>
              </w:rPr>
              <w:t xml:space="preserve"> </w:t>
            </w:r>
            <w:r w:rsidR="000D08DA">
              <w:rPr>
                <w:rFonts w:ascii="Verdana" w:hAnsi="Verdana"/>
                <w:i/>
                <w:iCs/>
                <w:sz w:val="20"/>
                <w:szCs w:val="20"/>
              </w:rPr>
              <w:t>révisée le 26/01</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3E0C80A8" w14:textId="77777777" w:rsidR="00E11999" w:rsidRDefault="00635EBB" w:rsidP="00CE2386">
      <w:pPr>
        <w:pStyle w:val="Paragraphe"/>
      </w:pPr>
      <w:r>
        <w:t>Projet de développement des ICC : la convention de financement devrait être signée courant janvier 2021</w:t>
      </w:r>
      <w:r w:rsidR="00E11999">
        <w:t xml:space="preserve"> pour un montant : 5 millions € de l’AFD. Le déploiement de l’assistance à maitrise d’ouvrage devrait intervenir avant la fin du premier trimestre. </w:t>
      </w:r>
    </w:p>
    <w:p w14:paraId="4D87BF11" w14:textId="77777777" w:rsidR="00532EB2" w:rsidRDefault="00532EB2" w:rsidP="00CE2386">
      <w:pPr>
        <w:pStyle w:val="Paragraphe"/>
      </w:pPr>
      <w:r>
        <w:t xml:space="preserve">Autres actions dans le domaine de la culture : </w:t>
      </w:r>
    </w:p>
    <w:p w14:paraId="6B8C9DDC" w14:textId="77777777" w:rsidR="004901A3" w:rsidRDefault="00532EB2" w:rsidP="00532EB2">
      <w:pPr>
        <w:pStyle w:val="Paragraphe"/>
        <w:numPr>
          <w:ilvl w:val="0"/>
          <w:numId w:val="12"/>
        </w:numPr>
      </w:pPr>
      <w:r>
        <w:t xml:space="preserve">Prix Indianocéanie : la troisième édition </w:t>
      </w:r>
      <w:r w:rsidR="000D1FB5">
        <w:t xml:space="preserve">s’est terminée par la remise du prix Indianocéanie à Sharon Paul pour son roman « le cantique du rasta ». Le Département de La Réunion propose de lancer une </w:t>
      </w:r>
      <w:r w:rsidR="004901A3">
        <w:t xml:space="preserve">édition du prix spécifiquement dédiée aux jeunes. </w:t>
      </w:r>
    </w:p>
    <w:p w14:paraId="29AD1400" w14:textId="101E02EF" w:rsidR="0041278C" w:rsidRPr="0041278C" w:rsidRDefault="004901A3" w:rsidP="00C71AA8">
      <w:pPr>
        <w:pStyle w:val="Paragraphe"/>
        <w:numPr>
          <w:ilvl w:val="0"/>
          <w:numId w:val="12"/>
        </w:numPr>
      </w:pPr>
      <w:r>
        <w:t>Exposition « Nous et les autres : des préjugés au racisme » : l</w:t>
      </w:r>
      <w:r w:rsidR="00D76F43">
        <w:t>e réseau de l’Alliance française à Madagascar a associé</w:t>
      </w:r>
      <w:r w:rsidR="00C71AA8">
        <w:t xml:space="preserve"> la COI à l’</w:t>
      </w:r>
      <w:r w:rsidR="00D76F43">
        <w:t xml:space="preserve">itinérance </w:t>
      </w:r>
      <w:r w:rsidR="00C71AA8">
        <w:t xml:space="preserve">de l’exposition dans la Grande Ile. </w:t>
      </w:r>
      <w:r w:rsidR="0008468B">
        <w:t xml:space="preserve"> </w:t>
      </w:r>
    </w:p>
    <w:p w14:paraId="68009DDB" w14:textId="06AAE9C2" w:rsidR="0008468B" w:rsidRPr="0008468B" w:rsidRDefault="00955BB3" w:rsidP="00A70123">
      <w:pPr>
        <w:pStyle w:val="Titrepartie"/>
      </w:pPr>
      <w:r w:rsidRPr="0008468B">
        <w:t>Etat d’avancement</w:t>
      </w:r>
    </w:p>
    <w:p w14:paraId="48AB0783" w14:textId="5CDB98B6" w:rsidR="00426673" w:rsidRPr="00426673" w:rsidRDefault="002B21BA" w:rsidP="002C56ED">
      <w:pPr>
        <w:pStyle w:val="Sous-partie2"/>
      </w:pPr>
      <w:r>
        <w:t>Projet régional de développement des industries culturelles et créatives</w:t>
      </w:r>
    </w:p>
    <w:p w14:paraId="31CF1493" w14:textId="77777777" w:rsidR="002B21BA" w:rsidRDefault="002B21BA" w:rsidP="002B21BA">
      <w:pPr>
        <w:autoSpaceDE w:val="0"/>
        <w:autoSpaceDN w:val="0"/>
        <w:rPr>
          <w:rFonts w:ascii="Verdana" w:hAnsi="Verdana"/>
          <w:sz w:val="20"/>
          <w:szCs w:val="20"/>
        </w:rPr>
      </w:pPr>
      <w:r>
        <w:rPr>
          <w:rFonts w:ascii="Verdana" w:hAnsi="Verdana"/>
          <w:sz w:val="20"/>
          <w:szCs w:val="20"/>
        </w:rPr>
        <w:t xml:space="preserve">Dès 2014, la directrice générale de l’UNESCO indiquait que le secteur culturel dispose « d’un potentiel considérable de développement économique et social ». En 2017, les ministres en charge de la Culture des Etats ACP, dont les ministres des Etats membres de la COI, considéraient « la culture comme moteur de croissance économique et de création d’emplois ». Dans la foulée, le cabinet Ernst &amp; Young confirmait dans son étude stratégique sur le secteur des industries culturelles et créatives, réalisée en janvier 2018, le potentiel économique des industries culturelles et créatives (ICC) estimant que ce secteur composé de nombreuses filières générait pour la région « Afrique et Moyen Orient » 49 milliards $ de revenus et 2 millions d’emplois. Ces éléments déclaratifs et chiffrés confortent la volonté réaffirmée des Etats membres de la COI de développer les industries culturelles et créatives dans une dynamique de croissance économique et de progrès social. </w:t>
      </w:r>
    </w:p>
    <w:p w14:paraId="70552C6F" w14:textId="77777777" w:rsidR="002B21BA" w:rsidRDefault="002B21BA" w:rsidP="002B21BA">
      <w:pPr>
        <w:autoSpaceDE w:val="0"/>
        <w:autoSpaceDN w:val="0"/>
        <w:rPr>
          <w:rFonts w:ascii="Verdana" w:hAnsi="Verdana"/>
          <w:sz w:val="20"/>
          <w:szCs w:val="20"/>
        </w:rPr>
      </w:pPr>
      <w:r>
        <w:rPr>
          <w:rFonts w:ascii="Verdana" w:hAnsi="Verdana"/>
          <w:sz w:val="20"/>
          <w:szCs w:val="20"/>
        </w:rPr>
        <w:t xml:space="preserve">Toutefois, la pandémie de </w:t>
      </w:r>
      <w:r>
        <w:rPr>
          <w:rFonts w:ascii="Verdana" w:hAnsi="Verdana"/>
          <w:b/>
          <w:bCs/>
          <w:sz w:val="20"/>
          <w:szCs w:val="20"/>
        </w:rPr>
        <w:t>Covid-19 a eu un impact sur les professionnels de la culture et sur l’ensemble du secteur plus sévère</w:t>
      </w:r>
      <w:r>
        <w:rPr>
          <w:rFonts w:ascii="Verdana" w:hAnsi="Verdana"/>
          <w:sz w:val="20"/>
          <w:szCs w:val="20"/>
        </w:rPr>
        <w:t xml:space="preserve"> qu’on ne le supposait, indique l’UNESCO dans une note du 22 décembre 2020. Ce constat semble se confirmer dans notre région où le secteur des ICC est, notamment, intimement lié à la vitalité du secteur touristique qui a nettement plongé. </w:t>
      </w:r>
    </w:p>
    <w:p w14:paraId="0E9680C9" w14:textId="7E672841" w:rsidR="002B21BA" w:rsidRDefault="002B21BA" w:rsidP="002B21BA">
      <w:pPr>
        <w:autoSpaceDE w:val="0"/>
        <w:autoSpaceDN w:val="0"/>
        <w:rPr>
          <w:rFonts w:ascii="Verdana" w:hAnsi="Verdana"/>
          <w:sz w:val="20"/>
          <w:szCs w:val="20"/>
        </w:rPr>
      </w:pPr>
      <w:r>
        <w:rPr>
          <w:rFonts w:ascii="Verdana" w:hAnsi="Verdana"/>
          <w:sz w:val="20"/>
          <w:szCs w:val="20"/>
        </w:rPr>
        <w:t xml:space="preserve">De fait, la formulation d’un </w:t>
      </w:r>
      <w:r>
        <w:rPr>
          <w:rFonts w:ascii="Verdana" w:hAnsi="Verdana"/>
          <w:b/>
          <w:bCs/>
          <w:sz w:val="20"/>
          <w:szCs w:val="20"/>
        </w:rPr>
        <w:t>projet régional de développement des ICC</w:t>
      </w:r>
      <w:r>
        <w:rPr>
          <w:rFonts w:ascii="Verdana" w:hAnsi="Verdana"/>
          <w:sz w:val="20"/>
          <w:szCs w:val="20"/>
        </w:rPr>
        <w:t xml:space="preserve"> et le lancement d’une procédure d’instruction </w:t>
      </w:r>
      <w:r w:rsidR="004B70A3">
        <w:rPr>
          <w:rFonts w:ascii="Verdana" w:hAnsi="Verdana"/>
          <w:sz w:val="20"/>
          <w:szCs w:val="20"/>
        </w:rPr>
        <w:t>en application de la</w:t>
      </w:r>
      <w:r>
        <w:rPr>
          <w:rFonts w:ascii="Verdana" w:hAnsi="Verdana"/>
          <w:sz w:val="20"/>
          <w:szCs w:val="20"/>
        </w:rPr>
        <w:t xml:space="preserve"> décision 19.b. du Comité des OPL 01/2021 de mai 2021 </w:t>
      </w:r>
      <w:r>
        <w:rPr>
          <w:rFonts w:ascii="Verdana" w:hAnsi="Verdana"/>
          <w:b/>
          <w:bCs/>
          <w:sz w:val="20"/>
          <w:szCs w:val="20"/>
        </w:rPr>
        <w:t>s’inscrit également dans la stratégie globale de rebond socioéconomique régionale</w:t>
      </w:r>
      <w:r>
        <w:rPr>
          <w:rFonts w:ascii="Verdana" w:hAnsi="Verdana"/>
          <w:sz w:val="20"/>
          <w:szCs w:val="20"/>
        </w:rPr>
        <w:t xml:space="preserve"> </w:t>
      </w:r>
      <w:r w:rsidR="00940C82">
        <w:rPr>
          <w:rFonts w:ascii="Verdana" w:hAnsi="Verdana"/>
          <w:sz w:val="20"/>
          <w:szCs w:val="20"/>
        </w:rPr>
        <w:t xml:space="preserve">(cf. décision 3.e du Conseil extraordinaire des ministres du 26 novembre 2021) </w:t>
      </w:r>
      <w:r>
        <w:rPr>
          <w:rFonts w:ascii="Verdana" w:hAnsi="Verdana"/>
          <w:sz w:val="20"/>
          <w:szCs w:val="20"/>
        </w:rPr>
        <w:t xml:space="preserve">dans la mesure où les ICC (i) contribuent à la croissance économique des Etats membres ; (ii) fournissent des emplois dans une large gamme de filières ; (iii) participent de l’attractivité des territoires ; (iv) créent du lien social et permettent de promouvoir l’égalité femmes-hommes, l’éducation à l’environnement… </w:t>
      </w:r>
    </w:p>
    <w:p w14:paraId="046E885B" w14:textId="68C5905F" w:rsidR="00B0579B" w:rsidRDefault="00B0579B" w:rsidP="002B21BA">
      <w:pPr>
        <w:jc w:val="both"/>
        <w:rPr>
          <w:rFonts w:ascii="Verdana" w:hAnsi="Verdana"/>
          <w:color w:val="000000"/>
          <w:sz w:val="20"/>
          <w:szCs w:val="20"/>
        </w:rPr>
      </w:pPr>
      <w:r>
        <w:rPr>
          <w:rFonts w:ascii="Verdana" w:hAnsi="Verdana"/>
          <w:color w:val="000000"/>
          <w:sz w:val="20"/>
          <w:szCs w:val="20"/>
        </w:rPr>
        <w:lastRenderedPageBreak/>
        <w:t xml:space="preserve">La </w:t>
      </w:r>
      <w:r w:rsidRPr="00D01E79">
        <w:rPr>
          <w:rFonts w:ascii="Verdana" w:hAnsi="Verdana"/>
          <w:b/>
          <w:bCs/>
          <w:color w:val="000000"/>
          <w:sz w:val="20"/>
          <w:szCs w:val="20"/>
        </w:rPr>
        <w:t>convention de financement du projet</w:t>
      </w:r>
      <w:r w:rsidR="00CD09F0">
        <w:rPr>
          <w:rFonts w:ascii="Verdana" w:hAnsi="Verdana"/>
          <w:b/>
          <w:bCs/>
          <w:color w:val="000000"/>
          <w:sz w:val="20"/>
          <w:szCs w:val="20"/>
        </w:rPr>
        <w:t xml:space="preserve"> d’un montant de 5 millions € de l’AFD</w:t>
      </w:r>
      <w:r w:rsidRPr="00D01E79">
        <w:rPr>
          <w:rFonts w:ascii="Verdana" w:hAnsi="Verdana"/>
          <w:b/>
          <w:bCs/>
          <w:color w:val="000000"/>
          <w:sz w:val="20"/>
          <w:szCs w:val="20"/>
        </w:rPr>
        <w:t xml:space="preserve"> </w:t>
      </w:r>
      <w:r>
        <w:rPr>
          <w:rFonts w:ascii="Verdana" w:hAnsi="Verdana"/>
          <w:color w:val="000000"/>
          <w:sz w:val="20"/>
          <w:szCs w:val="20"/>
        </w:rPr>
        <w:t>a été transmise</w:t>
      </w:r>
      <w:r w:rsidR="00D01E79">
        <w:rPr>
          <w:rFonts w:ascii="Verdana" w:hAnsi="Verdana"/>
          <w:color w:val="000000"/>
          <w:sz w:val="20"/>
          <w:szCs w:val="20"/>
        </w:rPr>
        <w:t xml:space="preserve"> aux OPL le </w:t>
      </w:r>
      <w:r w:rsidR="00B9765D">
        <w:rPr>
          <w:rFonts w:ascii="Verdana" w:hAnsi="Verdana"/>
          <w:color w:val="000000"/>
          <w:sz w:val="20"/>
          <w:szCs w:val="20"/>
        </w:rPr>
        <w:t xml:space="preserve">8 décembre 2021 pour observations avant le 15/12/21. Seules des observations de pure forme ont été transmises. La convention de financement est </w:t>
      </w:r>
      <w:r w:rsidR="00B9765D" w:rsidRPr="00B9765D">
        <w:rPr>
          <w:rFonts w:ascii="Verdana" w:hAnsi="Verdana"/>
          <w:b/>
          <w:bCs/>
          <w:color w:val="000000"/>
          <w:sz w:val="20"/>
          <w:szCs w:val="20"/>
        </w:rPr>
        <w:t>prévue d’être</w:t>
      </w:r>
      <w:r w:rsidR="00B9765D">
        <w:rPr>
          <w:rFonts w:ascii="Verdana" w:hAnsi="Verdana"/>
          <w:color w:val="000000"/>
          <w:sz w:val="20"/>
          <w:szCs w:val="20"/>
        </w:rPr>
        <w:t xml:space="preserve"> </w:t>
      </w:r>
      <w:r w:rsidR="00B9765D" w:rsidRPr="00B9765D">
        <w:rPr>
          <w:rFonts w:ascii="Verdana" w:hAnsi="Verdana"/>
          <w:b/>
          <w:bCs/>
          <w:color w:val="000000"/>
          <w:sz w:val="20"/>
          <w:szCs w:val="20"/>
        </w:rPr>
        <w:t>signée électroniquement avant la fin du mois de janvier 2022</w:t>
      </w:r>
      <w:r w:rsidR="00B9765D">
        <w:rPr>
          <w:rFonts w:ascii="Verdana" w:hAnsi="Verdana"/>
          <w:color w:val="000000"/>
          <w:sz w:val="20"/>
          <w:szCs w:val="20"/>
        </w:rPr>
        <w:t xml:space="preserve">. </w:t>
      </w:r>
    </w:p>
    <w:p w14:paraId="17E1B8AE" w14:textId="0CBB0BAF" w:rsidR="00B9765D" w:rsidRDefault="00B9765D" w:rsidP="002B21BA">
      <w:pPr>
        <w:jc w:val="both"/>
        <w:rPr>
          <w:rFonts w:ascii="Verdana" w:hAnsi="Verdana"/>
          <w:color w:val="000000"/>
          <w:sz w:val="20"/>
          <w:szCs w:val="20"/>
        </w:rPr>
      </w:pPr>
      <w:r>
        <w:rPr>
          <w:rFonts w:ascii="Verdana" w:hAnsi="Verdana"/>
          <w:color w:val="000000"/>
          <w:sz w:val="20"/>
          <w:szCs w:val="20"/>
        </w:rPr>
        <w:t xml:space="preserve">Parallèlement, le Secrétariat général a poursuivi les négociations avec le </w:t>
      </w:r>
      <w:r w:rsidRPr="006B4EA7">
        <w:rPr>
          <w:rFonts w:ascii="Verdana" w:hAnsi="Verdana"/>
          <w:b/>
          <w:bCs/>
          <w:color w:val="000000"/>
          <w:sz w:val="20"/>
          <w:szCs w:val="20"/>
        </w:rPr>
        <w:t xml:space="preserve">consortium </w:t>
      </w:r>
      <w:proofErr w:type="spellStart"/>
      <w:r w:rsidRPr="006B4EA7">
        <w:rPr>
          <w:rFonts w:ascii="Verdana" w:hAnsi="Verdana"/>
          <w:b/>
          <w:bCs/>
          <w:color w:val="000000"/>
          <w:sz w:val="20"/>
          <w:szCs w:val="20"/>
        </w:rPr>
        <w:t>Hydea</w:t>
      </w:r>
      <w:proofErr w:type="spellEnd"/>
      <w:r w:rsidRPr="006B4EA7">
        <w:rPr>
          <w:rFonts w:ascii="Verdana" w:hAnsi="Verdana"/>
          <w:b/>
          <w:bCs/>
          <w:color w:val="000000"/>
          <w:sz w:val="20"/>
          <w:szCs w:val="20"/>
        </w:rPr>
        <w:t>-</w:t>
      </w:r>
      <w:proofErr w:type="spellStart"/>
      <w:r w:rsidRPr="006B4EA7">
        <w:rPr>
          <w:rFonts w:ascii="Verdana" w:hAnsi="Verdana"/>
          <w:b/>
          <w:bCs/>
          <w:color w:val="000000"/>
          <w:sz w:val="20"/>
          <w:szCs w:val="20"/>
        </w:rPr>
        <w:t>Lalanbik</w:t>
      </w:r>
      <w:proofErr w:type="spellEnd"/>
      <w:r w:rsidRPr="006B4EA7">
        <w:rPr>
          <w:rFonts w:ascii="Verdana" w:hAnsi="Verdana"/>
          <w:b/>
          <w:bCs/>
          <w:color w:val="000000"/>
          <w:sz w:val="20"/>
          <w:szCs w:val="20"/>
        </w:rPr>
        <w:t>-OCPA qui a été retenu au terme de l’instruction</w:t>
      </w:r>
      <w:r>
        <w:rPr>
          <w:rFonts w:ascii="Verdana" w:hAnsi="Verdana"/>
          <w:color w:val="000000"/>
          <w:sz w:val="20"/>
          <w:szCs w:val="20"/>
        </w:rPr>
        <w:t xml:space="preserve">, celui-ci ayant fait des propositions techniques et financières les plus abouties et présentant un profil bien ancré régionalement. Ces négociations visent à baliser le contrat d’assistance technique qui sera signé avec le consortium après la signature de la convention de financement. A ce jour, le déploiement de l’assistance technique est prévu d’intervenir fin février / début mars pour un démarrage des activités dans la foulée. L’une des premières missions de l’assistance technique sera de </w:t>
      </w:r>
      <w:r w:rsidR="00CD09F0">
        <w:rPr>
          <w:rFonts w:ascii="Verdana" w:hAnsi="Verdana"/>
          <w:color w:val="000000"/>
          <w:sz w:val="20"/>
          <w:szCs w:val="20"/>
        </w:rPr>
        <w:t>(i) bien arrêter les activités présentées lors des réunions des instances de novembre 2021</w:t>
      </w:r>
      <w:r w:rsidR="00261624">
        <w:rPr>
          <w:rFonts w:ascii="Verdana" w:hAnsi="Verdana"/>
          <w:color w:val="000000"/>
          <w:sz w:val="20"/>
          <w:szCs w:val="20"/>
        </w:rPr>
        <w:t xml:space="preserve"> (Annexe – cadre logique)</w:t>
      </w:r>
      <w:r w:rsidR="00CD09F0">
        <w:rPr>
          <w:rFonts w:ascii="Verdana" w:hAnsi="Verdana"/>
          <w:color w:val="000000"/>
          <w:sz w:val="20"/>
          <w:szCs w:val="20"/>
        </w:rPr>
        <w:t xml:space="preserve"> et (ii) faire un rapide état des lieux de l’impact de la Covid-19 pour éventuellement répondre à des besoins particuliers pouvant s’inscrire dans les activités du projet.  </w:t>
      </w:r>
    </w:p>
    <w:p w14:paraId="0BEBBB31" w14:textId="30FF036A" w:rsidR="002C56ED" w:rsidRDefault="002C56ED" w:rsidP="002C56ED">
      <w:pPr>
        <w:pStyle w:val="Paragraphe"/>
        <w:rPr>
          <w:shd w:val="clear" w:color="auto" w:fill="FFFFFF"/>
        </w:rPr>
      </w:pPr>
    </w:p>
    <w:p w14:paraId="54854EB5" w14:textId="242E31A6" w:rsidR="002C56ED" w:rsidRPr="00A76B07" w:rsidRDefault="009C37B3" w:rsidP="00A76B07">
      <w:pPr>
        <w:pStyle w:val="Sous-partie2"/>
      </w:pPr>
      <w:r>
        <w:t>Prix Indianocéanie</w:t>
      </w:r>
    </w:p>
    <w:p w14:paraId="21875958" w14:textId="0CFA9AF5" w:rsidR="002C56ED" w:rsidRDefault="009C37B3" w:rsidP="002C56ED">
      <w:pPr>
        <w:pStyle w:val="Paragraphe"/>
      </w:pPr>
      <w:r>
        <w:t>Le Secrétariat général a organisé la 3</w:t>
      </w:r>
      <w:r w:rsidRPr="009C37B3">
        <w:rPr>
          <w:vertAlign w:val="superscript"/>
        </w:rPr>
        <w:t>ème</w:t>
      </w:r>
      <w:r>
        <w:t xml:space="preserve"> édition du prix Indianocéanie dont la remise du prix s’est déroulée le 25 novembre 2021 à la veille du Conseil extraordinaire du Conseil des ministres. C’est la Mauricienne Sharon Paul qui a reçu le prix Indianocéanie pour son roman « le cantique du rasta » disponible en librairie dans les Etats membres de la COI. </w:t>
      </w:r>
    </w:p>
    <w:p w14:paraId="05176507" w14:textId="0E9B18A6" w:rsidR="009A0B45" w:rsidRDefault="009A0B45" w:rsidP="002C56ED">
      <w:pPr>
        <w:pStyle w:val="Paragraphe"/>
      </w:pPr>
      <w:r>
        <w:t xml:space="preserve">Le Secrétariat et la direction </w:t>
      </w:r>
      <w:r w:rsidRPr="005950F2">
        <w:t xml:space="preserve">de la </w:t>
      </w:r>
      <w:r w:rsidR="009D63E0" w:rsidRPr="005950F2">
        <w:t>culture</w:t>
      </w:r>
      <w:r w:rsidRPr="005950F2">
        <w:t xml:space="preserve"> </w:t>
      </w:r>
      <w:r>
        <w:t xml:space="preserve">et des sports du Département de La Réunion ont convenu de faire un point d’étape </w:t>
      </w:r>
      <w:r w:rsidR="00C61DCE">
        <w:t xml:space="preserve">au premier trimestre 2022 pour (i) identifier les forces et les faiblesses des trois éditions et (ii) convenir d’un modus operandi permettant d’améliorer </w:t>
      </w:r>
      <w:r w:rsidR="00992DE9">
        <w:t xml:space="preserve">l’attractivité du prix Indianocéanie. Pour rappel, le prix Indianocéanie est prévu de se tenir tous les deux ans comme convenu lors </w:t>
      </w:r>
      <w:r w:rsidR="003413E6">
        <w:t>du 34</w:t>
      </w:r>
      <w:r w:rsidR="003413E6">
        <w:rPr>
          <w:vertAlign w:val="superscript"/>
        </w:rPr>
        <w:t xml:space="preserve">e </w:t>
      </w:r>
      <w:r w:rsidR="003413E6">
        <w:t xml:space="preserve">Conseil des ministres de la COI. </w:t>
      </w:r>
    </w:p>
    <w:p w14:paraId="68DE8EE3" w14:textId="5290007A" w:rsidR="00992DE9" w:rsidRDefault="00992DE9" w:rsidP="002C56ED">
      <w:pPr>
        <w:pStyle w:val="Paragraphe"/>
      </w:pPr>
      <w:r>
        <w:t xml:space="preserve">En parallèle, le Département de La Réunion propose à la COI </w:t>
      </w:r>
      <w:r w:rsidR="003413E6">
        <w:t xml:space="preserve">d’organiser une déclinaison du prix Indianocéanie spécifiquement dédiée aux jeunes. Cette première édition du « prix Indianocéanie des jeunes » pourrait se tenir cette année qui correspond à l’année de césure entre deux éditions du prix Indianocéanie. </w:t>
      </w:r>
      <w:r w:rsidR="005950F2" w:rsidRPr="00CA0A4C">
        <w:rPr>
          <w:color w:val="0070C0"/>
        </w:rPr>
        <w:t xml:space="preserve">Cette déclinaison du prix Indianocéanie serait ouverte aux jeunes de 12 à 15 ans. Les écoles et autres institutions rassemblant des jeunes (Alliances françaises) seraient ciblées afin de mobiliser un groupe de jeune autour d’un encadrant pour la réalisation d’un conte ou d’une nouvelle. </w:t>
      </w:r>
      <w:r w:rsidR="00AC08D0">
        <w:t xml:space="preserve">Il est proposé aux instances de donner mandat au Secrétariat général de lancer cette activité avec le Département de La Réunion. </w:t>
      </w:r>
    </w:p>
    <w:p w14:paraId="4E9A317B" w14:textId="77777777" w:rsidR="000E79EF" w:rsidRDefault="000E79EF" w:rsidP="002C56ED">
      <w:pPr>
        <w:pStyle w:val="Paragraphe"/>
      </w:pPr>
    </w:p>
    <w:p w14:paraId="635F1DBC" w14:textId="25E362AA" w:rsidR="002E6C9F" w:rsidRPr="00A76B07" w:rsidRDefault="002E6C9F" w:rsidP="002E6C9F">
      <w:pPr>
        <w:pStyle w:val="Sous-partie2"/>
      </w:pPr>
      <w:r>
        <w:t>Exposition « Nous et les autres »</w:t>
      </w:r>
    </w:p>
    <w:p w14:paraId="5C7C26C5" w14:textId="3EA4DD3E" w:rsidR="002E6C9F" w:rsidRDefault="0054552A" w:rsidP="002C56ED">
      <w:pPr>
        <w:pStyle w:val="Paragraphe"/>
        <w:rPr>
          <w:shd w:val="clear" w:color="auto" w:fill="FFFFFF"/>
        </w:rPr>
      </w:pPr>
      <w:r>
        <w:rPr>
          <w:shd w:val="clear" w:color="auto" w:fill="FFFFFF"/>
        </w:rPr>
        <w:t xml:space="preserve">En application de la décision 19.c du </w:t>
      </w:r>
      <w:r w:rsidR="00650F7C">
        <w:rPr>
          <w:shd w:val="clear" w:color="auto" w:fill="FFFFFF"/>
        </w:rPr>
        <w:t xml:space="preserve">Comité des OPL 01/2021 du 18 mai 2021, le Secrétariat général a noué un partenariat avec l’Alliance française de Tamatave permettant à la COI d’être associée au déploiement de l’exposition « Nous et les autres : des préjugés au racisme » à Madagascar. L’exposition, lancée en septembre à Antananarivo, a vu la participation de la COI dont le Secrétaire général qui a prononcé le message de clôture à la suite d’une table ronde réunissant un panel pluridisciplinaire d’experts. </w:t>
      </w:r>
    </w:p>
    <w:p w14:paraId="55C8572F" w14:textId="6268CCAD" w:rsidR="00650F7C" w:rsidRDefault="00650F7C" w:rsidP="002C56ED">
      <w:pPr>
        <w:pStyle w:val="Paragraphe"/>
        <w:rPr>
          <w:shd w:val="clear" w:color="auto" w:fill="FFFFFF"/>
        </w:rPr>
      </w:pPr>
      <w:r>
        <w:rPr>
          <w:shd w:val="clear" w:color="auto" w:fill="FFFFFF"/>
        </w:rPr>
        <w:t xml:space="preserve">Le Secrétariat général a élaboré un dossier de partenariat pour mobiliser des ressources en appui à l’organisation de cette exposition dans les autres Etats membres. Le réseau des Alliances françaises pourra être mobilisés suivant l’accord signé avec l’AF-Tamatave, notamment pour l’itinérance vers les Comores des contenus produits pour Madagascar. Le </w:t>
      </w:r>
      <w:r>
        <w:rPr>
          <w:shd w:val="clear" w:color="auto" w:fill="FFFFFF"/>
        </w:rPr>
        <w:lastRenderedPageBreak/>
        <w:t xml:space="preserve">bureau de l’OPL de Maurice a également transmis l’intérêt du ministère des Arts et de la Culture et du Muséum d’histoire naturelle pour cette activité.  </w:t>
      </w:r>
    </w:p>
    <w:p w14:paraId="004F8498" w14:textId="1F41B722" w:rsidR="00955BB3" w:rsidRDefault="00955BB3" w:rsidP="0008468B">
      <w:pPr>
        <w:pStyle w:val="Paragraphedeliste"/>
        <w:jc w:val="both"/>
        <w:rPr>
          <w:rFonts w:ascii="Verdana" w:hAnsi="Verdana" w:cs="Calibri"/>
          <w:sz w:val="20"/>
          <w:szCs w:val="20"/>
        </w:rPr>
      </w:pPr>
    </w:p>
    <w:p w14:paraId="2D05DE5A" w14:textId="24920D50" w:rsidR="00906983" w:rsidRPr="005950F2" w:rsidRDefault="00906983" w:rsidP="005950F2">
      <w:pPr>
        <w:pStyle w:val="Sous-partie2"/>
      </w:pPr>
      <w:r w:rsidRPr="005950F2">
        <w:t xml:space="preserve">Projets régionaux développés par l’Iconothèque historique de l’océan Indien </w:t>
      </w:r>
      <w:r w:rsidR="009D63E0" w:rsidRPr="005950F2">
        <w:t>(I.H.O.I)</w:t>
      </w:r>
    </w:p>
    <w:p w14:paraId="2DFFC86E" w14:textId="093FF188" w:rsidR="009D63E0" w:rsidRPr="005950F2" w:rsidRDefault="009D63E0" w:rsidP="005950F2">
      <w:pPr>
        <w:pStyle w:val="Paragraphe"/>
        <w:rPr>
          <w:color w:val="0070C0"/>
          <w:shd w:val="clear" w:color="auto" w:fill="FFFFFF"/>
        </w:rPr>
      </w:pPr>
      <w:r w:rsidRPr="005950F2">
        <w:rPr>
          <w:color w:val="0070C0"/>
          <w:shd w:val="clear" w:color="auto" w:fill="FFFFFF"/>
        </w:rPr>
        <w:t>Dans le prolongement des actions menées depuis sa création en 2011, l’I.H.</w:t>
      </w:r>
      <w:proofErr w:type="gramStart"/>
      <w:r w:rsidRPr="005950F2">
        <w:rPr>
          <w:color w:val="0070C0"/>
          <w:shd w:val="clear" w:color="auto" w:fill="FFFFFF"/>
        </w:rPr>
        <w:t>O.I</w:t>
      </w:r>
      <w:proofErr w:type="gramEnd"/>
      <w:r w:rsidRPr="005950F2">
        <w:rPr>
          <w:color w:val="0070C0"/>
          <w:shd w:val="clear" w:color="auto" w:fill="FFFFFF"/>
        </w:rPr>
        <w:t xml:space="preserve"> a bénéficié en </w:t>
      </w:r>
      <w:r w:rsidR="008207AB" w:rsidRPr="005950F2">
        <w:rPr>
          <w:color w:val="0070C0"/>
          <w:shd w:val="clear" w:color="auto" w:fill="FFFFFF"/>
        </w:rPr>
        <w:t>2020</w:t>
      </w:r>
      <w:r w:rsidRPr="005950F2">
        <w:rPr>
          <w:color w:val="0070C0"/>
          <w:shd w:val="clear" w:color="auto" w:fill="FFFFFF"/>
        </w:rPr>
        <w:t xml:space="preserve"> de cr</w:t>
      </w:r>
      <w:r w:rsidR="00906983" w:rsidRPr="005950F2">
        <w:rPr>
          <w:color w:val="0070C0"/>
          <w:shd w:val="clear" w:color="auto" w:fill="FFFFFF"/>
        </w:rPr>
        <w:t>é</w:t>
      </w:r>
      <w:r w:rsidRPr="005950F2">
        <w:rPr>
          <w:color w:val="0070C0"/>
          <w:shd w:val="clear" w:color="auto" w:fill="FFFFFF"/>
        </w:rPr>
        <w:t>d</w:t>
      </w:r>
      <w:r w:rsidR="00906983" w:rsidRPr="005950F2">
        <w:rPr>
          <w:color w:val="0070C0"/>
          <w:shd w:val="clear" w:color="auto" w:fill="FFFFFF"/>
        </w:rPr>
        <w:t>i</w:t>
      </w:r>
      <w:r w:rsidRPr="005950F2">
        <w:rPr>
          <w:color w:val="0070C0"/>
          <w:shd w:val="clear" w:color="auto" w:fill="FFFFFF"/>
        </w:rPr>
        <w:t>t</w:t>
      </w:r>
      <w:r w:rsidR="00906983" w:rsidRPr="005950F2">
        <w:rPr>
          <w:color w:val="0070C0"/>
          <w:shd w:val="clear" w:color="auto" w:fill="FFFFFF"/>
        </w:rPr>
        <w:t>s</w:t>
      </w:r>
      <w:r w:rsidRPr="005950F2">
        <w:rPr>
          <w:color w:val="0070C0"/>
          <w:shd w:val="clear" w:color="auto" w:fill="FFFFFF"/>
        </w:rPr>
        <w:t xml:space="preserve"> déd</w:t>
      </w:r>
      <w:r w:rsidR="00906983" w:rsidRPr="005950F2">
        <w:rPr>
          <w:color w:val="0070C0"/>
          <w:shd w:val="clear" w:color="auto" w:fill="FFFFFF"/>
        </w:rPr>
        <w:t>i</w:t>
      </w:r>
      <w:r w:rsidRPr="005950F2">
        <w:rPr>
          <w:color w:val="0070C0"/>
          <w:shd w:val="clear" w:color="auto" w:fill="FFFFFF"/>
        </w:rPr>
        <w:t xml:space="preserve">és pour développer </w:t>
      </w:r>
      <w:r w:rsidR="008A39F9" w:rsidRPr="005950F2">
        <w:rPr>
          <w:color w:val="0070C0"/>
          <w:shd w:val="clear" w:color="auto" w:fill="FFFFFF"/>
        </w:rPr>
        <w:t xml:space="preserve">plusieurs projets </w:t>
      </w:r>
      <w:r w:rsidR="008A39F9" w:rsidRPr="005950F2">
        <w:rPr>
          <w:color w:val="0070C0"/>
          <w:lang w:eastAsia="fr-FR"/>
        </w:rPr>
        <w:t>collaboratifs</w:t>
      </w:r>
      <w:r w:rsidR="008A39F9" w:rsidRPr="005950F2">
        <w:rPr>
          <w:color w:val="0070C0"/>
          <w:shd w:val="clear" w:color="auto" w:fill="FFFFFF"/>
        </w:rPr>
        <w:t xml:space="preserve"> d’envergure régionale </w:t>
      </w:r>
      <w:r w:rsidR="008A39F9" w:rsidRPr="005950F2">
        <w:rPr>
          <w:color w:val="0070C0"/>
          <w:lang w:eastAsia="fr-FR"/>
        </w:rPr>
        <w:t>destinés à favoriser l’</w:t>
      </w:r>
      <w:r w:rsidRPr="005950F2">
        <w:rPr>
          <w:i/>
          <w:color w:val="0070C0"/>
          <w:lang w:eastAsia="fr-FR"/>
        </w:rPr>
        <w:t xml:space="preserve">Appropriation du patrimoine iconographique de l’océan Indien </w:t>
      </w:r>
      <w:r w:rsidRPr="005950F2">
        <w:rPr>
          <w:color w:val="0070C0"/>
          <w:lang w:eastAsia="fr-FR"/>
        </w:rPr>
        <w:t>par les populations</w:t>
      </w:r>
      <w:r w:rsidR="008A39F9" w:rsidRPr="005950F2">
        <w:rPr>
          <w:color w:val="0070C0"/>
          <w:lang w:eastAsia="fr-FR"/>
        </w:rPr>
        <w:t xml:space="preserve"> des pays concernés</w:t>
      </w:r>
      <w:r w:rsidRPr="005950F2">
        <w:rPr>
          <w:color w:val="0070C0"/>
          <w:lang w:eastAsia="fr-FR"/>
        </w:rPr>
        <w:t xml:space="preserve">. </w:t>
      </w:r>
      <w:r w:rsidR="00906983" w:rsidRPr="005950F2">
        <w:rPr>
          <w:color w:val="0070C0"/>
          <w:shd w:val="clear" w:color="auto" w:fill="FFFFFF"/>
        </w:rPr>
        <w:t xml:space="preserve"> </w:t>
      </w:r>
    </w:p>
    <w:p w14:paraId="7CBF9164" w14:textId="7EAA4287" w:rsidR="00772A2C" w:rsidRPr="005950F2" w:rsidRDefault="008A39F9" w:rsidP="005950F2">
      <w:pPr>
        <w:pStyle w:val="Paragraphe"/>
        <w:rPr>
          <w:rFonts w:cs="Times"/>
          <w:color w:val="0070C0"/>
        </w:rPr>
      </w:pPr>
      <w:r w:rsidRPr="005950F2">
        <w:rPr>
          <w:color w:val="0070C0"/>
          <w:shd w:val="clear" w:color="auto" w:fill="FFFFFF"/>
        </w:rPr>
        <w:t>Ainsi, d</w:t>
      </w:r>
      <w:r w:rsidR="00204A95" w:rsidRPr="005950F2">
        <w:rPr>
          <w:color w:val="0070C0"/>
          <w:shd w:val="clear" w:color="auto" w:fill="FFFFFF"/>
        </w:rPr>
        <w:t xml:space="preserve">ès 2022, avec le soutien de </w:t>
      </w:r>
      <w:r w:rsidR="00204A95" w:rsidRPr="005950F2">
        <w:rPr>
          <w:color w:val="0070C0"/>
        </w:rPr>
        <w:t>l’Académie de La Réunion et de la COI,</w:t>
      </w:r>
      <w:r w:rsidR="00204A95" w:rsidRPr="005950F2">
        <w:rPr>
          <w:color w:val="0070C0"/>
          <w:shd w:val="clear" w:color="auto" w:fill="FFFFFF"/>
        </w:rPr>
        <w:t xml:space="preserve"> le </w:t>
      </w:r>
      <w:r w:rsidR="00204A95" w:rsidRPr="005950F2">
        <w:rPr>
          <w:color w:val="0070C0"/>
        </w:rPr>
        <w:t xml:space="preserve">concours photographique </w:t>
      </w:r>
      <w:r w:rsidR="00204A95" w:rsidRPr="005950F2">
        <w:rPr>
          <w:i/>
          <w:color w:val="0070C0"/>
          <w:lang w:eastAsia="fr-FR"/>
        </w:rPr>
        <w:t>Monuments de beauté de l’océan Indien</w:t>
      </w:r>
      <w:r w:rsidR="00204A95" w:rsidRPr="005950F2">
        <w:rPr>
          <w:i/>
          <w:color w:val="0070C0"/>
        </w:rPr>
        <w:t xml:space="preserve"> </w:t>
      </w:r>
      <w:r w:rsidR="00204A95" w:rsidRPr="005950F2">
        <w:rPr>
          <w:color w:val="0070C0"/>
        </w:rPr>
        <w:t>sera ouvert aux élèves</w:t>
      </w:r>
      <w:r w:rsidR="00BD3B62" w:rsidRPr="005950F2">
        <w:rPr>
          <w:color w:val="0070C0"/>
        </w:rPr>
        <w:t xml:space="preserve"> </w:t>
      </w:r>
      <w:r w:rsidR="005950F2" w:rsidRPr="005950F2">
        <w:rPr>
          <w:color w:val="0070C0"/>
        </w:rPr>
        <w:t>de la région, y compris du Mozambique</w:t>
      </w:r>
      <w:r w:rsidR="00204A95" w:rsidRPr="005950F2">
        <w:rPr>
          <w:rFonts w:eastAsia="Times New Roman" w:cs="Helvetica"/>
          <w:bCs/>
          <w:color w:val="0070C0"/>
          <w:lang w:eastAsia="fr-FR"/>
        </w:rPr>
        <w:t xml:space="preserve">. </w:t>
      </w:r>
      <w:r w:rsidR="00772A2C" w:rsidRPr="005950F2">
        <w:rPr>
          <w:rFonts w:cs="Times"/>
          <w:color w:val="0070C0"/>
        </w:rPr>
        <w:t>Autour d’un travail de mémoire</w:t>
      </w:r>
      <w:r w:rsidR="00174CB2" w:rsidRPr="005950F2">
        <w:rPr>
          <w:rFonts w:cs="Times"/>
          <w:color w:val="0070C0"/>
        </w:rPr>
        <w:t>,</w:t>
      </w:r>
      <w:r w:rsidR="00772A2C" w:rsidRPr="005950F2">
        <w:rPr>
          <w:rFonts w:cs="Times"/>
          <w:color w:val="0070C0"/>
        </w:rPr>
        <w:t xml:space="preserve"> d’histoire et d’éducation à l’image, </w:t>
      </w:r>
      <w:r w:rsidR="00204A95" w:rsidRPr="005950F2">
        <w:rPr>
          <w:rFonts w:cs="Times"/>
          <w:color w:val="0070C0"/>
        </w:rPr>
        <w:t xml:space="preserve">les jeunes participants seront invités à </w:t>
      </w:r>
      <w:r w:rsidR="00174CB2" w:rsidRPr="005950F2">
        <w:rPr>
          <w:rFonts w:cs="Times"/>
          <w:color w:val="0070C0"/>
        </w:rPr>
        <w:t>présenter la</w:t>
      </w:r>
      <w:r w:rsidR="00772A2C" w:rsidRPr="005950F2">
        <w:rPr>
          <w:rFonts w:cs="Times"/>
          <w:color w:val="0070C0"/>
        </w:rPr>
        <w:t xml:space="preserve"> production photographique d’un monument remarquable de leur territoire et de l’accompagner d’une note de présentation.</w:t>
      </w:r>
      <w:r w:rsidRPr="005950F2">
        <w:rPr>
          <w:rFonts w:eastAsia="Times New Roman" w:cs="Helvetica"/>
          <w:bCs/>
          <w:color w:val="0070C0"/>
          <w:lang w:eastAsia="fr-FR"/>
        </w:rPr>
        <w:t xml:space="preserve"> </w:t>
      </w:r>
      <w:r w:rsidR="00772A2C" w:rsidRPr="005950F2">
        <w:rPr>
          <w:rFonts w:cs="Times"/>
          <w:color w:val="0070C0"/>
        </w:rPr>
        <w:t xml:space="preserve">Les prix </w:t>
      </w:r>
      <w:r w:rsidRPr="005950F2">
        <w:rPr>
          <w:rFonts w:cs="Times"/>
          <w:color w:val="0070C0"/>
        </w:rPr>
        <w:t xml:space="preserve">seront remis lors </w:t>
      </w:r>
      <w:r w:rsidR="00772A2C" w:rsidRPr="005950F2">
        <w:rPr>
          <w:rFonts w:cs="Times"/>
          <w:color w:val="0070C0"/>
        </w:rPr>
        <w:t>des Journées du Patrimoine.</w:t>
      </w:r>
    </w:p>
    <w:p w14:paraId="688463A5" w14:textId="79C19B24" w:rsidR="00506399" w:rsidRPr="005950F2" w:rsidRDefault="00506399" w:rsidP="005950F2">
      <w:pPr>
        <w:pStyle w:val="Paragraphe"/>
        <w:rPr>
          <w:rFonts w:cs="Times"/>
          <w:color w:val="0070C0"/>
        </w:rPr>
      </w:pPr>
      <w:r w:rsidRPr="005950F2">
        <w:rPr>
          <w:rFonts w:cs="Times"/>
          <w:color w:val="0070C0"/>
        </w:rPr>
        <w:t xml:space="preserve">Des résidences d’artistes encourageant les regards </w:t>
      </w:r>
      <w:r w:rsidR="00AE0A3F" w:rsidRPr="005950F2">
        <w:rPr>
          <w:rFonts w:cs="Times"/>
          <w:color w:val="0070C0"/>
        </w:rPr>
        <w:t>pluriel</w:t>
      </w:r>
      <w:r w:rsidRPr="005950F2">
        <w:rPr>
          <w:rFonts w:cs="Times"/>
          <w:color w:val="0070C0"/>
        </w:rPr>
        <w:t>s sur les collections qui ont fait l’objet d</w:t>
      </w:r>
      <w:r w:rsidR="00AA411B" w:rsidRPr="005950F2">
        <w:rPr>
          <w:rFonts w:cs="Times"/>
          <w:color w:val="0070C0"/>
        </w:rPr>
        <w:t>e la</w:t>
      </w:r>
      <w:r w:rsidRPr="005950F2">
        <w:rPr>
          <w:rFonts w:cs="Times"/>
          <w:color w:val="0070C0"/>
        </w:rPr>
        <w:t xml:space="preserve"> mise en réseau des patrimoines iconographiques seront également lancées.</w:t>
      </w:r>
    </w:p>
    <w:p w14:paraId="3FE13391" w14:textId="60BF1D60" w:rsidR="00174CB2" w:rsidRPr="005950F2" w:rsidRDefault="00174CB2" w:rsidP="005950F2">
      <w:pPr>
        <w:pStyle w:val="Paragraphe"/>
        <w:rPr>
          <w:rFonts w:eastAsia="Times New Roman" w:cs="Helvetica"/>
          <w:bCs/>
          <w:color w:val="0070C0"/>
          <w:lang w:eastAsia="fr-FR"/>
        </w:rPr>
      </w:pPr>
      <w:r w:rsidRPr="005950F2">
        <w:rPr>
          <w:rFonts w:eastAsia="Times New Roman" w:cs="Helvetica"/>
          <w:bCs/>
          <w:color w:val="0070C0"/>
          <w:lang w:eastAsia="fr-FR"/>
        </w:rPr>
        <w:t>En 2023</w:t>
      </w:r>
      <w:r w:rsidR="009B7B6C" w:rsidRPr="005950F2">
        <w:rPr>
          <w:rFonts w:eastAsia="Times New Roman" w:cs="Helvetica"/>
          <w:bCs/>
          <w:color w:val="0070C0"/>
          <w:lang w:eastAsia="fr-FR"/>
        </w:rPr>
        <w:t xml:space="preserve">, ce sont des regards plus experts et croisés qui seront sollicités à l’occasion de Journées d’études consacrées </w:t>
      </w:r>
      <w:r w:rsidR="00BD3B62" w:rsidRPr="005950F2">
        <w:rPr>
          <w:rFonts w:eastAsia="Times New Roman" w:cs="Helvetica"/>
          <w:bCs/>
          <w:color w:val="0070C0"/>
          <w:lang w:eastAsia="fr-FR"/>
        </w:rPr>
        <w:t xml:space="preserve">à la sauvegarde du patrimoine iconographique de et dans l’océan Indien. </w:t>
      </w:r>
    </w:p>
    <w:p w14:paraId="371B4A80" w14:textId="2C47F56C" w:rsidR="00906983" w:rsidRDefault="00906983" w:rsidP="00772A2C">
      <w:pPr>
        <w:pStyle w:val="Paragraphe"/>
      </w:pPr>
    </w:p>
    <w:p w14:paraId="2F7F5914" w14:textId="608AD6BB" w:rsidR="00955BB3" w:rsidRPr="0008468B" w:rsidRDefault="00955BB3" w:rsidP="00A70123">
      <w:pPr>
        <w:pStyle w:val="Titrepartie"/>
      </w:pPr>
      <w:r w:rsidRPr="0008468B">
        <w:t>Proposition de décision</w:t>
      </w:r>
    </w:p>
    <w:p w14:paraId="05F1F967" w14:textId="61E50DBC" w:rsidR="0008468B" w:rsidRPr="004F5C4B" w:rsidRDefault="0008468B" w:rsidP="00FE285D">
      <w:pPr>
        <w:pStyle w:val="Paragraphe"/>
      </w:pPr>
      <w:r w:rsidRPr="004F5C4B">
        <w:t>Le Comité des OPL</w:t>
      </w:r>
      <w:r w:rsidR="00A84FC2">
        <w:t xml:space="preserve"> propose au Conseil des ministres de</w:t>
      </w:r>
      <w:r w:rsidR="00A76B07">
        <w:t> :</w:t>
      </w:r>
    </w:p>
    <w:p w14:paraId="2EF98790" w14:textId="4AA5641B" w:rsidR="0008468B" w:rsidRDefault="00A84FC2" w:rsidP="00FE285D">
      <w:pPr>
        <w:pStyle w:val="Paragraphe"/>
        <w:numPr>
          <w:ilvl w:val="0"/>
          <w:numId w:val="6"/>
        </w:numPr>
      </w:pPr>
      <w:r w:rsidRPr="00A84FC2">
        <w:t>Se réjouir du démarrage p</w:t>
      </w:r>
      <w:r>
        <w:t xml:space="preserve">rogrammé des activités du projet régional de développement des industries culturelles et créatives ; </w:t>
      </w:r>
    </w:p>
    <w:p w14:paraId="57D00AA5" w14:textId="10B36549" w:rsidR="001277C2" w:rsidRDefault="001277C2" w:rsidP="00FE285D">
      <w:pPr>
        <w:pStyle w:val="Paragraphe"/>
        <w:numPr>
          <w:ilvl w:val="0"/>
          <w:numId w:val="6"/>
        </w:numPr>
      </w:pPr>
      <w:r>
        <w:t xml:space="preserve">Demander au Secrétariat général d’organiser, avec l’assistance technique du projet ICC, une région d’information sur </w:t>
      </w:r>
      <w:r w:rsidR="00A31FAD">
        <w:t xml:space="preserve">le projet de développement des ICC afin de mobiliser </w:t>
      </w:r>
      <w:r w:rsidR="00C973CB">
        <w:t xml:space="preserve">au mieux </w:t>
      </w:r>
      <w:r w:rsidR="00A31FAD">
        <w:t xml:space="preserve">les parties prenantes </w:t>
      </w:r>
      <w:r w:rsidR="00C973CB">
        <w:t>dans la mise en œuvre des activités</w:t>
      </w:r>
      <w:r w:rsidR="00A31FAD">
        <w:t xml:space="preserve"> ; </w:t>
      </w:r>
    </w:p>
    <w:p w14:paraId="45FE4424" w14:textId="06ADB3E4" w:rsidR="00A84FC2" w:rsidRPr="00A84FC2" w:rsidRDefault="00C973CB" w:rsidP="00FE285D">
      <w:pPr>
        <w:pStyle w:val="Paragraphe"/>
        <w:numPr>
          <w:ilvl w:val="0"/>
          <w:numId w:val="6"/>
        </w:numPr>
      </w:pPr>
      <w:r>
        <w:t>Autoriser le Secrétariat général à organiser avec le Département de La Réunion un</w:t>
      </w:r>
      <w:r w:rsidR="009A3F01">
        <w:t xml:space="preserve">e édition du prix Indianocéanie dédiée aux jeunes et à rechercher </w:t>
      </w:r>
      <w:r w:rsidR="00477CF4">
        <w:t xml:space="preserve">auprès des partenaires </w:t>
      </w:r>
      <w:r w:rsidR="009A3F01">
        <w:t>des financements complémentaires</w:t>
      </w:r>
      <w:r w:rsidR="00477CF4">
        <w:t xml:space="preserve"> le cas échéant ; </w:t>
      </w:r>
    </w:p>
    <w:p w14:paraId="66881500" w14:textId="3A36D9F6" w:rsidR="00243ADE" w:rsidRDefault="00243ADE" w:rsidP="00A76B07">
      <w:pPr>
        <w:pStyle w:val="Paragraphe"/>
        <w:numPr>
          <w:ilvl w:val="0"/>
          <w:numId w:val="6"/>
        </w:numPr>
      </w:pPr>
      <w:r>
        <w:t>Encourage</w:t>
      </w:r>
      <w:r w:rsidR="000D64D4">
        <w:t>r</w:t>
      </w:r>
      <w:r>
        <w:t xml:space="preserve"> le Secrétariat général à mobiliser les ressources nécessaires au déploiement de l’exposition de </w:t>
      </w:r>
      <w:r w:rsidR="008F65E5">
        <w:t>« Nous et les autres : des préjugés au racisme » aux Comores, à Maurice et aux Seychelles ;</w:t>
      </w:r>
    </w:p>
    <w:p w14:paraId="0A206295" w14:textId="192E1636" w:rsidR="00A76B07" w:rsidRDefault="00477CF4" w:rsidP="00A76B07">
      <w:pPr>
        <w:pStyle w:val="Paragraphe"/>
        <w:numPr>
          <w:ilvl w:val="0"/>
          <w:numId w:val="6"/>
        </w:numPr>
      </w:pPr>
      <w:r w:rsidRPr="00477CF4">
        <w:t>Remercier l’Agence française de d</w:t>
      </w:r>
      <w:r>
        <w:t xml:space="preserve">éveloppement pour son soutien </w:t>
      </w:r>
      <w:r w:rsidR="00BE27B5">
        <w:t>à la coopération culturelle à travers le financement du projet de développement des ICC</w:t>
      </w:r>
      <w:r w:rsidR="000D64D4">
        <w:t xml:space="preserve">, le réseau de l’Alliance française à Madagascar pour </w:t>
      </w:r>
      <w:r w:rsidR="00F44BDF">
        <w:t xml:space="preserve">avoir associé la COI à l’itinérance de l’exposition du Muséum </w:t>
      </w:r>
      <w:r w:rsidR="008F65E5">
        <w:t xml:space="preserve">national </w:t>
      </w:r>
      <w:r w:rsidR="00F44BDF">
        <w:t xml:space="preserve">d’histoire naturelle </w:t>
      </w:r>
      <w:r w:rsidR="008F65E5">
        <w:t xml:space="preserve">(France) </w:t>
      </w:r>
      <w:r w:rsidR="00F44BDF">
        <w:t>« Nous et les autres</w:t>
      </w:r>
      <w:r w:rsidR="008F65E5">
        <w:t> : des préjugés au racisme » et</w:t>
      </w:r>
      <w:r w:rsidR="00BE27B5">
        <w:t xml:space="preserve"> le Département de La Réunion pour sa proposition de conduire </w:t>
      </w:r>
      <w:r w:rsidR="0023785F">
        <w:t xml:space="preserve">avec la COI </w:t>
      </w:r>
      <w:r w:rsidR="00BE27B5">
        <w:t>une nouvelle action</w:t>
      </w:r>
      <w:r w:rsidR="0023785F">
        <w:t xml:space="preserve"> en faveur de la création littéraire et de la jeunesse. </w:t>
      </w:r>
    </w:p>
    <w:p w14:paraId="1816D815" w14:textId="18EFB0FF" w:rsidR="00457C1C" w:rsidRPr="005950F2" w:rsidRDefault="00457C1C" w:rsidP="00A76B07">
      <w:pPr>
        <w:pStyle w:val="Paragraphe"/>
        <w:numPr>
          <w:ilvl w:val="0"/>
          <w:numId w:val="6"/>
        </w:numPr>
        <w:rPr>
          <w:color w:val="0070C0"/>
        </w:rPr>
      </w:pPr>
      <w:r w:rsidRPr="005950F2">
        <w:rPr>
          <w:color w:val="0070C0"/>
        </w:rPr>
        <w:t xml:space="preserve">Encourager le Secrétariat général à </w:t>
      </w:r>
      <w:r w:rsidR="00906983" w:rsidRPr="005950F2">
        <w:rPr>
          <w:color w:val="0070C0"/>
        </w:rPr>
        <w:t>conforter sa contribution à l’</w:t>
      </w:r>
      <w:r w:rsidRPr="005950F2">
        <w:rPr>
          <w:color w:val="0070C0"/>
        </w:rPr>
        <w:t>avance</w:t>
      </w:r>
      <w:r w:rsidR="00906983" w:rsidRPr="005950F2">
        <w:rPr>
          <w:color w:val="0070C0"/>
        </w:rPr>
        <w:t>ment du</w:t>
      </w:r>
      <w:r w:rsidRPr="005950F2">
        <w:rPr>
          <w:color w:val="0070C0"/>
        </w:rPr>
        <w:t xml:space="preserve"> projet d’Appropriation du patrimoine iconographique de l’océan Indien par les </w:t>
      </w:r>
      <w:r w:rsidRPr="005950F2">
        <w:rPr>
          <w:color w:val="0070C0"/>
        </w:rPr>
        <w:lastRenderedPageBreak/>
        <w:t>populations</w:t>
      </w:r>
      <w:r w:rsidR="00637139" w:rsidRPr="005950F2">
        <w:rPr>
          <w:color w:val="0070C0"/>
        </w:rPr>
        <w:t xml:space="preserve"> régionales</w:t>
      </w:r>
      <w:r w:rsidR="005950F2" w:rsidRPr="005950F2">
        <w:rPr>
          <w:color w:val="0070C0"/>
        </w:rPr>
        <w:t xml:space="preserve"> </w:t>
      </w:r>
      <w:r w:rsidRPr="005950F2">
        <w:rPr>
          <w:color w:val="0070C0"/>
        </w:rPr>
        <w:t xml:space="preserve">porté par le Département de La Réunion </w:t>
      </w:r>
      <w:r w:rsidR="005950F2" w:rsidRPr="005950F2">
        <w:rPr>
          <w:color w:val="0070C0"/>
        </w:rPr>
        <w:t>(</w:t>
      </w:r>
      <w:r w:rsidRPr="005950F2">
        <w:rPr>
          <w:color w:val="0070C0"/>
        </w:rPr>
        <w:t>Iconothèque historique de l’océan Indien</w:t>
      </w:r>
      <w:r w:rsidR="005950F2" w:rsidRPr="005950F2">
        <w:rPr>
          <w:color w:val="0070C0"/>
        </w:rPr>
        <w:t>)</w:t>
      </w:r>
      <w:r w:rsidRPr="005950F2">
        <w:rPr>
          <w:color w:val="0070C0"/>
        </w:rPr>
        <w:t xml:space="preserve"> auprès des États membres.</w:t>
      </w:r>
    </w:p>
    <w:p w14:paraId="495CA3D7" w14:textId="77777777" w:rsidR="0008468B" w:rsidRPr="00477CF4"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7F260913" w14:textId="7639D060" w:rsidR="007F799B" w:rsidRDefault="00FE285D" w:rsidP="00060CA0">
      <w:pPr>
        <w:pStyle w:val="Exergue"/>
      </w:pPr>
      <w:r>
        <w:t>Cf.</w:t>
      </w:r>
      <w:r w:rsidR="0008468B" w:rsidRPr="00FE285D">
        <w:t xml:space="preserve"> Décision </w:t>
      </w:r>
      <w:r w:rsidR="007F799B">
        <w:t>19.b</w:t>
      </w:r>
      <w:r w:rsidR="001D0A68">
        <w:t xml:space="preserve"> et 19.c</w:t>
      </w:r>
      <w:r w:rsidR="007F799B">
        <w:t xml:space="preserve"> – culture | COPL 01/2021 du 18/05/21 : </w:t>
      </w:r>
      <w:r w:rsidR="007F799B" w:rsidRPr="0034244A">
        <w:rPr>
          <w:b w:val="0"/>
          <w:bCs w:val="0"/>
          <w:i w:val="0"/>
          <w:iCs/>
        </w:rPr>
        <w:t xml:space="preserve">le Comité des OPL </w:t>
      </w:r>
      <w:r w:rsidR="001D0A68">
        <w:rPr>
          <w:b w:val="0"/>
          <w:bCs w:val="0"/>
          <w:i w:val="0"/>
          <w:iCs/>
        </w:rPr>
        <w:t>[</w:t>
      </w:r>
      <w:r w:rsidR="00B74869">
        <w:rPr>
          <w:b w:val="0"/>
          <w:bCs w:val="0"/>
          <w:i w:val="0"/>
          <w:iCs/>
        </w:rPr>
        <w:t xml:space="preserve">19.b.] </w:t>
      </w:r>
      <w:r w:rsidR="007F799B" w:rsidRPr="0034244A">
        <w:rPr>
          <w:b w:val="0"/>
          <w:bCs w:val="0"/>
          <w:i w:val="0"/>
          <w:iCs/>
        </w:rPr>
        <w:t>autorise le SG-COI à lancer un appel d’offres pour démarrer les activités en faveur des ICC sur la base de l’étude de préfaisabilité avec le soutien de l’AFD</w:t>
      </w:r>
      <w:r w:rsidR="00B74869">
        <w:rPr>
          <w:b w:val="0"/>
          <w:bCs w:val="0"/>
          <w:i w:val="0"/>
          <w:iCs/>
        </w:rPr>
        <w:t xml:space="preserve"> ; [19.c] encourage le SG-COI à nouer des partenariats avec des acteurs institutionnels et privés pour l’installation de l’exposition « Nous et les autres » dans la région en concertation avec les Etats membres. </w:t>
      </w:r>
      <w:r w:rsidR="007F799B" w:rsidRPr="0034244A">
        <w:rPr>
          <w:b w:val="0"/>
          <w:bCs w:val="0"/>
          <w:i w:val="0"/>
          <w:iCs/>
        </w:rPr>
        <w:t> </w:t>
      </w:r>
    </w:p>
    <w:p w14:paraId="65F3B9F9" w14:textId="58AFC9D9" w:rsidR="0034244A" w:rsidRPr="0034244A" w:rsidRDefault="007F799B" w:rsidP="00060CA0">
      <w:pPr>
        <w:pStyle w:val="Exergue"/>
        <w:rPr>
          <w:b w:val="0"/>
          <w:bCs w:val="0"/>
          <w:i w:val="0"/>
          <w:iCs/>
        </w:rPr>
      </w:pPr>
      <w:r>
        <w:t xml:space="preserve">Cf Décision </w:t>
      </w:r>
      <w:r w:rsidR="00610BD0">
        <w:t>3.e – Relance post-Covid et coopération économique | Conseil extraordinaire du 26</w:t>
      </w:r>
      <w:r w:rsidR="002E1C79">
        <w:t xml:space="preserve">/11/21 : </w:t>
      </w:r>
      <w:r w:rsidR="002E1C79" w:rsidRPr="0034244A">
        <w:rPr>
          <w:b w:val="0"/>
          <w:bCs w:val="0"/>
          <w:i w:val="0"/>
          <w:iCs/>
        </w:rPr>
        <w:t>Le Conseil des ministre</w:t>
      </w:r>
      <w:r w:rsidR="0034244A" w:rsidRPr="0034244A">
        <w:rPr>
          <w:b w:val="0"/>
          <w:bCs w:val="0"/>
          <w:i w:val="0"/>
          <w:iCs/>
        </w:rPr>
        <w:t>s</w:t>
      </w:r>
      <w:r w:rsidR="002E1C79" w:rsidRPr="0034244A">
        <w:rPr>
          <w:b w:val="0"/>
          <w:bCs w:val="0"/>
          <w:i w:val="0"/>
          <w:iCs/>
        </w:rPr>
        <w:t xml:space="preserve"> </w:t>
      </w:r>
      <w:r w:rsidR="00526D64" w:rsidRPr="0034244A">
        <w:rPr>
          <w:b w:val="0"/>
          <w:bCs w:val="0"/>
          <w:i w:val="0"/>
          <w:iCs/>
        </w:rPr>
        <w:t>donne mandat au SG-COI de signer avec l’AFD la convention de financement du projet de développement des ICC qui aura été approuvée par les Etats et de fina</w:t>
      </w:r>
      <w:r w:rsidR="0034244A" w:rsidRPr="0034244A">
        <w:rPr>
          <w:b w:val="0"/>
          <w:bCs w:val="0"/>
          <w:i w:val="0"/>
          <w:iCs/>
        </w:rPr>
        <w:t xml:space="preserve">liser le processus de </w:t>
      </w:r>
      <w:r w:rsidR="00347148" w:rsidRPr="0034244A">
        <w:rPr>
          <w:b w:val="0"/>
          <w:bCs w:val="0"/>
          <w:i w:val="0"/>
          <w:iCs/>
        </w:rPr>
        <w:t>recrutement</w:t>
      </w:r>
      <w:r w:rsidR="0034244A" w:rsidRPr="0034244A">
        <w:rPr>
          <w:b w:val="0"/>
          <w:bCs w:val="0"/>
          <w:i w:val="0"/>
          <w:iCs/>
        </w:rPr>
        <w:t xml:space="preserve"> de l’assistance à maitrise d’ouvrage en vue d’un démarrage effectif des activités au premier semestre 2022 en complémentarité de soutiens dans le cadre d’INTERREG VI. </w:t>
      </w:r>
    </w:p>
    <w:p w14:paraId="75BA6786" w14:textId="77777777" w:rsidR="0034244A" w:rsidRDefault="0034244A" w:rsidP="00060CA0">
      <w:pPr>
        <w:pStyle w:val="Exergue"/>
      </w:pPr>
    </w:p>
    <w:p w14:paraId="1A08E46E" w14:textId="77777777" w:rsidR="0008468B" w:rsidRDefault="0008468B" w:rsidP="00417683">
      <w:pPr>
        <w:rPr>
          <w:rFonts w:ascii="Verdana" w:hAnsi="Verdana"/>
          <w:b/>
          <w:bCs/>
          <w:i/>
          <w:iCs/>
          <w:sz w:val="20"/>
          <w:szCs w:val="20"/>
        </w:rPr>
      </w:pPr>
    </w:p>
    <w:p w14:paraId="1D6F1669" w14:textId="5BD5230B" w:rsidR="00417683" w:rsidRPr="0008468B" w:rsidRDefault="00417683" w:rsidP="00060CA0">
      <w:pPr>
        <w:pStyle w:val="Titrepartie"/>
      </w:pPr>
      <w:r w:rsidRPr="0008468B">
        <w:t>Annexe</w:t>
      </w:r>
      <w:r w:rsidR="008F173C" w:rsidRPr="0008468B">
        <w:t>s</w:t>
      </w:r>
    </w:p>
    <w:p w14:paraId="374F3417" w14:textId="1C8BD207" w:rsidR="00C325F5" w:rsidRDefault="00620B90" w:rsidP="00620B90">
      <w:pPr>
        <w:pStyle w:val="Paragraphe"/>
        <w:numPr>
          <w:ilvl w:val="0"/>
          <w:numId w:val="9"/>
        </w:numPr>
      </w:pPr>
      <w:r>
        <w:t xml:space="preserve">Annexe 1 : </w:t>
      </w:r>
      <w:r w:rsidR="00261624">
        <w:t xml:space="preserve">Cadre logique du projet ICC présenté par le consortium </w:t>
      </w:r>
      <w:proofErr w:type="spellStart"/>
      <w:r w:rsidR="00261624">
        <w:t>Hydea</w:t>
      </w:r>
      <w:proofErr w:type="spellEnd"/>
      <w:r w:rsidR="00261624">
        <w:t xml:space="preserve"> – </w:t>
      </w:r>
      <w:proofErr w:type="spellStart"/>
      <w:r w:rsidR="00261624">
        <w:t>Lalanbik</w:t>
      </w:r>
      <w:proofErr w:type="spellEnd"/>
      <w:r w:rsidR="00261624">
        <w:t xml:space="preserve"> – OCPA. </w:t>
      </w:r>
    </w:p>
    <w:sectPr w:rsidR="00C325F5"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E69B" w14:textId="77777777" w:rsidR="00354313" w:rsidRDefault="00354313">
      <w:pPr>
        <w:spacing w:after="0" w:line="240" w:lineRule="auto"/>
      </w:pPr>
      <w:r>
        <w:separator/>
      </w:r>
    </w:p>
  </w:endnote>
  <w:endnote w:type="continuationSeparator" w:id="0">
    <w:p w14:paraId="1E6945C2" w14:textId="77777777" w:rsidR="00354313" w:rsidRDefault="0035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F735" w14:textId="77777777" w:rsidR="00354313" w:rsidRDefault="00354313">
      <w:pPr>
        <w:spacing w:after="0" w:line="240" w:lineRule="auto"/>
      </w:pPr>
      <w:r>
        <w:separator/>
      </w:r>
    </w:p>
  </w:footnote>
  <w:footnote w:type="continuationSeparator" w:id="0">
    <w:p w14:paraId="7F79B1A0" w14:textId="77777777" w:rsidR="00354313" w:rsidRDefault="00354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8C58AA4"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936084">
      <w:rPr>
        <w:rFonts w:ascii="Verdana" w:hAnsi="Verdana"/>
        <w:b/>
        <w:bCs/>
        <w:sz w:val="20"/>
        <w:szCs w:val="20"/>
      </w:rPr>
      <w:t>3.</w:t>
    </w:r>
    <w:r w:rsidR="004E3ED6">
      <w:rPr>
        <w:rFonts w:ascii="Verdana" w:hAnsi="Verdana"/>
        <w:b/>
        <w:bCs/>
        <w:sz w:val="20"/>
        <w:szCs w:val="20"/>
      </w:rPr>
      <w:t>6</w:t>
    </w:r>
    <w:r w:rsidR="00936084">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C37439"/>
    <w:multiLevelType w:val="hybridMultilevel"/>
    <w:tmpl w:val="04E28B40"/>
    <w:lvl w:ilvl="0" w:tplc="C51C4084">
      <w:start w:val="2"/>
      <w:numFmt w:val="bullet"/>
      <w:lvlText w:val="-"/>
      <w:lvlJc w:val="left"/>
      <w:pPr>
        <w:ind w:left="1080" w:hanging="360"/>
      </w:pPr>
      <w:rPr>
        <w:rFonts w:ascii="Verdana" w:eastAsia="Calibri" w:hAnsi="Verdana"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F01694"/>
    <w:multiLevelType w:val="hybridMultilevel"/>
    <w:tmpl w:val="219A8DC6"/>
    <w:lvl w:ilvl="0" w:tplc="D5AA5B1E">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0"/>
  </w:num>
  <w:num w:numId="5">
    <w:abstractNumId w:val="8"/>
  </w:num>
  <w:num w:numId="6">
    <w:abstractNumId w:val="4"/>
  </w:num>
  <w:num w:numId="7">
    <w:abstractNumId w:val="7"/>
  </w:num>
  <w:num w:numId="8">
    <w:abstractNumId w:val="2"/>
    <w:lvlOverride w:ilvl="0">
      <w:startOverride w:val="1"/>
    </w:lvlOverride>
  </w:num>
  <w:num w:numId="9">
    <w:abstractNumId w:val="1"/>
  </w:num>
  <w:num w:numId="10">
    <w:abstractNumId w:val="3"/>
  </w:num>
  <w:num w:numId="11">
    <w:abstractNumId w:val="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8DB"/>
    <w:rsid w:val="000373B2"/>
    <w:rsid w:val="00042CF5"/>
    <w:rsid w:val="00060CA0"/>
    <w:rsid w:val="00063A26"/>
    <w:rsid w:val="0008468B"/>
    <w:rsid w:val="000A468A"/>
    <w:rsid w:val="000B0FBD"/>
    <w:rsid w:val="000D08DA"/>
    <w:rsid w:val="000D1FB5"/>
    <w:rsid w:val="000D64D4"/>
    <w:rsid w:val="000E79EF"/>
    <w:rsid w:val="000F4728"/>
    <w:rsid w:val="00107D9D"/>
    <w:rsid w:val="001277C2"/>
    <w:rsid w:val="00174CB2"/>
    <w:rsid w:val="0017619D"/>
    <w:rsid w:val="0018252D"/>
    <w:rsid w:val="001A56F1"/>
    <w:rsid w:val="001B4738"/>
    <w:rsid w:val="001D0A68"/>
    <w:rsid w:val="00204A95"/>
    <w:rsid w:val="0021129C"/>
    <w:rsid w:val="00231F03"/>
    <w:rsid w:val="0023785F"/>
    <w:rsid w:val="00243ADE"/>
    <w:rsid w:val="00261624"/>
    <w:rsid w:val="002A0933"/>
    <w:rsid w:val="002A096E"/>
    <w:rsid w:val="002B21BA"/>
    <w:rsid w:val="002C56ED"/>
    <w:rsid w:val="002E1C79"/>
    <w:rsid w:val="002E6C9F"/>
    <w:rsid w:val="003413E6"/>
    <w:rsid w:val="0034244A"/>
    <w:rsid w:val="00347148"/>
    <w:rsid w:val="00354313"/>
    <w:rsid w:val="003604B9"/>
    <w:rsid w:val="003772FB"/>
    <w:rsid w:val="00391152"/>
    <w:rsid w:val="003C2538"/>
    <w:rsid w:val="003D485F"/>
    <w:rsid w:val="003D5328"/>
    <w:rsid w:val="0041278C"/>
    <w:rsid w:val="004141F9"/>
    <w:rsid w:val="00417683"/>
    <w:rsid w:val="00426673"/>
    <w:rsid w:val="00455472"/>
    <w:rsid w:val="00457C1C"/>
    <w:rsid w:val="004607F7"/>
    <w:rsid w:val="00477CF4"/>
    <w:rsid w:val="004901A3"/>
    <w:rsid w:val="004B70A3"/>
    <w:rsid w:val="004E3ED6"/>
    <w:rsid w:val="004F5C4B"/>
    <w:rsid w:val="00506399"/>
    <w:rsid w:val="00526D64"/>
    <w:rsid w:val="00532EB2"/>
    <w:rsid w:val="0053773D"/>
    <w:rsid w:val="0054552A"/>
    <w:rsid w:val="005950F2"/>
    <w:rsid w:val="00610BD0"/>
    <w:rsid w:val="00620B90"/>
    <w:rsid w:val="006307EF"/>
    <w:rsid w:val="006356AF"/>
    <w:rsid w:val="00635EBB"/>
    <w:rsid w:val="00637139"/>
    <w:rsid w:val="00650F7C"/>
    <w:rsid w:val="006548BF"/>
    <w:rsid w:val="00660504"/>
    <w:rsid w:val="00660D2D"/>
    <w:rsid w:val="006B4EA7"/>
    <w:rsid w:val="006E2D9E"/>
    <w:rsid w:val="00715720"/>
    <w:rsid w:val="00772A2C"/>
    <w:rsid w:val="007B245C"/>
    <w:rsid w:val="007B2EC5"/>
    <w:rsid w:val="007C78FC"/>
    <w:rsid w:val="007F799B"/>
    <w:rsid w:val="00816DAC"/>
    <w:rsid w:val="008207AB"/>
    <w:rsid w:val="0083290E"/>
    <w:rsid w:val="00843FF2"/>
    <w:rsid w:val="008453AB"/>
    <w:rsid w:val="00852600"/>
    <w:rsid w:val="00854EEA"/>
    <w:rsid w:val="008551DA"/>
    <w:rsid w:val="008A39F9"/>
    <w:rsid w:val="008D193F"/>
    <w:rsid w:val="008F173C"/>
    <w:rsid w:val="008F65E5"/>
    <w:rsid w:val="00906983"/>
    <w:rsid w:val="00936084"/>
    <w:rsid w:val="00940811"/>
    <w:rsid w:val="00940C82"/>
    <w:rsid w:val="00953A48"/>
    <w:rsid w:val="00955BB3"/>
    <w:rsid w:val="00992DE9"/>
    <w:rsid w:val="009A0B45"/>
    <w:rsid w:val="009A38AD"/>
    <w:rsid w:val="009A3F01"/>
    <w:rsid w:val="009B7B6C"/>
    <w:rsid w:val="009C37B3"/>
    <w:rsid w:val="009D63E0"/>
    <w:rsid w:val="00A01FD0"/>
    <w:rsid w:val="00A148A1"/>
    <w:rsid w:val="00A31FAD"/>
    <w:rsid w:val="00A36C09"/>
    <w:rsid w:val="00A37C9F"/>
    <w:rsid w:val="00A5532C"/>
    <w:rsid w:val="00A70123"/>
    <w:rsid w:val="00A76B07"/>
    <w:rsid w:val="00A81B98"/>
    <w:rsid w:val="00A84FC2"/>
    <w:rsid w:val="00A90305"/>
    <w:rsid w:val="00AA411B"/>
    <w:rsid w:val="00AA63A3"/>
    <w:rsid w:val="00AB5EB7"/>
    <w:rsid w:val="00AC08D0"/>
    <w:rsid w:val="00AD4D97"/>
    <w:rsid w:val="00AE0A3F"/>
    <w:rsid w:val="00AE2453"/>
    <w:rsid w:val="00B032CE"/>
    <w:rsid w:val="00B0579B"/>
    <w:rsid w:val="00B05DFC"/>
    <w:rsid w:val="00B36EEA"/>
    <w:rsid w:val="00B41D9B"/>
    <w:rsid w:val="00B74869"/>
    <w:rsid w:val="00B9765D"/>
    <w:rsid w:val="00BA4B55"/>
    <w:rsid w:val="00BD3B62"/>
    <w:rsid w:val="00BE27B5"/>
    <w:rsid w:val="00C12C93"/>
    <w:rsid w:val="00C325F5"/>
    <w:rsid w:val="00C457E8"/>
    <w:rsid w:val="00C609B9"/>
    <w:rsid w:val="00C61DCE"/>
    <w:rsid w:val="00C71AA8"/>
    <w:rsid w:val="00C973CB"/>
    <w:rsid w:val="00CA0A4C"/>
    <w:rsid w:val="00CD09F0"/>
    <w:rsid w:val="00CE2386"/>
    <w:rsid w:val="00CF5DE1"/>
    <w:rsid w:val="00D01E79"/>
    <w:rsid w:val="00D76F43"/>
    <w:rsid w:val="00D848FC"/>
    <w:rsid w:val="00E11999"/>
    <w:rsid w:val="00E32408"/>
    <w:rsid w:val="00E845D4"/>
    <w:rsid w:val="00EC22CC"/>
    <w:rsid w:val="00ED6B69"/>
    <w:rsid w:val="00EE34F4"/>
    <w:rsid w:val="00EF22A4"/>
    <w:rsid w:val="00F44BDF"/>
    <w:rsid w:val="00F54EA0"/>
    <w:rsid w:val="00F90560"/>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e couleur - Accent 11,Bullets,Bullet Points,Liste Paragraf,Paragraphe de liste PBLH,Llista Nivell1,Lista de nivel 1,Graph &amp; Table tite,Paragraph,Table of contents numbered,En tête 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e couleur - Accent 11 Car,Bullets Car,Bullet Points Car,Liste Paragraf Car,Paragraphe de liste PBLH Car,Llista Nivell1 Car,Lista de nivel 1 Car,Graph &amp; Table tite Car,Paragraph Car,En tête 1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772A2C"/>
    <w:rPr>
      <w:color w:val="0563C1" w:themeColor="hyperlink"/>
      <w:u w:val="single"/>
    </w:rPr>
  </w:style>
  <w:style w:type="paragraph" w:styleId="Sansinterligne">
    <w:name w:val="No Spacing"/>
    <w:uiPriority w:val="1"/>
    <w:qFormat/>
    <w:rsid w:val="00772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2594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9261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cp:lastPrinted>2022-01-24T05:11:00Z</cp:lastPrinted>
  <dcterms:created xsi:type="dcterms:W3CDTF">2022-01-27T13:39:00Z</dcterms:created>
  <dcterms:modified xsi:type="dcterms:W3CDTF">2022-01-27T13:39:00Z</dcterms:modified>
</cp:coreProperties>
</file>