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F5CDA7F" w:rsidR="00EC22CC" w:rsidRDefault="00415B82" w:rsidP="00854EEA">
            <w:pPr>
              <w:jc w:val="center"/>
              <w:rPr>
                <w:rFonts w:ascii="Verdana" w:hAnsi="Verdana"/>
                <w:b/>
                <w:bCs/>
                <w:sz w:val="20"/>
                <w:szCs w:val="20"/>
              </w:rPr>
            </w:pPr>
            <w:r>
              <w:rPr>
                <w:rFonts w:ascii="Verdana" w:hAnsi="Verdana"/>
                <w:b/>
                <w:bCs/>
              </w:rPr>
              <w:t>Formation professionnelle et coopération universitaire</w:t>
            </w:r>
          </w:p>
        </w:tc>
      </w:tr>
      <w:tr w:rsidR="00EC22CC" w14:paraId="7F1B63D2" w14:textId="77777777" w:rsidTr="002A0933">
        <w:tc>
          <w:tcPr>
            <w:tcW w:w="7225" w:type="dxa"/>
          </w:tcPr>
          <w:p w14:paraId="056D9B10" w14:textId="264B5044" w:rsidR="00EC22CC" w:rsidRPr="002A096E" w:rsidRDefault="00856B9D" w:rsidP="002A096E">
            <w:pPr>
              <w:rPr>
                <w:rFonts w:ascii="Verdana" w:hAnsi="Verdana"/>
                <w:sz w:val="20"/>
                <w:szCs w:val="20"/>
              </w:rPr>
            </w:pPr>
            <w:r>
              <w:rPr>
                <w:rFonts w:ascii="Verdana" w:hAnsi="Verdana"/>
                <w:sz w:val="20"/>
                <w:szCs w:val="20"/>
              </w:rPr>
              <w:t>Comité des OPL préparatoire au 36</w:t>
            </w:r>
            <w:r w:rsidRPr="00856B9D">
              <w:rPr>
                <w:rFonts w:ascii="Verdana" w:hAnsi="Verdana"/>
                <w:sz w:val="20"/>
                <w:szCs w:val="20"/>
                <w:vertAlign w:val="superscript"/>
              </w:rPr>
              <w:t>e</w:t>
            </w:r>
            <w:r>
              <w:rPr>
                <w:rFonts w:ascii="Verdana" w:hAnsi="Verdana"/>
                <w:sz w:val="20"/>
                <w:szCs w:val="20"/>
              </w:rPr>
              <w:t xml:space="preserve"> Conseil des ministres | 8-9 février 2022</w:t>
            </w:r>
          </w:p>
        </w:tc>
        <w:tc>
          <w:tcPr>
            <w:tcW w:w="1837" w:type="dxa"/>
          </w:tcPr>
          <w:p w14:paraId="58E25D1F" w14:textId="31731C25"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415B82">
              <w:rPr>
                <w:rFonts w:ascii="Verdana" w:hAnsi="Verdana"/>
                <w:sz w:val="20"/>
                <w:szCs w:val="20"/>
              </w:rPr>
              <w:t>3.</w:t>
            </w:r>
            <w:r w:rsidR="00560794">
              <w:rPr>
                <w:rFonts w:ascii="Verdana" w:hAnsi="Verdana"/>
                <w:sz w:val="20"/>
                <w:szCs w:val="20"/>
              </w:rPr>
              <w:t>5</w:t>
            </w:r>
          </w:p>
        </w:tc>
      </w:tr>
      <w:tr w:rsidR="00EC22CC" w14:paraId="537D1DE5" w14:textId="77777777" w:rsidTr="002A0933">
        <w:tc>
          <w:tcPr>
            <w:tcW w:w="7225" w:type="dxa"/>
          </w:tcPr>
          <w:p w14:paraId="43DEF09E" w14:textId="7ECFFF91"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15B82">
              <w:rPr>
                <w:rFonts w:ascii="Verdana" w:hAnsi="Verdana"/>
                <w:sz w:val="20"/>
                <w:szCs w:val="20"/>
              </w:rPr>
              <w:t>Pr. Vêlayoudom Marimoutou, SG</w:t>
            </w:r>
          </w:p>
        </w:tc>
        <w:tc>
          <w:tcPr>
            <w:tcW w:w="1837" w:type="dxa"/>
          </w:tcPr>
          <w:p w14:paraId="5AC1AFAB" w14:textId="28853F18" w:rsidR="00EC22CC" w:rsidRPr="002A0933" w:rsidRDefault="004607F7" w:rsidP="00854EEA">
            <w:pPr>
              <w:jc w:val="center"/>
              <w:rPr>
                <w:rFonts w:ascii="Verdana" w:hAnsi="Verdana"/>
                <w:sz w:val="20"/>
                <w:szCs w:val="20"/>
              </w:rPr>
            </w:pPr>
            <w:r w:rsidRPr="00415B82">
              <w:rPr>
                <w:rFonts w:ascii="Verdana" w:hAnsi="Verdana"/>
                <w:sz w:val="20"/>
                <w:szCs w:val="20"/>
              </w:rPr>
              <w:t xml:space="preserve">Décision </w:t>
            </w:r>
          </w:p>
        </w:tc>
      </w:tr>
      <w:tr w:rsidR="00A90305" w14:paraId="6896DB30" w14:textId="77777777" w:rsidTr="009F5233">
        <w:tc>
          <w:tcPr>
            <w:tcW w:w="9062" w:type="dxa"/>
            <w:gridSpan w:val="2"/>
          </w:tcPr>
          <w:p w14:paraId="0495241B" w14:textId="2EBFD40D" w:rsidR="00A90305" w:rsidRDefault="00A90305" w:rsidP="00A90305">
            <w:pPr>
              <w:rPr>
                <w:rFonts w:ascii="Verdana" w:hAnsi="Verdana"/>
                <w:sz w:val="20"/>
                <w:szCs w:val="20"/>
              </w:rPr>
            </w:pPr>
            <w:r>
              <w:rPr>
                <w:rFonts w:ascii="Verdana" w:hAnsi="Verdana"/>
                <w:i/>
                <w:iCs/>
                <w:sz w:val="20"/>
                <w:szCs w:val="20"/>
              </w:rPr>
              <w:t xml:space="preserve">Version du </w:t>
            </w:r>
            <w:r w:rsidR="00464D1E">
              <w:rPr>
                <w:rFonts w:ascii="Verdana" w:hAnsi="Verdana"/>
                <w:i/>
                <w:iCs/>
                <w:sz w:val="20"/>
                <w:szCs w:val="20"/>
              </w:rPr>
              <w:t>13/01/2022</w:t>
            </w:r>
            <w:r w:rsidR="004D2C24">
              <w:rPr>
                <w:rFonts w:ascii="Verdana" w:hAnsi="Verdana"/>
                <w:i/>
                <w:iCs/>
                <w:sz w:val="20"/>
                <w:szCs w:val="20"/>
              </w:rPr>
              <w:t xml:space="preserve"> révisée le 17/01</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8C89921" w14:textId="77777777" w:rsidR="00464D1E" w:rsidRDefault="00464D1E" w:rsidP="00CE2386">
      <w:pPr>
        <w:pStyle w:val="Paragraphe"/>
      </w:pPr>
      <w:r>
        <w:t xml:space="preserve">En application des décisions du Conseil extraordinaire des ministres de la COI de novembre 2021, le Secrétariat général de la COI a : </w:t>
      </w:r>
    </w:p>
    <w:p w14:paraId="29AD1400" w14:textId="2B2F95A0" w:rsidR="0041278C" w:rsidRDefault="003B77E6" w:rsidP="00464D1E">
      <w:pPr>
        <w:pStyle w:val="Paragraphe"/>
        <w:numPr>
          <w:ilvl w:val="0"/>
          <w:numId w:val="10"/>
        </w:numPr>
      </w:pPr>
      <w:r>
        <w:t xml:space="preserve">Cf. décision 5.a : </w:t>
      </w:r>
      <w:r w:rsidR="005C1E07">
        <w:t>établi des projets d’accord-cadre avec les universités nationales. Il est prévu d’</w:t>
      </w:r>
      <w:r w:rsidR="00B67DDD">
        <w:t xml:space="preserve">élargir cette opportunité aux autres universités des Etats membres. </w:t>
      </w:r>
      <w:r>
        <w:t xml:space="preserve"> </w:t>
      </w:r>
    </w:p>
    <w:p w14:paraId="68615D55" w14:textId="527BC39D" w:rsidR="00D33670" w:rsidRDefault="00D3367F" w:rsidP="00464D1E">
      <w:pPr>
        <w:pStyle w:val="Paragraphe"/>
        <w:numPr>
          <w:ilvl w:val="0"/>
          <w:numId w:val="10"/>
        </w:numPr>
      </w:pPr>
      <w:r>
        <w:t xml:space="preserve">Cf. décision 5.b : </w:t>
      </w:r>
      <w:r w:rsidR="0014425D">
        <w:t>sollicité les Etats membres pour la désignation de points focaux nationaux et de personnes-ressources en vue de l’organisation des Assises et mobilisé une expertise auprès de l’AFD pour conduire les travaux diagnostic nécessaires. L</w:t>
      </w:r>
      <w:r w:rsidR="00AF76CA">
        <w:t>e Secrétariat général a également mobilisé des ressources de la FAPS (facilité de l’AFD) pour l’organisation des Assises en distanciel.</w:t>
      </w:r>
    </w:p>
    <w:p w14:paraId="710C3E2A" w14:textId="77777777" w:rsidR="00AF76CA" w:rsidRPr="0041278C" w:rsidRDefault="00AF76CA" w:rsidP="00D03F10">
      <w:pPr>
        <w:pStyle w:val="Paragraphe"/>
      </w:pPr>
    </w:p>
    <w:p w14:paraId="68009DDB" w14:textId="06AAE9C2" w:rsidR="0008468B" w:rsidRPr="0008468B" w:rsidRDefault="00955BB3" w:rsidP="00A70123">
      <w:pPr>
        <w:pStyle w:val="Titrepartie"/>
      </w:pPr>
      <w:r w:rsidRPr="0008468B">
        <w:t>Etat d’avancement</w:t>
      </w:r>
    </w:p>
    <w:p w14:paraId="48AB0783" w14:textId="3F97A4DB" w:rsidR="00426673" w:rsidRPr="00426673" w:rsidRDefault="00E721F7" w:rsidP="002C56ED">
      <w:pPr>
        <w:pStyle w:val="Sous-partie2"/>
      </w:pPr>
      <w:r>
        <w:t>Accords-cadres avec les universités de la région</w:t>
      </w:r>
    </w:p>
    <w:p w14:paraId="0BEBBB31" w14:textId="58EFCA4B" w:rsidR="002C56ED" w:rsidRDefault="00E721F7" w:rsidP="002C56ED">
      <w:pPr>
        <w:pStyle w:val="Paragraphe"/>
        <w:rPr>
          <w:shd w:val="clear" w:color="auto" w:fill="FFFFFF"/>
        </w:rPr>
      </w:pPr>
      <w:r>
        <w:t xml:space="preserve">A la suite de la signature d’un accord-cadre de coopération avec l’Université de La Réunion, les Etats membres ont demandé au Secrétariat général d’élargir ce type de partenariat avec les autres universités de la région. Une première mouture d’accord-cadre avec les universités nationales des Etats membres a été </w:t>
      </w:r>
      <w:r w:rsidR="005E0233">
        <w:t xml:space="preserve">soumise aux réunions des instances en novembre 2021. </w:t>
      </w:r>
      <w:r w:rsidR="00B67DDD">
        <w:t xml:space="preserve">Lors des débats, il a été recommandé au Secrétariat général d’élargir cette opportunité aux autres universités des Etats membres pour couvrir un plus large éventail d’acteurs et </w:t>
      </w:r>
      <w:r w:rsidR="00A7707D">
        <w:t xml:space="preserve">faciliter les collaborations avec les projets portés par la COI. Le bureau de l’OPL de Maurice a conduit une consultation auprès des institutions d’enseignement supérieur du pays et </w:t>
      </w:r>
      <w:r w:rsidR="00806464">
        <w:t>trois</w:t>
      </w:r>
      <w:r w:rsidR="00A7707D">
        <w:t xml:space="preserve"> institutions ont marqué leur intérêt : Open </w:t>
      </w:r>
      <w:proofErr w:type="spellStart"/>
      <w:r w:rsidR="00A7707D">
        <w:t>University</w:t>
      </w:r>
      <w:proofErr w:type="spellEnd"/>
      <w:r w:rsidR="00A7707D">
        <w:t xml:space="preserve"> of Mauritius ; Mahatma Gandhi Institute ; </w:t>
      </w:r>
      <w:r w:rsidR="00806464">
        <w:t xml:space="preserve">Université de technologie. A noter que l’Université de Maurice, initialement visée par le projet d’accord-cadre, a confirmé son intérêt et proposé </w:t>
      </w:r>
      <w:r w:rsidR="00694935">
        <w:t xml:space="preserve">d’y inclure d’autres secteurs </w:t>
      </w:r>
      <w:r w:rsidR="0006133C">
        <w:t>dont</w:t>
      </w:r>
      <w:r w:rsidR="00694935">
        <w:t xml:space="preserve"> les sciences marines </w:t>
      </w:r>
      <w:r w:rsidR="0006133C">
        <w:t>et</w:t>
      </w:r>
      <w:r w:rsidR="00694935">
        <w:t xml:space="preserve"> les relations internationales</w:t>
      </w:r>
      <w:r w:rsidR="0006133C">
        <w:t xml:space="preserve">. </w:t>
      </w:r>
      <w:r w:rsidR="00806464">
        <w:t xml:space="preserve"> </w:t>
      </w:r>
    </w:p>
    <w:p w14:paraId="54854EB5" w14:textId="45302E33" w:rsidR="002C56ED" w:rsidRPr="00A76B07" w:rsidRDefault="0006133C" w:rsidP="00A76B07">
      <w:pPr>
        <w:pStyle w:val="Sous-partie2"/>
      </w:pPr>
      <w:r>
        <w:t>Assises régionales de la formation professionnelle et de la mobilité</w:t>
      </w:r>
    </w:p>
    <w:p w14:paraId="0335DA47" w14:textId="3753EE5A" w:rsidR="0006133C" w:rsidRDefault="0006133C" w:rsidP="002C56ED">
      <w:pPr>
        <w:pStyle w:val="Paragraphe"/>
      </w:pPr>
      <w:r w:rsidRPr="004D2C24">
        <w:rPr>
          <w:highlight w:val="yellow"/>
        </w:rPr>
        <w:t>[</w:t>
      </w:r>
      <w:proofErr w:type="gramStart"/>
      <w:r w:rsidRPr="004D2C24">
        <w:rPr>
          <w:highlight w:val="yellow"/>
        </w:rPr>
        <w:t>au</w:t>
      </w:r>
      <w:proofErr w:type="gramEnd"/>
      <w:r w:rsidRPr="004D2C24">
        <w:rPr>
          <w:highlight w:val="yellow"/>
        </w:rPr>
        <w:t xml:space="preserve"> </w:t>
      </w:r>
      <w:r w:rsidR="004D2C24" w:rsidRPr="004D2C24">
        <w:rPr>
          <w:highlight w:val="yellow"/>
        </w:rPr>
        <w:t>15/01/22]</w:t>
      </w:r>
      <w:r w:rsidR="004D2C24">
        <w:t xml:space="preserve"> </w:t>
      </w:r>
      <w:r>
        <w:t xml:space="preserve">Le Secrétariat général a obtenu de l’AFD un appui en termes d’expertise pour la conduite d’une mission de diagnostic sur la période décembre 2021 – mars 2022. Cette mission d’expertise vise à (i) compléter le diagnostic sur les offres de formation professionnelle ; (ii) examiner les possibilités en termes de mobilités et de financement d’un projet dans le domaine ; (iii) participer à l’animation des Assises régionales ; (iv) participer à l’élaboration d’une note stratégique à l’attention des instances présentant les principales recommandations des Assises et les grands axes d’un projet de mobilité en formation professionnelle. </w:t>
      </w:r>
    </w:p>
    <w:p w14:paraId="2C4AE541" w14:textId="34ECC7EE" w:rsidR="0006133C" w:rsidRDefault="0006133C" w:rsidP="002C56ED">
      <w:pPr>
        <w:pStyle w:val="Paragraphe"/>
      </w:pPr>
      <w:r>
        <w:t xml:space="preserve">Six secteurs prioritaires présentant une valeur ajoutée régionales ont été identifiés : tourisme ; métiers de la mer ; agriculture ; BTP ; numérique ; santé. Pour les quatre premiers secteurs, des experts sectoriels ont réalisés les diagnostics sur la base d’une revue de littérature et des enquêtes auprès des principaux acteurs des filières. Pour le numérique, Cap Business océan Indien a été sollicité pour coordonner le diagnostic et </w:t>
      </w:r>
      <w:r>
        <w:lastRenderedPageBreak/>
        <w:t xml:space="preserve">présenter les offres existantes et les besoins du secteur lors des Assises. Pour la santé, c’est l’unité de veille sanitaire qui agira comme référent du diagnostic en capitalisant sur une remontée d’information des membres du réseau SEGA-One </w:t>
      </w:r>
      <w:proofErr w:type="spellStart"/>
      <w:r>
        <w:t>Health</w:t>
      </w:r>
      <w:proofErr w:type="spellEnd"/>
      <w:r>
        <w:t xml:space="preserve">. </w:t>
      </w:r>
    </w:p>
    <w:p w14:paraId="21875958" w14:textId="26FC46D4" w:rsidR="002C56ED" w:rsidRDefault="0006133C" w:rsidP="002C56ED">
      <w:pPr>
        <w:pStyle w:val="Paragraphe"/>
        <w:rPr>
          <w:shd w:val="clear" w:color="auto" w:fill="FFFFFF"/>
        </w:rPr>
      </w:pPr>
      <w:r>
        <w:t xml:space="preserve">Les Assises régionales sont prévues de se tenir les 10 et 11 février 2022. Le format distanciel sera privilégié faute de visibilité quant à l’évolution de la situation sanitaire. A cet égard, le Centre technique international de l’Organisation internationale du travail (ICT-ILO) a été approché pour appuyer l’organisation des Assises en format distanciel et mobiliser des expertises thématiques complémentaires. </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39225DA0" w:rsidR="0008468B" w:rsidRPr="004F5C4B" w:rsidRDefault="0008468B" w:rsidP="00FE285D">
      <w:pPr>
        <w:pStyle w:val="Paragraphe"/>
      </w:pPr>
      <w:r w:rsidRPr="004F5C4B">
        <w:t>Le Comité des OPL</w:t>
      </w:r>
      <w:r w:rsidR="00A76B07" w:rsidRPr="004F5C4B">
        <w:t xml:space="preserve"> </w:t>
      </w:r>
      <w:r w:rsidR="004D2C24">
        <w:t>recommande au Conseil des ministres de</w:t>
      </w:r>
      <w:r w:rsidR="00A76B07">
        <w:t> :</w:t>
      </w:r>
    </w:p>
    <w:p w14:paraId="2EF98790" w14:textId="780D3C5D" w:rsidR="0008468B" w:rsidRPr="005E289A" w:rsidRDefault="004D2C24" w:rsidP="00FE285D">
      <w:pPr>
        <w:pStyle w:val="Paragraphe"/>
        <w:numPr>
          <w:ilvl w:val="0"/>
          <w:numId w:val="6"/>
        </w:numPr>
      </w:pPr>
      <w:r w:rsidRPr="005E289A">
        <w:t xml:space="preserve">Encourager le Secrétariat général </w:t>
      </w:r>
      <w:r w:rsidR="005E289A" w:rsidRPr="005E289A">
        <w:t>à</w:t>
      </w:r>
      <w:r w:rsidR="005E289A">
        <w:t xml:space="preserve"> identifier en lien avec les Officiers permanents de liaison des institutions d’enseignement supérieur</w:t>
      </w:r>
      <w:r w:rsidR="00767883">
        <w:t xml:space="preserve"> pouvant être intéressées à nouer un partenariat avec la COI dans des domaines d’intérêt commun et, le cas échéant, à établir des projets d’accord-cadre pour signature après validation par les instances ;</w:t>
      </w:r>
    </w:p>
    <w:p w14:paraId="4B0296BB" w14:textId="7C8D3818" w:rsidR="00567E69" w:rsidRDefault="00567E69" w:rsidP="00A76B07">
      <w:pPr>
        <w:pStyle w:val="Paragraphe"/>
        <w:numPr>
          <w:ilvl w:val="0"/>
          <w:numId w:val="6"/>
        </w:numPr>
      </w:pPr>
      <w:r w:rsidRPr="001E0159">
        <w:rPr>
          <w:highlight w:val="yellow"/>
        </w:rPr>
        <w:t xml:space="preserve">[A </w:t>
      </w:r>
      <w:r w:rsidR="00DF5616" w:rsidRPr="001E0159">
        <w:rPr>
          <w:highlight w:val="yellow"/>
        </w:rPr>
        <w:t>actualiser après les Assises]</w:t>
      </w:r>
      <w:r w:rsidR="00DF5616" w:rsidRPr="00DF5616">
        <w:t xml:space="preserve"> Prendre note des recommandations des Assises régional</w:t>
      </w:r>
      <w:r w:rsidR="00DF5616">
        <w:t>e</w:t>
      </w:r>
      <w:r w:rsidR="00DF5616" w:rsidRPr="00DF5616">
        <w:t xml:space="preserve">s </w:t>
      </w:r>
      <w:r w:rsidR="00DF5616">
        <w:t>de la</w:t>
      </w:r>
      <w:r w:rsidR="00C33708">
        <w:t xml:space="preserve"> formation professionnelle et de la mobilité ; </w:t>
      </w:r>
    </w:p>
    <w:p w14:paraId="50ADDF50" w14:textId="491273E9" w:rsidR="00C33708" w:rsidRPr="00DF5616" w:rsidRDefault="00326DC4" w:rsidP="00A76B07">
      <w:pPr>
        <w:pStyle w:val="Paragraphe"/>
        <w:numPr>
          <w:ilvl w:val="0"/>
          <w:numId w:val="6"/>
        </w:numPr>
      </w:pPr>
      <w:r w:rsidRPr="001E0159">
        <w:rPr>
          <w:highlight w:val="yellow"/>
        </w:rPr>
        <w:t>[A actualiser après les Assises]</w:t>
      </w:r>
      <w:r>
        <w:t xml:space="preserve"> </w:t>
      </w:r>
      <w:r w:rsidR="00C33708">
        <w:t>Demander au Secrétariat général de lancer</w:t>
      </w:r>
      <w:r>
        <w:t xml:space="preserve"> l’étude d’opportunité préliminaire au démarrage rapide d’un projet régional de mobilité en formation professionnelle avec le soutien des partenaires, notamment l’Agence française de développement ; </w:t>
      </w:r>
    </w:p>
    <w:p w14:paraId="0A206295" w14:textId="65E4BB07" w:rsidR="00A76B07" w:rsidRPr="00326DC4" w:rsidRDefault="00567E69" w:rsidP="00A76B07">
      <w:pPr>
        <w:pStyle w:val="Paragraphe"/>
        <w:numPr>
          <w:ilvl w:val="0"/>
          <w:numId w:val="6"/>
        </w:numPr>
      </w:pPr>
      <w:r w:rsidRPr="00326DC4">
        <w:t>Remercier l’</w:t>
      </w:r>
      <w:r w:rsidR="00326DC4" w:rsidRPr="00326DC4">
        <w:t>AFD pour son s</w:t>
      </w:r>
      <w:r w:rsidR="00326DC4">
        <w:t xml:space="preserve">outien à l’organisation des Assises régionales de la formation professionnelle et de la mobilité et féliciter le Secrétariat général pour leur organisation dans </w:t>
      </w:r>
      <w:r w:rsidR="001E0159">
        <w:t xml:space="preserve">de courts délais. </w:t>
      </w:r>
    </w:p>
    <w:p w14:paraId="495CA3D7" w14:textId="77777777" w:rsidR="0008468B" w:rsidRPr="00326DC4"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623000D0" w14:textId="20C8CAD2" w:rsidR="0008468B" w:rsidRPr="00FE285D" w:rsidRDefault="00FE285D" w:rsidP="00060CA0">
      <w:pPr>
        <w:pStyle w:val="Exergue"/>
      </w:pPr>
      <w:r>
        <w:t>Cf.</w:t>
      </w:r>
      <w:r w:rsidR="0008468B" w:rsidRPr="00FE285D">
        <w:t xml:space="preserve"> Décision </w:t>
      </w:r>
      <w:r w:rsidR="001E0159">
        <w:t>5</w:t>
      </w:r>
      <w:r w:rsidR="0008468B" w:rsidRPr="00FE285D">
        <w:t xml:space="preserve">. </w:t>
      </w:r>
      <w:r w:rsidR="001E0159">
        <w:t>Recherche, coopération universitaire et formation | Conseil extraordinaire des ministres – 26 novembre 2021</w:t>
      </w:r>
    </w:p>
    <w:p w14:paraId="706E8739" w14:textId="77777777" w:rsidR="00E34862" w:rsidRDefault="00E34862" w:rsidP="00060CA0">
      <w:pPr>
        <w:pStyle w:val="Paragraphe"/>
      </w:pPr>
      <w:r>
        <w:t xml:space="preserve">Le Conseil des ministres : </w:t>
      </w:r>
    </w:p>
    <w:p w14:paraId="377940C5" w14:textId="41B69C42" w:rsidR="00E34862" w:rsidRDefault="00E34862" w:rsidP="00E34862">
      <w:pPr>
        <w:pStyle w:val="Paragraphe"/>
        <w:numPr>
          <w:ilvl w:val="0"/>
          <w:numId w:val="11"/>
        </w:numPr>
      </w:pPr>
      <w:r>
        <w:t xml:space="preserve">Donne mandat au SG-COI pour engager les négociations avec les universités des Etats membres en vue de la formalisation d’accords-cadres ouvrant la voie à des collaborations en faveur de la formation, de la mobilité et des actions thématiques portées par la COI ; </w:t>
      </w:r>
    </w:p>
    <w:p w14:paraId="669C15E2" w14:textId="4255EFE6" w:rsidR="0008468B" w:rsidRPr="0008468B" w:rsidRDefault="00D10DB8" w:rsidP="00E34862">
      <w:pPr>
        <w:pStyle w:val="Paragraphe"/>
        <w:numPr>
          <w:ilvl w:val="0"/>
          <w:numId w:val="11"/>
        </w:numPr>
      </w:pPr>
      <w:r>
        <w:t>Demande au SG-COI d’organis</w:t>
      </w:r>
      <w:r w:rsidR="00875E06">
        <w:t>er</w:t>
      </w:r>
      <w:r>
        <w:t xml:space="preserve"> au début de l’année 2022 des Assises de la formation et de la mobilité étudiante et professionnelle et de mobiliser les ressources nécessaires à cette fin auprès des partenaires au développement. </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3148B857" w:rsidR="00C325F5" w:rsidRDefault="00620B90" w:rsidP="00620B90">
      <w:pPr>
        <w:pStyle w:val="Paragraphe"/>
        <w:numPr>
          <w:ilvl w:val="0"/>
          <w:numId w:val="9"/>
        </w:numPr>
      </w:pPr>
      <w:r>
        <w:t xml:space="preserve">Annexe 1 : </w:t>
      </w:r>
      <w:r w:rsidR="00C10533" w:rsidRPr="00C10533">
        <w:rPr>
          <w:highlight w:val="yellow"/>
        </w:rPr>
        <w:t>A venir après les Assises</w:t>
      </w:r>
    </w:p>
    <w:p w14:paraId="4648F921" w14:textId="771B71AA" w:rsidR="008F173C" w:rsidRPr="00620B90" w:rsidRDefault="008F173C" w:rsidP="00C10533">
      <w:pPr>
        <w:pStyle w:val="Paragraphe"/>
        <w:ind w:left="720"/>
      </w:pP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DB70" w14:textId="77777777" w:rsidR="00CF5DE1" w:rsidRDefault="00CF5DE1">
      <w:pPr>
        <w:spacing w:after="0" w:line="240" w:lineRule="auto"/>
      </w:pPr>
      <w:r>
        <w:separator/>
      </w:r>
    </w:p>
  </w:endnote>
  <w:endnote w:type="continuationSeparator" w:id="0">
    <w:p w14:paraId="6245298C" w14:textId="77777777" w:rsidR="00CF5DE1" w:rsidRDefault="00CF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BF55" w14:textId="77777777" w:rsidR="00CF5DE1" w:rsidRDefault="00CF5DE1">
      <w:pPr>
        <w:spacing w:after="0" w:line="240" w:lineRule="auto"/>
      </w:pPr>
      <w:r>
        <w:separator/>
      </w:r>
    </w:p>
  </w:footnote>
  <w:footnote w:type="continuationSeparator" w:id="0">
    <w:p w14:paraId="4AD29B62" w14:textId="77777777" w:rsidR="00CF5DE1" w:rsidRDefault="00CF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26745C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415B82">
      <w:rPr>
        <w:rFonts w:ascii="Verdana" w:hAnsi="Verdana"/>
        <w:b/>
        <w:bCs/>
        <w:sz w:val="20"/>
        <w:szCs w:val="20"/>
      </w:rPr>
      <w:t>3.</w:t>
    </w:r>
    <w:r w:rsidR="00560794">
      <w:rPr>
        <w:rFonts w:ascii="Verdana" w:hAnsi="Verdana"/>
        <w:b/>
        <w:bCs/>
        <w:sz w:val="20"/>
        <w:szCs w:val="20"/>
      </w:rPr>
      <w:t>5</w:t>
    </w:r>
    <w:r w:rsidR="00415B82">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77024"/>
    <w:multiLevelType w:val="hybridMultilevel"/>
    <w:tmpl w:val="D18449F4"/>
    <w:lvl w:ilvl="0" w:tplc="725CAAAA">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5D7CF3"/>
    <w:multiLevelType w:val="hybridMultilevel"/>
    <w:tmpl w:val="7FAC611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0"/>
  </w:num>
  <w:num w:numId="5">
    <w:abstractNumId w:val="7"/>
  </w:num>
  <w:num w:numId="6">
    <w:abstractNumId w:val="3"/>
  </w:num>
  <w:num w:numId="7">
    <w:abstractNumId w:val="5"/>
  </w:num>
  <w:num w:numId="8">
    <w:abstractNumId w:val="2"/>
    <w:lvlOverride w:ilvl="0">
      <w:startOverride w:val="1"/>
    </w:lvlOverride>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133C"/>
    <w:rsid w:val="00063A26"/>
    <w:rsid w:val="0008468B"/>
    <w:rsid w:val="000A468A"/>
    <w:rsid w:val="000B0FBD"/>
    <w:rsid w:val="000F4728"/>
    <w:rsid w:val="00107D9D"/>
    <w:rsid w:val="0014425D"/>
    <w:rsid w:val="0017619D"/>
    <w:rsid w:val="0018252D"/>
    <w:rsid w:val="001A56F1"/>
    <w:rsid w:val="001B4738"/>
    <w:rsid w:val="001E0159"/>
    <w:rsid w:val="002A0933"/>
    <w:rsid w:val="002A096E"/>
    <w:rsid w:val="002C56ED"/>
    <w:rsid w:val="00326DC4"/>
    <w:rsid w:val="003604B9"/>
    <w:rsid w:val="003772FB"/>
    <w:rsid w:val="00391152"/>
    <w:rsid w:val="003B77E6"/>
    <w:rsid w:val="003C2538"/>
    <w:rsid w:val="003D485F"/>
    <w:rsid w:val="003D5328"/>
    <w:rsid w:val="0041278C"/>
    <w:rsid w:val="00415B82"/>
    <w:rsid w:val="00417683"/>
    <w:rsid w:val="00426673"/>
    <w:rsid w:val="004607F7"/>
    <w:rsid w:val="00464D1E"/>
    <w:rsid w:val="004D2C24"/>
    <w:rsid w:val="004F5C4B"/>
    <w:rsid w:val="0053773D"/>
    <w:rsid w:val="00560794"/>
    <w:rsid w:val="00567E69"/>
    <w:rsid w:val="005C1E07"/>
    <w:rsid w:val="005E0233"/>
    <w:rsid w:val="005E289A"/>
    <w:rsid w:val="00620B90"/>
    <w:rsid w:val="006356AF"/>
    <w:rsid w:val="006548BF"/>
    <w:rsid w:val="00660504"/>
    <w:rsid w:val="00694935"/>
    <w:rsid w:val="006E2D9E"/>
    <w:rsid w:val="00767883"/>
    <w:rsid w:val="007B245C"/>
    <w:rsid w:val="007C78FC"/>
    <w:rsid w:val="00806464"/>
    <w:rsid w:val="00816DAC"/>
    <w:rsid w:val="0083290E"/>
    <w:rsid w:val="00843FF2"/>
    <w:rsid w:val="008453AB"/>
    <w:rsid w:val="00854EEA"/>
    <w:rsid w:val="008551DA"/>
    <w:rsid w:val="00856B9D"/>
    <w:rsid w:val="00875E06"/>
    <w:rsid w:val="008D193F"/>
    <w:rsid w:val="008F173C"/>
    <w:rsid w:val="00955BB3"/>
    <w:rsid w:val="009A38AD"/>
    <w:rsid w:val="00A148A1"/>
    <w:rsid w:val="00A36C09"/>
    <w:rsid w:val="00A37C9F"/>
    <w:rsid w:val="00A70123"/>
    <w:rsid w:val="00A76B07"/>
    <w:rsid w:val="00A7707D"/>
    <w:rsid w:val="00A81B98"/>
    <w:rsid w:val="00A90305"/>
    <w:rsid w:val="00AA63A3"/>
    <w:rsid w:val="00AB5EB7"/>
    <w:rsid w:val="00AD4D97"/>
    <w:rsid w:val="00AE2453"/>
    <w:rsid w:val="00AF76CA"/>
    <w:rsid w:val="00B05DFC"/>
    <w:rsid w:val="00B36EEA"/>
    <w:rsid w:val="00B67DDD"/>
    <w:rsid w:val="00BA4B55"/>
    <w:rsid w:val="00C10533"/>
    <w:rsid w:val="00C12C93"/>
    <w:rsid w:val="00C325F5"/>
    <w:rsid w:val="00C33708"/>
    <w:rsid w:val="00C457E8"/>
    <w:rsid w:val="00C609B9"/>
    <w:rsid w:val="00C95D4B"/>
    <w:rsid w:val="00CE2386"/>
    <w:rsid w:val="00CF5DE1"/>
    <w:rsid w:val="00D03F10"/>
    <w:rsid w:val="00D10DB8"/>
    <w:rsid w:val="00D33670"/>
    <w:rsid w:val="00D3367F"/>
    <w:rsid w:val="00DC70C0"/>
    <w:rsid w:val="00DF5616"/>
    <w:rsid w:val="00E32408"/>
    <w:rsid w:val="00E34862"/>
    <w:rsid w:val="00E721F7"/>
    <w:rsid w:val="00E845D4"/>
    <w:rsid w:val="00EC22CC"/>
    <w:rsid w:val="00ED6B69"/>
    <w:rsid w:val="00EE34F4"/>
    <w:rsid w:val="00EF22A4"/>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873</Words>
  <Characters>4805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33</cp:revision>
  <dcterms:created xsi:type="dcterms:W3CDTF">2022-01-17T09:55:00Z</dcterms:created>
  <dcterms:modified xsi:type="dcterms:W3CDTF">2022-01-20T12:26:00Z</dcterms:modified>
</cp:coreProperties>
</file>