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41A7" w14:textId="77777777" w:rsidR="00254BD6" w:rsidRPr="00340FF1" w:rsidRDefault="00254BD6" w:rsidP="00254BD6">
      <w:pPr>
        <w:spacing w:after="120"/>
        <w:jc w:val="center"/>
        <w:outlineLvl w:val="0"/>
        <w:rPr>
          <w:rFonts w:asciiTheme="majorHAnsi" w:eastAsiaTheme="minorEastAsia" w:hAnsiTheme="majorHAnsi" w:cstheme="majorHAnsi"/>
          <w:b/>
          <w:color w:val="F79646" w:themeColor="accent6"/>
          <w:sz w:val="2"/>
          <w:szCs w:val="2"/>
        </w:rPr>
      </w:pPr>
    </w:p>
    <w:p w14:paraId="5EF6E45F" w14:textId="44E8F4E3" w:rsidR="00F23943" w:rsidRPr="005A2381" w:rsidRDefault="00254BD6" w:rsidP="002A3C2A">
      <w:pPr>
        <w:pBdr>
          <w:top w:val="single" w:sz="12" w:space="3" w:color="E36C0A" w:themeColor="accent6" w:themeShade="BF"/>
          <w:bottom w:val="single" w:sz="12" w:space="3" w:color="E36C0A" w:themeColor="accent6" w:themeShade="BF"/>
        </w:pBdr>
        <w:spacing w:before="60" w:after="60"/>
        <w:ind w:right="-143"/>
        <w:jc w:val="center"/>
        <w:outlineLvl w:val="0"/>
        <w:rPr>
          <w:rFonts w:asciiTheme="majorHAnsi" w:eastAsiaTheme="minorEastAsia" w:hAnsiTheme="majorHAnsi" w:cstheme="majorHAnsi"/>
          <w:b/>
          <w:color w:val="E36C0A" w:themeColor="accent6" w:themeShade="BF"/>
        </w:rPr>
      </w:pPr>
      <w:r w:rsidRPr="005A2381">
        <w:rPr>
          <w:rFonts w:asciiTheme="majorHAnsi" w:eastAsiaTheme="minorEastAsia" w:hAnsiTheme="majorHAnsi" w:cstheme="majorHAnsi"/>
          <w:b/>
          <w:color w:val="E36C0A" w:themeColor="accent6" w:themeShade="BF"/>
        </w:rPr>
        <w:t>POLITIQUE REGIONALE DE SANTE DE LA COMMISSION DE L’OCEAN INDIEN</w:t>
      </w:r>
    </w:p>
    <w:p w14:paraId="7DC98596" w14:textId="4AD132C0" w:rsidR="00F23943" w:rsidRPr="00E8784F" w:rsidRDefault="00AD33F4" w:rsidP="00440E2C">
      <w:pPr>
        <w:pStyle w:val="Paragraphedeliste"/>
        <w:numPr>
          <w:ilvl w:val="0"/>
          <w:numId w:val="37"/>
        </w:numPr>
        <w:spacing w:before="240" w:after="120"/>
        <w:ind w:left="284" w:right="-142" w:hanging="284"/>
        <w:contextualSpacing w:val="0"/>
        <w:outlineLvl w:val="0"/>
        <w:rPr>
          <w:rFonts w:ascii="Times New Roman" w:eastAsiaTheme="minorEastAsia" w:hAnsi="Times New Roman"/>
          <w:b/>
          <w:color w:val="00B0F0"/>
          <w:sz w:val="24"/>
          <w:szCs w:val="24"/>
        </w:rPr>
      </w:pPr>
      <w:r w:rsidRPr="00E8784F">
        <w:rPr>
          <w:rFonts w:ascii="Times New Roman" w:eastAsiaTheme="minorEastAsia" w:hAnsi="Times New Roman"/>
          <w:b/>
          <w:color w:val="00B0F0"/>
          <w:sz w:val="24"/>
          <w:szCs w:val="24"/>
        </w:rPr>
        <w:t>Contexte</w:t>
      </w:r>
    </w:p>
    <w:p w14:paraId="09695DED" w14:textId="4DEEE8A8" w:rsidR="0040534B" w:rsidRDefault="00051F3E" w:rsidP="003865C6">
      <w:pPr>
        <w:spacing w:after="120"/>
        <w:ind w:right="-142"/>
        <w:jc w:val="both"/>
        <w:outlineLvl w:val="0"/>
        <w:rPr>
          <w:sz w:val="22"/>
          <w:szCs w:val="22"/>
          <w:lang w:val="fr-FR"/>
        </w:rPr>
      </w:pPr>
      <w:r w:rsidRPr="004946B9">
        <w:rPr>
          <w:sz w:val="22"/>
          <w:szCs w:val="22"/>
        </w:rPr>
        <w:t>L</w:t>
      </w:r>
      <w:r w:rsidR="00D8377A">
        <w:rPr>
          <w:sz w:val="22"/>
          <w:szCs w:val="22"/>
          <w:lang w:val="fr-FR"/>
        </w:rPr>
        <w:t xml:space="preserve">a </w:t>
      </w:r>
      <w:r w:rsidR="002A4447">
        <w:rPr>
          <w:sz w:val="22"/>
          <w:szCs w:val="22"/>
          <w:lang w:val="fr-FR"/>
        </w:rPr>
        <w:t xml:space="preserve">mission du Secrétariat général de la Commission de l’Océan Indien (SG-COI) sur la </w:t>
      </w:r>
      <w:r w:rsidR="00D8377A">
        <w:rPr>
          <w:sz w:val="22"/>
          <w:szCs w:val="22"/>
          <w:lang w:val="fr-FR"/>
        </w:rPr>
        <w:t xml:space="preserve">santé </w:t>
      </w:r>
      <w:r w:rsidR="002A4447">
        <w:rPr>
          <w:sz w:val="22"/>
          <w:szCs w:val="22"/>
          <w:lang w:val="fr-FR"/>
        </w:rPr>
        <w:t xml:space="preserve">a commencé en 2006 quand il a été mandaté pour développer un programme de santé régionale face à la recrudescence du VIH Sida. Parallèlement, l’épidémie de chikungunya </w:t>
      </w:r>
      <w:r w:rsidR="0040534B">
        <w:rPr>
          <w:sz w:val="22"/>
          <w:szCs w:val="22"/>
          <w:lang w:val="fr-FR"/>
        </w:rPr>
        <w:t>a frappé l’ensemble des États membres</w:t>
      </w:r>
      <w:r w:rsidR="007D704D">
        <w:rPr>
          <w:sz w:val="22"/>
          <w:szCs w:val="22"/>
          <w:lang w:val="fr-FR"/>
        </w:rPr>
        <w:t xml:space="preserve"> en 2005-2006</w:t>
      </w:r>
      <w:r w:rsidR="0040534B">
        <w:rPr>
          <w:sz w:val="22"/>
          <w:szCs w:val="22"/>
          <w:lang w:val="fr-FR"/>
        </w:rPr>
        <w:t xml:space="preserve"> avec des conséquences importantes sur la santé publique et sur l’économie de ces pays. Cette épidémie a montré qu’il était indispensable qu’il y ait un partage des informations sanitaires et une collaboration entre les pays pour mieux anticiper et gérer les risques. C’est ainsi qu’en 2009, le </w:t>
      </w:r>
      <w:r w:rsidRPr="004946B9">
        <w:rPr>
          <w:sz w:val="22"/>
          <w:szCs w:val="22"/>
        </w:rPr>
        <w:t xml:space="preserve">réseau </w:t>
      </w:r>
      <w:r w:rsidR="00E124D1" w:rsidRPr="004946B9">
        <w:rPr>
          <w:sz w:val="22"/>
          <w:szCs w:val="22"/>
        </w:rPr>
        <w:t xml:space="preserve">de Surveillance Epidémiologique et de Gestation des Alertes </w:t>
      </w:r>
      <w:r w:rsidR="0040534B">
        <w:rPr>
          <w:sz w:val="22"/>
          <w:szCs w:val="22"/>
          <w:lang w:val="fr-FR"/>
        </w:rPr>
        <w:t>(</w:t>
      </w:r>
      <w:r w:rsidRPr="004946B9">
        <w:rPr>
          <w:sz w:val="22"/>
          <w:szCs w:val="22"/>
        </w:rPr>
        <w:t>SEGA</w:t>
      </w:r>
      <w:r w:rsidR="0040534B">
        <w:rPr>
          <w:sz w:val="22"/>
          <w:szCs w:val="22"/>
          <w:lang w:val="fr-FR"/>
        </w:rPr>
        <w:t xml:space="preserve">) a été mis en place, avec une Unité de Veille Sanitaire au sein du Secrétariat général de la COI pour le coordonner. Face à l’importance concomitante des maladies animales </w:t>
      </w:r>
      <w:r w:rsidR="007D704D">
        <w:rPr>
          <w:sz w:val="22"/>
          <w:szCs w:val="22"/>
          <w:lang w:val="fr-FR"/>
        </w:rPr>
        <w:t xml:space="preserve">qui émergeait dont la région, </w:t>
      </w:r>
      <w:r w:rsidR="0040534B">
        <w:rPr>
          <w:sz w:val="22"/>
          <w:szCs w:val="22"/>
          <w:lang w:val="fr-FR"/>
        </w:rPr>
        <w:t>et notamment des zoonoses</w:t>
      </w:r>
      <w:r w:rsidR="007D704D">
        <w:rPr>
          <w:sz w:val="22"/>
          <w:szCs w:val="22"/>
          <w:lang w:val="fr-FR"/>
        </w:rPr>
        <w:t xml:space="preserve"> comme la fièvre de la Vallée du Rift, la santé animale a été intégrée en 2013 pour donner le réseau SEGA One </w:t>
      </w:r>
      <w:proofErr w:type="spellStart"/>
      <w:r w:rsidR="007D704D">
        <w:rPr>
          <w:sz w:val="22"/>
          <w:szCs w:val="22"/>
          <w:lang w:val="fr-FR"/>
        </w:rPr>
        <w:t>Health</w:t>
      </w:r>
      <w:proofErr w:type="spellEnd"/>
      <w:r w:rsidR="007D704D">
        <w:rPr>
          <w:sz w:val="22"/>
          <w:szCs w:val="22"/>
          <w:lang w:val="fr-FR"/>
        </w:rPr>
        <w:t>.</w:t>
      </w:r>
    </w:p>
    <w:p w14:paraId="0A057602" w14:textId="2DBEFA09" w:rsidR="00E124D1" w:rsidRPr="004946B9" w:rsidRDefault="003334E5" w:rsidP="003865C6">
      <w:pPr>
        <w:spacing w:after="120"/>
        <w:ind w:right="-142"/>
        <w:jc w:val="both"/>
        <w:outlineLvl w:val="0"/>
        <w:rPr>
          <w:sz w:val="22"/>
          <w:szCs w:val="22"/>
        </w:rPr>
      </w:pPr>
      <w:r w:rsidRPr="004946B9">
        <w:rPr>
          <w:sz w:val="22"/>
          <w:szCs w:val="22"/>
        </w:rPr>
        <w:t xml:space="preserve">En mars 2017, lors du 31ème conseil des ministres de la COI, les États membres ont avancé vers l’institutionnalisation de ce réseau SEGA-One Health à travers la signature d’une charte. </w:t>
      </w:r>
    </w:p>
    <w:p w14:paraId="1733817E" w14:textId="04927E83" w:rsidR="00E16798" w:rsidRDefault="007270B0" w:rsidP="003865C6">
      <w:pPr>
        <w:spacing w:after="120"/>
        <w:ind w:right="-142"/>
        <w:jc w:val="both"/>
        <w:outlineLvl w:val="0"/>
        <w:rPr>
          <w:sz w:val="22"/>
          <w:szCs w:val="22"/>
          <w:lang w:val="fr-FR"/>
        </w:rPr>
      </w:pPr>
      <w:r>
        <w:rPr>
          <w:sz w:val="22"/>
          <w:szCs w:val="22"/>
          <w:lang w:val="fr-FR"/>
        </w:rPr>
        <w:t>Étant donné les</w:t>
      </w:r>
      <w:r w:rsidR="00E16798">
        <w:rPr>
          <w:sz w:val="22"/>
          <w:szCs w:val="22"/>
          <w:lang w:val="fr-FR"/>
        </w:rPr>
        <w:t xml:space="preserve"> opportunités offertes par ce dispositif régional</w:t>
      </w:r>
      <w:r>
        <w:rPr>
          <w:sz w:val="22"/>
          <w:szCs w:val="22"/>
          <w:lang w:val="fr-FR"/>
        </w:rPr>
        <w:t>, les bons résultats qu’il a pu générer</w:t>
      </w:r>
      <w:r w:rsidR="00E16798">
        <w:rPr>
          <w:sz w:val="22"/>
          <w:szCs w:val="22"/>
          <w:lang w:val="fr-FR"/>
        </w:rPr>
        <w:t xml:space="preserve"> et l’évolution du contexte sanitaire mondial et régional, le champ d’intervention du réseau SEGA One </w:t>
      </w:r>
      <w:proofErr w:type="spellStart"/>
      <w:r w:rsidR="00E16798">
        <w:rPr>
          <w:sz w:val="22"/>
          <w:szCs w:val="22"/>
          <w:lang w:val="fr-FR"/>
        </w:rPr>
        <w:t>Health</w:t>
      </w:r>
      <w:proofErr w:type="spellEnd"/>
      <w:r w:rsidR="00E16798">
        <w:rPr>
          <w:sz w:val="22"/>
          <w:szCs w:val="22"/>
          <w:lang w:val="fr-FR"/>
        </w:rPr>
        <w:t xml:space="preserve"> s’</w:t>
      </w:r>
      <w:r>
        <w:rPr>
          <w:sz w:val="22"/>
          <w:szCs w:val="22"/>
          <w:lang w:val="fr-FR"/>
        </w:rPr>
        <w:t xml:space="preserve">est élargi. La notion de santé-climat a été introduit depuis 2018, notamment pour suivre l’impact du changement climatique sur la santé, la surveillance au niveau des points d’entrée a été développée depuis 2019, et dernièrement, les maladies non transmissibles ont aussi été intégrées dans les activités. </w:t>
      </w:r>
    </w:p>
    <w:p w14:paraId="72921C4F" w14:textId="0A9FF626" w:rsidR="00753F75" w:rsidRDefault="00087C7D" w:rsidP="003865C6">
      <w:pPr>
        <w:spacing w:after="120"/>
        <w:ind w:right="-142"/>
        <w:jc w:val="both"/>
        <w:outlineLvl w:val="0"/>
        <w:rPr>
          <w:sz w:val="22"/>
          <w:szCs w:val="22"/>
          <w:lang w:val="fr-FR"/>
        </w:rPr>
      </w:pPr>
      <w:r>
        <w:rPr>
          <w:sz w:val="22"/>
          <w:szCs w:val="22"/>
          <w:lang w:val="fr-FR"/>
        </w:rPr>
        <w:t>Afin de mieux accompagner ce foisonnement d’activités, l</w:t>
      </w:r>
      <w:r w:rsidR="00753F75">
        <w:rPr>
          <w:sz w:val="22"/>
          <w:szCs w:val="22"/>
          <w:lang w:val="fr-FR"/>
        </w:rPr>
        <w:t xml:space="preserve">e SG-COI a été appelé, au travers du comité de pilotage de ce réseau SEGA One </w:t>
      </w:r>
      <w:proofErr w:type="spellStart"/>
      <w:r w:rsidR="00753F75">
        <w:rPr>
          <w:sz w:val="22"/>
          <w:szCs w:val="22"/>
          <w:lang w:val="fr-FR"/>
        </w:rPr>
        <w:t>Health</w:t>
      </w:r>
      <w:proofErr w:type="spellEnd"/>
      <w:r w:rsidR="00753F75">
        <w:rPr>
          <w:sz w:val="22"/>
          <w:szCs w:val="22"/>
          <w:lang w:val="fr-FR"/>
        </w:rPr>
        <w:t>, à définir une politique régionale de santé.</w:t>
      </w:r>
    </w:p>
    <w:p w14:paraId="283DA362" w14:textId="01A4B1E6" w:rsidR="00753F75" w:rsidRPr="00753F75" w:rsidRDefault="00753F75" w:rsidP="003865C6">
      <w:pPr>
        <w:spacing w:after="120"/>
        <w:ind w:right="-142"/>
        <w:jc w:val="both"/>
        <w:outlineLvl w:val="0"/>
        <w:rPr>
          <w:sz w:val="22"/>
          <w:szCs w:val="22"/>
          <w:lang w:val="fr-FR"/>
        </w:rPr>
      </w:pPr>
      <w:r>
        <w:rPr>
          <w:sz w:val="22"/>
          <w:szCs w:val="22"/>
          <w:lang w:val="fr-FR"/>
        </w:rPr>
        <w:t>Le présent document décrit cette politique régionale de santé</w:t>
      </w:r>
      <w:r w:rsidR="00FC402A">
        <w:rPr>
          <w:sz w:val="22"/>
          <w:szCs w:val="22"/>
          <w:lang w:val="fr-FR"/>
        </w:rPr>
        <w:t xml:space="preserve"> avec les domaines d’intervention stratégiques et les priorités pour les trois années à venir. Sa mise en œuvre se fera dans le cadre du réseau SEGA One </w:t>
      </w:r>
      <w:proofErr w:type="spellStart"/>
      <w:r w:rsidR="00FC402A">
        <w:rPr>
          <w:sz w:val="22"/>
          <w:szCs w:val="22"/>
          <w:lang w:val="fr-FR"/>
        </w:rPr>
        <w:t>Health</w:t>
      </w:r>
      <w:proofErr w:type="spellEnd"/>
      <w:r w:rsidR="00FC402A">
        <w:rPr>
          <w:sz w:val="22"/>
          <w:szCs w:val="22"/>
          <w:lang w:val="fr-FR"/>
        </w:rPr>
        <w:t>.</w:t>
      </w:r>
    </w:p>
    <w:p w14:paraId="3D90A570" w14:textId="4F58182F" w:rsidR="004946B9" w:rsidRDefault="00F7161D" w:rsidP="003865C6">
      <w:pPr>
        <w:spacing w:after="120"/>
        <w:ind w:right="-142"/>
        <w:jc w:val="both"/>
        <w:outlineLvl w:val="0"/>
        <w:rPr>
          <w:sz w:val="22"/>
          <w:szCs w:val="22"/>
        </w:rPr>
      </w:pPr>
      <w:r w:rsidRPr="004946B9">
        <w:rPr>
          <w:sz w:val="22"/>
          <w:szCs w:val="22"/>
        </w:rPr>
        <w:t>Les actions à court, moyen et long terme devraient découler de cette politique régionale de santé.</w:t>
      </w:r>
      <w:r w:rsidR="002B3C81" w:rsidRPr="004946B9">
        <w:rPr>
          <w:sz w:val="22"/>
          <w:szCs w:val="22"/>
        </w:rPr>
        <w:t xml:space="preserve"> Cette clarté de l’approche facilitera la communication, la visibilité et le plaidoyer pour le financement des activités.</w:t>
      </w:r>
    </w:p>
    <w:p w14:paraId="5C206A88" w14:textId="6C7E82FF" w:rsidR="00FC402A" w:rsidRPr="00E8784F" w:rsidRDefault="00FC402A" w:rsidP="00440E2C">
      <w:pPr>
        <w:pStyle w:val="Paragraphedeliste"/>
        <w:numPr>
          <w:ilvl w:val="0"/>
          <w:numId w:val="37"/>
        </w:numPr>
        <w:spacing w:before="240" w:after="120"/>
        <w:ind w:left="284" w:right="-142" w:hanging="284"/>
        <w:contextualSpacing w:val="0"/>
        <w:outlineLvl w:val="0"/>
        <w:rPr>
          <w:rFonts w:ascii="Times New Roman" w:eastAsiaTheme="minorEastAsia" w:hAnsi="Times New Roman"/>
          <w:b/>
          <w:color w:val="00B0F0"/>
          <w:sz w:val="24"/>
          <w:szCs w:val="24"/>
        </w:rPr>
      </w:pPr>
      <w:r w:rsidRPr="00E8784F">
        <w:rPr>
          <w:rFonts w:ascii="Times New Roman" w:eastAsiaTheme="minorEastAsia" w:hAnsi="Times New Roman"/>
          <w:b/>
          <w:color w:val="00B0F0"/>
          <w:sz w:val="24"/>
          <w:szCs w:val="24"/>
        </w:rPr>
        <w:t>Obje</w:t>
      </w:r>
      <w:r>
        <w:rPr>
          <w:rFonts w:ascii="Times New Roman" w:eastAsiaTheme="minorEastAsia" w:hAnsi="Times New Roman"/>
          <w:b/>
          <w:color w:val="00B0F0"/>
          <w:sz w:val="24"/>
          <w:szCs w:val="24"/>
        </w:rPr>
        <w:t>c</w:t>
      </w:r>
      <w:r w:rsidRPr="00E8784F">
        <w:rPr>
          <w:rFonts w:ascii="Times New Roman" w:eastAsiaTheme="minorEastAsia" w:hAnsi="Times New Roman"/>
          <w:b/>
          <w:color w:val="00B0F0"/>
          <w:sz w:val="24"/>
          <w:szCs w:val="24"/>
        </w:rPr>
        <w:t>t</w:t>
      </w:r>
      <w:r>
        <w:rPr>
          <w:rFonts w:ascii="Times New Roman" w:eastAsiaTheme="minorEastAsia" w:hAnsi="Times New Roman"/>
          <w:b/>
          <w:color w:val="00B0F0"/>
          <w:sz w:val="24"/>
          <w:szCs w:val="24"/>
        </w:rPr>
        <w:t>ifs</w:t>
      </w:r>
    </w:p>
    <w:p w14:paraId="129AEA6F" w14:textId="03B423BC" w:rsidR="00FC402A" w:rsidRDefault="00C842E7" w:rsidP="003865C6">
      <w:pPr>
        <w:spacing w:after="120"/>
        <w:ind w:right="-142"/>
        <w:jc w:val="both"/>
        <w:outlineLvl w:val="0"/>
        <w:rPr>
          <w:sz w:val="22"/>
          <w:szCs w:val="22"/>
          <w:lang w:val="fr-FR"/>
        </w:rPr>
      </w:pPr>
      <w:r>
        <w:rPr>
          <w:sz w:val="22"/>
          <w:szCs w:val="22"/>
          <w:lang w:val="fr-FR"/>
        </w:rPr>
        <w:t xml:space="preserve">L’objectif du réseau SEGA One </w:t>
      </w:r>
      <w:proofErr w:type="spellStart"/>
      <w:r>
        <w:rPr>
          <w:sz w:val="22"/>
          <w:szCs w:val="22"/>
          <w:lang w:val="fr-FR"/>
        </w:rPr>
        <w:t>Health</w:t>
      </w:r>
      <w:proofErr w:type="spellEnd"/>
      <w:r>
        <w:rPr>
          <w:sz w:val="22"/>
          <w:szCs w:val="22"/>
          <w:lang w:val="fr-FR"/>
        </w:rPr>
        <w:t xml:space="preserve"> est d’assurer la sécurité sanitaire dans la zone COI à travers une surveillance épidémiologique de haut niveau</w:t>
      </w:r>
      <w:r w:rsidR="00E16798">
        <w:rPr>
          <w:sz w:val="22"/>
          <w:szCs w:val="22"/>
          <w:lang w:val="fr-FR"/>
        </w:rPr>
        <w:t xml:space="preserve"> et </w:t>
      </w:r>
      <w:r>
        <w:rPr>
          <w:sz w:val="22"/>
          <w:szCs w:val="22"/>
          <w:lang w:val="fr-FR"/>
        </w:rPr>
        <w:t>une coordination des actions face à des événements et urgence de santé publique et/ou de santé animale</w:t>
      </w:r>
      <w:r w:rsidR="00E16798">
        <w:rPr>
          <w:sz w:val="22"/>
          <w:szCs w:val="22"/>
          <w:lang w:val="fr-FR"/>
        </w:rPr>
        <w:t xml:space="preserve">, par une approche One </w:t>
      </w:r>
      <w:proofErr w:type="spellStart"/>
      <w:r w:rsidR="00E16798">
        <w:rPr>
          <w:sz w:val="22"/>
          <w:szCs w:val="22"/>
          <w:lang w:val="fr-FR"/>
        </w:rPr>
        <w:t>Health</w:t>
      </w:r>
      <w:proofErr w:type="spellEnd"/>
      <w:r w:rsidR="00E16798">
        <w:rPr>
          <w:sz w:val="22"/>
          <w:szCs w:val="22"/>
          <w:lang w:val="fr-FR"/>
        </w:rPr>
        <w:t>.</w:t>
      </w:r>
    </w:p>
    <w:p w14:paraId="7E432CF8" w14:textId="1B6548FB" w:rsidR="00E16798" w:rsidRDefault="00087C7D" w:rsidP="003865C6">
      <w:pPr>
        <w:spacing w:after="120"/>
        <w:ind w:right="-142"/>
        <w:jc w:val="both"/>
        <w:outlineLvl w:val="0"/>
        <w:rPr>
          <w:sz w:val="22"/>
          <w:szCs w:val="22"/>
          <w:lang w:val="fr-FR"/>
        </w:rPr>
      </w:pPr>
      <w:r>
        <w:rPr>
          <w:sz w:val="22"/>
          <w:szCs w:val="22"/>
          <w:lang w:val="fr-FR"/>
        </w:rPr>
        <w:t>Au travers de c</w:t>
      </w:r>
      <w:r w:rsidR="00E16798">
        <w:rPr>
          <w:sz w:val="22"/>
          <w:szCs w:val="22"/>
          <w:lang w:val="fr-FR"/>
        </w:rPr>
        <w:t>ette politique régionale de santé</w:t>
      </w:r>
      <w:r>
        <w:rPr>
          <w:sz w:val="22"/>
          <w:szCs w:val="22"/>
          <w:lang w:val="fr-FR"/>
        </w:rPr>
        <w:t xml:space="preserve">, la COI, </w:t>
      </w:r>
      <w:r w:rsidR="00E16798">
        <w:rPr>
          <w:sz w:val="22"/>
          <w:szCs w:val="22"/>
          <w:lang w:val="fr-FR"/>
        </w:rPr>
        <w:t>vise à :</w:t>
      </w:r>
    </w:p>
    <w:p w14:paraId="3B0F3B67" w14:textId="0DDAD152" w:rsidR="00E16798" w:rsidRPr="00D762F3" w:rsidRDefault="00E16798" w:rsidP="00D762F3">
      <w:pPr>
        <w:pStyle w:val="Paragraphedeliste"/>
        <w:numPr>
          <w:ilvl w:val="0"/>
          <w:numId w:val="47"/>
        </w:numPr>
        <w:spacing w:after="120"/>
        <w:ind w:left="714" w:right="-142" w:hanging="357"/>
        <w:contextualSpacing w:val="0"/>
        <w:jc w:val="both"/>
        <w:outlineLvl w:val="0"/>
        <w:rPr>
          <w:rFonts w:ascii="Times New Roman" w:hAnsi="Times New Roman"/>
        </w:rPr>
      </w:pPr>
      <w:r w:rsidRPr="00D762F3">
        <w:rPr>
          <w:rFonts w:ascii="Times New Roman" w:hAnsi="Times New Roman"/>
        </w:rPr>
        <w:t xml:space="preserve">Définir les domaines </w:t>
      </w:r>
      <w:r w:rsidR="00087C7D" w:rsidRPr="00D762F3">
        <w:rPr>
          <w:rFonts w:ascii="Times New Roman" w:hAnsi="Times New Roman"/>
        </w:rPr>
        <w:t xml:space="preserve">d’intervention </w:t>
      </w:r>
      <w:r w:rsidRPr="00D762F3">
        <w:rPr>
          <w:rFonts w:ascii="Times New Roman" w:hAnsi="Times New Roman"/>
        </w:rPr>
        <w:t>stratégiques</w:t>
      </w:r>
      <w:r w:rsidR="00006A78" w:rsidRPr="00D762F3">
        <w:rPr>
          <w:rFonts w:ascii="Times New Roman" w:hAnsi="Times New Roman"/>
        </w:rPr>
        <w:t xml:space="preserve"> </w:t>
      </w:r>
      <w:r w:rsidR="00D762F3">
        <w:rPr>
          <w:rFonts w:ascii="Times New Roman" w:hAnsi="Times New Roman"/>
        </w:rPr>
        <w:t xml:space="preserve">et les priorités </w:t>
      </w:r>
      <w:r w:rsidR="00006A78" w:rsidRPr="00D762F3">
        <w:rPr>
          <w:rFonts w:ascii="Times New Roman" w:hAnsi="Times New Roman"/>
        </w:rPr>
        <w:t xml:space="preserve">pour le secteur santé </w:t>
      </w:r>
    </w:p>
    <w:p w14:paraId="67F88380" w14:textId="3AE67354" w:rsidR="00087C7D" w:rsidRPr="00D762F3" w:rsidRDefault="00006A78" w:rsidP="00D762F3">
      <w:pPr>
        <w:pStyle w:val="Paragraphedeliste"/>
        <w:numPr>
          <w:ilvl w:val="0"/>
          <w:numId w:val="47"/>
        </w:numPr>
        <w:spacing w:after="120"/>
        <w:ind w:left="714" w:right="-142" w:hanging="357"/>
        <w:contextualSpacing w:val="0"/>
        <w:jc w:val="both"/>
        <w:outlineLvl w:val="0"/>
        <w:rPr>
          <w:rFonts w:ascii="Times New Roman" w:hAnsi="Times New Roman"/>
        </w:rPr>
      </w:pPr>
      <w:r w:rsidRPr="00D762F3">
        <w:rPr>
          <w:rFonts w:ascii="Times New Roman" w:hAnsi="Times New Roman"/>
        </w:rPr>
        <w:t xml:space="preserve">Présenter clairement son approche en termes de santé </w:t>
      </w:r>
      <w:r w:rsidR="00D762F3" w:rsidRPr="00D762F3">
        <w:rPr>
          <w:rFonts w:ascii="Times New Roman" w:hAnsi="Times New Roman"/>
        </w:rPr>
        <w:t>pour faciliter la communication</w:t>
      </w:r>
      <w:r w:rsidR="002A3C2A">
        <w:rPr>
          <w:rFonts w:ascii="Times New Roman" w:hAnsi="Times New Roman"/>
        </w:rPr>
        <w:t xml:space="preserve"> avec les partenaires</w:t>
      </w:r>
      <w:r w:rsidR="00D762F3" w:rsidRPr="00D762F3">
        <w:rPr>
          <w:rFonts w:ascii="Times New Roman" w:hAnsi="Times New Roman"/>
        </w:rPr>
        <w:t>, l</w:t>
      </w:r>
      <w:r w:rsidR="002A3C2A">
        <w:rPr>
          <w:rFonts w:ascii="Times New Roman" w:hAnsi="Times New Roman"/>
        </w:rPr>
        <w:t>e suivi et la</w:t>
      </w:r>
      <w:r w:rsidR="00D762F3" w:rsidRPr="00D762F3">
        <w:rPr>
          <w:rFonts w:ascii="Times New Roman" w:hAnsi="Times New Roman"/>
        </w:rPr>
        <w:t xml:space="preserve"> visibilité </w:t>
      </w:r>
      <w:r w:rsidR="002A3C2A">
        <w:rPr>
          <w:rFonts w:ascii="Times New Roman" w:hAnsi="Times New Roman"/>
        </w:rPr>
        <w:t xml:space="preserve">des actions ainsi que </w:t>
      </w:r>
      <w:r w:rsidR="00D762F3" w:rsidRPr="00D762F3">
        <w:rPr>
          <w:rFonts w:ascii="Times New Roman" w:hAnsi="Times New Roman"/>
        </w:rPr>
        <w:t>le plaidoyer pour les recherches de financement.</w:t>
      </w:r>
    </w:p>
    <w:p w14:paraId="312220E5" w14:textId="4E8A0BA1" w:rsidR="00D762F3" w:rsidRDefault="00D762F3" w:rsidP="00D762F3">
      <w:pPr>
        <w:pStyle w:val="Paragraphedeliste"/>
        <w:numPr>
          <w:ilvl w:val="0"/>
          <w:numId w:val="47"/>
        </w:numPr>
        <w:spacing w:after="120"/>
        <w:ind w:left="714" w:right="-142" w:hanging="357"/>
        <w:contextualSpacing w:val="0"/>
        <w:jc w:val="both"/>
        <w:outlineLvl w:val="0"/>
        <w:rPr>
          <w:rFonts w:ascii="Times New Roman" w:hAnsi="Times New Roman"/>
        </w:rPr>
      </w:pPr>
      <w:r w:rsidRPr="00D762F3">
        <w:rPr>
          <w:rFonts w:ascii="Times New Roman" w:hAnsi="Times New Roman"/>
        </w:rPr>
        <w:t xml:space="preserve">Basculer le réseau SEGA One </w:t>
      </w:r>
      <w:proofErr w:type="spellStart"/>
      <w:r w:rsidRPr="00D762F3">
        <w:rPr>
          <w:rFonts w:ascii="Times New Roman" w:hAnsi="Times New Roman"/>
        </w:rPr>
        <w:t>Health</w:t>
      </w:r>
      <w:proofErr w:type="spellEnd"/>
      <w:r w:rsidRPr="00D762F3">
        <w:rPr>
          <w:rFonts w:ascii="Times New Roman" w:hAnsi="Times New Roman"/>
        </w:rPr>
        <w:t xml:space="preserve"> vers une approche programme </w:t>
      </w:r>
    </w:p>
    <w:p w14:paraId="20ED01A6" w14:textId="77777777" w:rsidR="00440E2C" w:rsidRPr="00440E2C" w:rsidRDefault="00440E2C" w:rsidP="00440E2C">
      <w:pPr>
        <w:spacing w:after="120"/>
        <w:ind w:left="357" w:right="-142"/>
        <w:jc w:val="both"/>
        <w:outlineLvl w:val="0"/>
      </w:pPr>
    </w:p>
    <w:p w14:paraId="6851A7EF" w14:textId="536115B1" w:rsidR="00AD33F4" w:rsidRPr="00E8784F" w:rsidRDefault="00440E2C" w:rsidP="003865C6">
      <w:pPr>
        <w:pStyle w:val="Paragraphedeliste"/>
        <w:numPr>
          <w:ilvl w:val="0"/>
          <w:numId w:val="37"/>
        </w:numPr>
        <w:spacing w:before="120" w:after="120"/>
        <w:ind w:left="284" w:right="-142" w:hanging="284"/>
        <w:outlineLvl w:val="0"/>
        <w:rPr>
          <w:rFonts w:ascii="Times New Roman" w:eastAsiaTheme="minorEastAsia" w:hAnsi="Times New Roman"/>
          <w:b/>
          <w:color w:val="00B0F0"/>
          <w:sz w:val="24"/>
          <w:szCs w:val="24"/>
        </w:rPr>
      </w:pPr>
      <w:r>
        <w:rPr>
          <w:rFonts w:ascii="Times New Roman" w:eastAsiaTheme="minorEastAsia" w:hAnsi="Times New Roman"/>
          <w:b/>
          <w:color w:val="00B0F0"/>
          <w:sz w:val="24"/>
          <w:szCs w:val="24"/>
        </w:rPr>
        <w:t>Une approche qui c</w:t>
      </w:r>
      <w:r w:rsidR="00AD33F4" w:rsidRPr="00E8784F">
        <w:rPr>
          <w:rFonts w:ascii="Times New Roman" w:eastAsiaTheme="minorEastAsia" w:hAnsi="Times New Roman"/>
          <w:b/>
          <w:color w:val="00B0F0"/>
          <w:sz w:val="24"/>
          <w:szCs w:val="24"/>
        </w:rPr>
        <w:t>apitalis</w:t>
      </w:r>
      <w:r>
        <w:rPr>
          <w:rFonts w:ascii="Times New Roman" w:eastAsiaTheme="minorEastAsia" w:hAnsi="Times New Roman"/>
          <w:b/>
          <w:color w:val="00B0F0"/>
          <w:sz w:val="24"/>
          <w:szCs w:val="24"/>
        </w:rPr>
        <w:t>e sur les a</w:t>
      </w:r>
      <w:r w:rsidR="00AD33F4" w:rsidRPr="00E8784F">
        <w:rPr>
          <w:rFonts w:ascii="Times New Roman" w:eastAsiaTheme="minorEastAsia" w:hAnsi="Times New Roman"/>
          <w:b/>
          <w:color w:val="00B0F0"/>
          <w:sz w:val="24"/>
          <w:szCs w:val="24"/>
        </w:rPr>
        <w:t xml:space="preserve">touts et valeurs du réseau SEGA One </w:t>
      </w:r>
      <w:proofErr w:type="spellStart"/>
      <w:r w:rsidR="00AD33F4" w:rsidRPr="00E8784F">
        <w:rPr>
          <w:rFonts w:ascii="Times New Roman" w:eastAsiaTheme="minorEastAsia" w:hAnsi="Times New Roman"/>
          <w:b/>
          <w:color w:val="00B0F0"/>
          <w:sz w:val="24"/>
          <w:szCs w:val="24"/>
        </w:rPr>
        <w:t>Health</w:t>
      </w:r>
      <w:proofErr w:type="spellEnd"/>
    </w:p>
    <w:p w14:paraId="212074B4" w14:textId="59A9E1FF" w:rsidR="00AD33F4" w:rsidRPr="004946B9" w:rsidRDefault="001126A9" w:rsidP="00A51E8C">
      <w:pPr>
        <w:spacing w:after="120"/>
        <w:ind w:right="-142"/>
        <w:jc w:val="both"/>
        <w:outlineLvl w:val="0"/>
        <w:rPr>
          <w:sz w:val="22"/>
          <w:szCs w:val="22"/>
        </w:rPr>
      </w:pPr>
      <w:r w:rsidRPr="004946B9">
        <w:rPr>
          <w:sz w:val="22"/>
          <w:szCs w:val="22"/>
        </w:rPr>
        <w:t>Le réseau SEGA-One Health est emblématique de la coopération régionale avec une approche solidaire, holistique et au bénéfice de tous les États membres de la COI.</w:t>
      </w:r>
    </w:p>
    <w:p w14:paraId="07E3CD50" w14:textId="289D8266" w:rsidR="001126A9" w:rsidRPr="004946B9" w:rsidRDefault="00C84ECB" w:rsidP="00A51E8C">
      <w:pPr>
        <w:spacing w:after="120"/>
        <w:ind w:right="-142"/>
        <w:jc w:val="both"/>
        <w:outlineLvl w:val="0"/>
        <w:rPr>
          <w:sz w:val="22"/>
          <w:szCs w:val="22"/>
          <w:lang w:val="fr-FR"/>
        </w:rPr>
      </w:pPr>
      <w:r>
        <w:rPr>
          <w:sz w:val="22"/>
          <w:szCs w:val="22"/>
          <w:lang w:val="fr-FR"/>
        </w:rPr>
        <w:t>Il</w:t>
      </w:r>
      <w:r w:rsidR="001126A9" w:rsidRPr="004946B9">
        <w:rPr>
          <w:sz w:val="22"/>
          <w:szCs w:val="22"/>
        </w:rPr>
        <w:t xml:space="preserve"> utilise l’approche One Health </w:t>
      </w:r>
      <w:r w:rsidR="00340FF1" w:rsidRPr="004946B9">
        <w:rPr>
          <w:sz w:val="22"/>
          <w:szCs w:val="22"/>
        </w:rPr>
        <w:t xml:space="preserve">dont la </w:t>
      </w:r>
      <w:r w:rsidR="004946B9" w:rsidRPr="004946B9">
        <w:rPr>
          <w:sz w:val="22"/>
          <w:szCs w:val="22"/>
          <w:lang w:val="fr-FR"/>
        </w:rPr>
        <w:t xml:space="preserve">dernière </w:t>
      </w:r>
      <w:r w:rsidR="00340FF1" w:rsidRPr="004946B9">
        <w:rPr>
          <w:sz w:val="22"/>
          <w:szCs w:val="22"/>
        </w:rPr>
        <w:t>définition</w:t>
      </w:r>
      <w:r w:rsidR="004946B9" w:rsidRPr="004946B9">
        <w:rPr>
          <w:sz w:val="22"/>
          <w:szCs w:val="22"/>
          <w:lang w:val="fr-FR"/>
        </w:rPr>
        <w:t xml:space="preserve"> reconnue par l’Organisation Mondiale de la Santé (OMS), l’Organisation Mondiale de la Santé Animale (OIE), l’Organisation des Nations Unies pour l’Alimentation et l’Agriculture (FAO) et le Programme des Nations Unies pour l’Environnement (PNUE)</w:t>
      </w:r>
      <w:r w:rsidR="00340FF1" w:rsidRPr="004946B9">
        <w:rPr>
          <w:sz w:val="22"/>
          <w:szCs w:val="22"/>
        </w:rPr>
        <w:t xml:space="preserve"> </w:t>
      </w:r>
      <w:r w:rsidR="004946B9" w:rsidRPr="004946B9">
        <w:rPr>
          <w:sz w:val="22"/>
          <w:szCs w:val="22"/>
          <w:lang w:val="fr-FR"/>
        </w:rPr>
        <w:t xml:space="preserve">est donnée </w:t>
      </w:r>
      <w:r w:rsidR="00340FF1" w:rsidRPr="004946B9">
        <w:rPr>
          <w:sz w:val="22"/>
          <w:szCs w:val="22"/>
        </w:rPr>
        <w:t>dans l’encadré 1</w:t>
      </w:r>
      <w:r w:rsidR="00340FF1" w:rsidRPr="004946B9">
        <w:rPr>
          <w:sz w:val="22"/>
          <w:szCs w:val="22"/>
          <w:lang w:val="fr-FR"/>
        </w:rPr>
        <w:t xml:space="preserve"> et </w:t>
      </w:r>
      <w:r w:rsidR="00194F65">
        <w:rPr>
          <w:sz w:val="22"/>
          <w:szCs w:val="22"/>
          <w:lang w:val="fr-FR"/>
        </w:rPr>
        <w:t xml:space="preserve">le fonctionnement expliquée dans </w:t>
      </w:r>
      <w:r w:rsidR="00340FF1" w:rsidRPr="004946B9">
        <w:rPr>
          <w:sz w:val="22"/>
          <w:szCs w:val="22"/>
          <w:lang w:val="fr-FR"/>
        </w:rPr>
        <w:t>la figure 1.</w:t>
      </w:r>
    </w:p>
    <w:p w14:paraId="3FDB9F11" w14:textId="77777777" w:rsidR="00440E2C" w:rsidRDefault="00440E2C" w:rsidP="00194F65">
      <w:pPr>
        <w:spacing w:before="240" w:after="120"/>
        <w:ind w:right="-142"/>
        <w:jc w:val="both"/>
        <w:outlineLvl w:val="0"/>
        <w:rPr>
          <w:b/>
          <w:bCs/>
          <w:sz w:val="22"/>
          <w:szCs w:val="22"/>
        </w:rPr>
      </w:pPr>
    </w:p>
    <w:p w14:paraId="30A71C46" w14:textId="347677B8" w:rsidR="00340FF1" w:rsidRPr="004946B9" w:rsidRDefault="00340FF1" w:rsidP="00194F65">
      <w:pPr>
        <w:spacing w:before="240" w:after="120"/>
        <w:ind w:right="-142"/>
        <w:jc w:val="both"/>
        <w:outlineLvl w:val="0"/>
        <w:rPr>
          <w:sz w:val="22"/>
          <w:szCs w:val="22"/>
        </w:rPr>
      </w:pPr>
      <w:r w:rsidRPr="00A51E8C">
        <w:rPr>
          <w:b/>
          <w:bCs/>
          <w:sz w:val="22"/>
          <w:szCs w:val="22"/>
        </w:rPr>
        <w:lastRenderedPageBreak/>
        <w:t>Encadré 1 </w:t>
      </w:r>
      <w:r w:rsidRPr="004946B9">
        <w:rPr>
          <w:sz w:val="22"/>
          <w:szCs w:val="22"/>
        </w:rPr>
        <w:t xml:space="preserve">: </w:t>
      </w:r>
      <w:r w:rsidRPr="00A51E8C">
        <w:rPr>
          <w:b/>
          <w:bCs/>
          <w:sz w:val="22"/>
          <w:szCs w:val="22"/>
        </w:rPr>
        <w:t>Définition du One Health</w:t>
      </w:r>
      <w:r w:rsidRPr="004946B9">
        <w:rPr>
          <w:sz w:val="22"/>
          <w:szCs w:val="22"/>
        </w:rPr>
        <w:t xml:space="preserve"> </w:t>
      </w:r>
    </w:p>
    <w:tbl>
      <w:tblPr>
        <w:tblStyle w:val="Grilledutableau"/>
        <w:tblW w:w="5090" w:type="pct"/>
        <w:tblInd w:w="-15" w:type="dxa"/>
        <w:tblBorders>
          <w:top w:val="single" w:sz="4" w:space="0" w:color="00B0F0"/>
          <w:left w:val="single" w:sz="4" w:space="0" w:color="00B0F0"/>
          <w:bottom w:val="single" w:sz="4" w:space="0" w:color="00B0F0"/>
          <w:right w:val="single" w:sz="4" w:space="0" w:color="00B0F0"/>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781"/>
      </w:tblGrid>
      <w:tr w:rsidR="003865C6" w:rsidRPr="004946B9" w14:paraId="0381FD79" w14:textId="77777777" w:rsidTr="00A51E8C">
        <w:tc>
          <w:tcPr>
            <w:tcW w:w="5000" w:type="pct"/>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BE5F1" w:themeFill="accent1" w:themeFillTint="33"/>
          </w:tcPr>
          <w:p w14:paraId="61E80875" w14:textId="775130FA" w:rsidR="004946B9" w:rsidRPr="00A51E8C" w:rsidRDefault="004946B9" w:rsidP="003865C6">
            <w:pPr>
              <w:pStyle w:val="NormalWeb"/>
              <w:spacing w:before="0" w:beforeAutospacing="0" w:after="60" w:afterAutospacing="0"/>
              <w:jc w:val="both"/>
              <w:rPr>
                <w:rStyle w:val="Accentuation"/>
                <w:color w:val="3C4245"/>
                <w:sz w:val="22"/>
                <w:szCs w:val="22"/>
              </w:rPr>
            </w:pPr>
            <w:r w:rsidRPr="00A51E8C">
              <w:rPr>
                <w:rStyle w:val="Accentuation"/>
                <w:color w:val="3C4245"/>
                <w:sz w:val="22"/>
                <w:szCs w:val="22"/>
                <w:lang w:val="fr-FR"/>
              </w:rPr>
              <w:t>Le</w:t>
            </w:r>
            <w:r w:rsidRPr="00A51E8C">
              <w:rPr>
                <w:rStyle w:val="Accentuation"/>
                <w:b/>
                <w:bCs/>
                <w:color w:val="3C4245"/>
                <w:sz w:val="22"/>
                <w:szCs w:val="22"/>
                <w:lang w:val="fr-FR"/>
              </w:rPr>
              <w:t xml:space="preserve"> </w:t>
            </w:r>
            <w:r w:rsidR="00340FF1" w:rsidRPr="00A51E8C">
              <w:rPr>
                <w:rStyle w:val="Accentuation"/>
                <w:b/>
                <w:bCs/>
                <w:color w:val="3C4245"/>
                <w:sz w:val="22"/>
                <w:szCs w:val="22"/>
              </w:rPr>
              <w:t>One Health</w:t>
            </w:r>
            <w:r w:rsidR="00340FF1" w:rsidRPr="00A51E8C">
              <w:rPr>
                <w:rStyle w:val="Accentuation"/>
                <w:color w:val="3C4245"/>
                <w:sz w:val="22"/>
                <w:szCs w:val="22"/>
              </w:rPr>
              <w:t> </w:t>
            </w:r>
            <w:r w:rsidRPr="00A51E8C">
              <w:rPr>
                <w:rStyle w:val="Accentuation"/>
                <w:color w:val="3C4245"/>
                <w:sz w:val="22"/>
                <w:szCs w:val="22"/>
              </w:rPr>
              <w:t>est une approche intégrée et fédératrice qui vise à équilibrer et optimiser durablement la santé des personnes, des animaux et des écosystèmes.</w:t>
            </w:r>
          </w:p>
          <w:p w14:paraId="1D99562F" w14:textId="77777777" w:rsidR="004946B9" w:rsidRPr="00A51E8C" w:rsidRDefault="004946B9" w:rsidP="003865C6">
            <w:pPr>
              <w:pStyle w:val="NormalWeb"/>
              <w:spacing w:before="0" w:beforeAutospacing="0" w:after="60" w:afterAutospacing="0"/>
              <w:jc w:val="both"/>
              <w:rPr>
                <w:rStyle w:val="Accentuation"/>
                <w:color w:val="3C4245"/>
                <w:sz w:val="22"/>
                <w:szCs w:val="22"/>
              </w:rPr>
            </w:pPr>
            <w:r w:rsidRPr="00A51E8C">
              <w:rPr>
                <w:rStyle w:val="Accentuation"/>
                <w:color w:val="3C4245"/>
                <w:sz w:val="22"/>
                <w:szCs w:val="22"/>
              </w:rPr>
              <w:t>Il reconnaît que la santé des humains, des animaux domestiques et sauvages, des plantes et de l'environnement au sens large (y compris les écosystèmes) sont étroitement liés et interdépendants.</w:t>
            </w:r>
          </w:p>
          <w:p w14:paraId="4BB0EABE" w14:textId="1E8C0F36" w:rsidR="00340FF1" w:rsidRPr="00A51E8C" w:rsidRDefault="004946B9" w:rsidP="003865C6">
            <w:pPr>
              <w:pStyle w:val="NormalWeb"/>
              <w:spacing w:before="0" w:beforeAutospacing="0" w:after="60" w:afterAutospacing="0"/>
              <w:jc w:val="both"/>
              <w:rPr>
                <w:rStyle w:val="Accentuation"/>
                <w:color w:val="3C4245"/>
                <w:sz w:val="22"/>
                <w:szCs w:val="22"/>
              </w:rPr>
            </w:pPr>
            <w:r w:rsidRPr="00A51E8C">
              <w:rPr>
                <w:rStyle w:val="Accentuation"/>
                <w:color w:val="3C4245"/>
                <w:sz w:val="22"/>
                <w:szCs w:val="22"/>
              </w:rPr>
              <w:t>L'approche mobilise de multiples secteurs, disciplines et communautés à différents niveaux de la société pour travailler ensemble pour favoriser le bien-être et lutter contre les menaces pour la santé et les écosystèmes, tout en répondant au besoin collectif d'eau potable, d'énergie et d'air, d'aliments sains et nutritifs, en prenant des mesures sur le changement climatique et contribuer au développement durable.</w:t>
            </w:r>
            <w:r w:rsidR="00340FF1" w:rsidRPr="00A51E8C">
              <w:rPr>
                <w:rStyle w:val="Accentuation"/>
                <w:color w:val="3C4245"/>
                <w:sz w:val="22"/>
                <w:szCs w:val="22"/>
              </w:rPr>
              <w:t>.</w:t>
            </w:r>
          </w:p>
          <w:p w14:paraId="2509C973" w14:textId="10C07197" w:rsidR="00FD084B" w:rsidRPr="004946B9" w:rsidRDefault="004946B9" w:rsidP="003865C6">
            <w:pPr>
              <w:spacing w:after="60"/>
              <w:rPr>
                <w:i/>
                <w:iCs/>
                <w:sz w:val="22"/>
                <w:szCs w:val="22"/>
              </w:rPr>
            </w:pPr>
            <w:r w:rsidRPr="00A51E8C">
              <w:rPr>
                <w:rStyle w:val="Accentuation"/>
                <w:i w:val="0"/>
                <w:iCs w:val="0"/>
                <w:color w:val="3C4245"/>
                <w:sz w:val="18"/>
                <w:szCs w:val="18"/>
                <w:lang w:val="fr-FR"/>
              </w:rPr>
              <w:t>So</w:t>
            </w:r>
            <w:r w:rsidRPr="00A51E8C">
              <w:rPr>
                <w:rStyle w:val="Accentuation"/>
                <w:i w:val="0"/>
                <w:iCs w:val="0"/>
                <w:color w:val="3C4245"/>
                <w:sz w:val="18"/>
                <w:szCs w:val="18"/>
              </w:rPr>
              <w:t>u</w:t>
            </w:r>
            <w:r w:rsidRPr="00A51E8C">
              <w:rPr>
                <w:rStyle w:val="Accentuation"/>
                <w:i w:val="0"/>
                <w:iCs w:val="0"/>
                <w:color w:val="3C4245"/>
                <w:sz w:val="18"/>
                <w:szCs w:val="18"/>
                <w:lang w:val="fr-FR"/>
              </w:rPr>
              <w:t>r</w:t>
            </w:r>
            <w:r w:rsidRPr="00A51E8C">
              <w:rPr>
                <w:rStyle w:val="Accentuation"/>
                <w:i w:val="0"/>
                <w:iCs w:val="0"/>
                <w:color w:val="3C4245"/>
                <w:sz w:val="18"/>
                <w:szCs w:val="18"/>
              </w:rPr>
              <w:t>c</w:t>
            </w:r>
            <w:r w:rsidRPr="00A51E8C">
              <w:rPr>
                <w:rStyle w:val="Accentuation"/>
                <w:i w:val="0"/>
                <w:iCs w:val="0"/>
                <w:color w:val="3C4245"/>
                <w:sz w:val="18"/>
                <w:szCs w:val="18"/>
                <w:lang w:val="fr-FR"/>
              </w:rPr>
              <w:t>e</w:t>
            </w:r>
            <w:r w:rsidRPr="00A51E8C">
              <w:rPr>
                <w:rStyle w:val="Accentuation"/>
                <w:i w:val="0"/>
                <w:iCs w:val="0"/>
                <w:color w:val="3C4245"/>
                <w:sz w:val="18"/>
                <w:szCs w:val="18"/>
              </w:rPr>
              <w:t xml:space="preserve"> :</w:t>
            </w:r>
            <w:r w:rsidR="00FD084B" w:rsidRPr="00A51E8C">
              <w:rPr>
                <w:rStyle w:val="Accentuation"/>
                <w:i w:val="0"/>
                <w:iCs w:val="0"/>
                <w:color w:val="3C4245"/>
                <w:sz w:val="18"/>
                <w:szCs w:val="18"/>
                <w:lang w:val="fr-FR"/>
              </w:rPr>
              <w:t xml:space="preserve"> </w:t>
            </w:r>
            <w:r w:rsidRPr="00A51E8C">
              <w:rPr>
                <w:rStyle w:val="Accentuation"/>
                <w:i w:val="0"/>
                <w:iCs w:val="0"/>
                <w:color w:val="3C4245"/>
                <w:sz w:val="18"/>
                <w:szCs w:val="18"/>
                <w:lang w:val="fr-FR"/>
              </w:rPr>
              <w:t xml:space="preserve">Traduit à partir de la version anglaise fournie par le </w:t>
            </w:r>
            <w:r w:rsidR="00FD084B" w:rsidRPr="00A51E8C">
              <w:rPr>
                <w:color w:val="3C4245"/>
                <w:sz w:val="18"/>
                <w:szCs w:val="18"/>
              </w:rPr>
              <w:t>One Health High Level Expert Panel (OHHLEP)</w:t>
            </w:r>
          </w:p>
        </w:tc>
      </w:tr>
    </w:tbl>
    <w:p w14:paraId="369858FB" w14:textId="77E708A9" w:rsidR="001126A9" w:rsidRPr="00A51E8C" w:rsidRDefault="00340FF1" w:rsidP="00194F65">
      <w:pPr>
        <w:spacing w:before="240" w:after="120"/>
        <w:ind w:right="-142"/>
        <w:jc w:val="center"/>
        <w:outlineLvl w:val="0"/>
        <w:rPr>
          <w:b/>
          <w:bCs/>
          <w:sz w:val="22"/>
          <w:szCs w:val="22"/>
        </w:rPr>
      </w:pPr>
      <w:r w:rsidRPr="00A51E8C">
        <w:rPr>
          <w:b/>
          <w:bCs/>
          <w:sz w:val="22"/>
          <w:szCs w:val="22"/>
        </w:rPr>
        <w:t xml:space="preserve">Figure 1- </w:t>
      </w:r>
      <w:r w:rsidR="00194F65">
        <w:rPr>
          <w:b/>
          <w:bCs/>
          <w:sz w:val="22"/>
          <w:szCs w:val="22"/>
          <w:lang w:val="fr-FR"/>
        </w:rPr>
        <w:t xml:space="preserve">Fonctionnement et interactions dans l’ approche </w:t>
      </w:r>
      <w:r w:rsidRPr="00A51E8C">
        <w:rPr>
          <w:b/>
          <w:bCs/>
          <w:sz w:val="22"/>
          <w:szCs w:val="22"/>
        </w:rPr>
        <w:t>One Health</w:t>
      </w:r>
    </w:p>
    <w:tbl>
      <w:tblPr>
        <w:tblStyle w:val="Grilledutableau"/>
        <w:tblW w:w="65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tblGrid>
      <w:tr w:rsidR="00194F65" w14:paraId="68F4F28E" w14:textId="77777777" w:rsidTr="00194F65">
        <w:trPr>
          <w:trHeight w:val="227"/>
          <w:jc w:val="center"/>
        </w:trPr>
        <w:tc>
          <w:tcPr>
            <w:tcW w:w="6521" w:type="dxa"/>
          </w:tcPr>
          <w:p w14:paraId="2C5F8EC5" w14:textId="7D39C656" w:rsidR="00FD084B" w:rsidRDefault="00FD084B" w:rsidP="00194F65">
            <w:pPr>
              <w:ind w:left="-142" w:right="-142"/>
              <w:jc w:val="center"/>
              <w:outlineLvl w:val="0"/>
              <w:rPr>
                <w:lang w:val="fr-FR"/>
              </w:rPr>
            </w:pPr>
            <w:r>
              <w:rPr>
                <w:noProof/>
                <w:lang w:val="fr-FR"/>
              </w:rPr>
              <w:drawing>
                <wp:inline distT="0" distB="0" distL="0" distR="0" wp14:anchorId="2C7AC6A8" wp14:editId="624B7F43">
                  <wp:extent cx="3963391" cy="2215918"/>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rotWithShape="1">
                          <a:blip r:embed="rId8" cstate="print">
                            <a:extLst>
                              <a:ext uri="{28A0092B-C50C-407E-A947-70E740481C1C}">
                                <a14:useLocalDpi xmlns:a14="http://schemas.microsoft.com/office/drawing/2010/main" val="0"/>
                              </a:ext>
                            </a:extLst>
                          </a:blip>
                          <a:srcRect l="2723" t="4546" r="3557"/>
                          <a:stretch/>
                        </pic:blipFill>
                        <pic:spPr bwMode="auto">
                          <a:xfrm>
                            <a:off x="0" y="0"/>
                            <a:ext cx="4027399" cy="2251705"/>
                          </a:xfrm>
                          <a:prstGeom prst="rect">
                            <a:avLst/>
                          </a:prstGeom>
                          <a:ln>
                            <a:noFill/>
                          </a:ln>
                          <a:extLst>
                            <a:ext uri="{53640926-AAD7-44D8-BBD7-CCE9431645EC}">
                              <a14:shadowObscured xmlns:a14="http://schemas.microsoft.com/office/drawing/2010/main"/>
                            </a:ext>
                          </a:extLst>
                        </pic:spPr>
                      </pic:pic>
                    </a:graphicData>
                  </a:graphic>
                </wp:inline>
              </w:drawing>
            </w:r>
          </w:p>
        </w:tc>
      </w:tr>
      <w:tr w:rsidR="00194F65" w:rsidRPr="00FD084B" w14:paraId="597B4BAF" w14:textId="77777777" w:rsidTr="00194F65">
        <w:trPr>
          <w:trHeight w:val="227"/>
          <w:jc w:val="center"/>
        </w:trPr>
        <w:tc>
          <w:tcPr>
            <w:tcW w:w="6521" w:type="dxa"/>
          </w:tcPr>
          <w:p w14:paraId="180A2D5F" w14:textId="34039C2B" w:rsidR="00FD084B" w:rsidRPr="00FD084B" w:rsidRDefault="00FD084B" w:rsidP="00194F65">
            <w:pPr>
              <w:ind w:left="-32" w:right="-142"/>
              <w:jc w:val="center"/>
              <w:outlineLvl w:val="0"/>
              <w:rPr>
                <w:lang w:val="en-US"/>
              </w:rPr>
            </w:pPr>
            <w:r>
              <w:rPr>
                <w:rStyle w:val="Accentuation"/>
                <w:i w:val="0"/>
                <w:iCs w:val="0"/>
                <w:color w:val="3C4245"/>
                <w:sz w:val="18"/>
                <w:szCs w:val="18"/>
                <w:lang w:val="en-US"/>
              </w:rPr>
              <w:t>S</w:t>
            </w:r>
            <w:r w:rsidRPr="00FD084B">
              <w:rPr>
                <w:rStyle w:val="Accentuation"/>
                <w:i w:val="0"/>
                <w:iCs w:val="0"/>
                <w:color w:val="3C4245"/>
                <w:sz w:val="18"/>
                <w:szCs w:val="18"/>
                <w:lang w:val="en-US"/>
              </w:rPr>
              <w:t>o</w:t>
            </w:r>
            <w:r w:rsidRPr="00FD084B">
              <w:rPr>
                <w:rStyle w:val="Accentuation"/>
                <w:i w:val="0"/>
                <w:iCs w:val="0"/>
                <w:color w:val="3C4245"/>
                <w:sz w:val="18"/>
                <w:szCs w:val="18"/>
              </w:rPr>
              <w:t>u</w:t>
            </w:r>
            <w:r w:rsidRPr="00FD084B">
              <w:rPr>
                <w:rStyle w:val="Accentuation"/>
                <w:i w:val="0"/>
                <w:iCs w:val="0"/>
                <w:color w:val="3C4245"/>
                <w:sz w:val="18"/>
                <w:szCs w:val="18"/>
                <w:lang w:val="en-US"/>
              </w:rPr>
              <w:t>r</w:t>
            </w:r>
            <w:r w:rsidRPr="00FD084B">
              <w:rPr>
                <w:rStyle w:val="Accentuation"/>
                <w:i w:val="0"/>
                <w:iCs w:val="0"/>
                <w:color w:val="3C4245"/>
                <w:sz w:val="18"/>
                <w:szCs w:val="18"/>
              </w:rPr>
              <w:t>c</w:t>
            </w:r>
            <w:r w:rsidRPr="00FD084B">
              <w:rPr>
                <w:rStyle w:val="Accentuation"/>
                <w:i w:val="0"/>
                <w:iCs w:val="0"/>
                <w:color w:val="3C4245"/>
                <w:sz w:val="18"/>
                <w:szCs w:val="18"/>
                <w:lang w:val="en-US"/>
              </w:rPr>
              <w:t>e</w:t>
            </w:r>
            <w:r w:rsidRPr="00FD084B">
              <w:rPr>
                <w:rStyle w:val="Accentuation"/>
                <w:i w:val="0"/>
                <w:iCs w:val="0"/>
                <w:color w:val="3C4245"/>
                <w:sz w:val="18"/>
                <w:szCs w:val="18"/>
              </w:rPr>
              <w:t>:</w:t>
            </w:r>
            <w:r w:rsidRPr="00FD084B">
              <w:rPr>
                <w:rStyle w:val="Accentuation"/>
                <w:i w:val="0"/>
                <w:iCs w:val="0"/>
                <w:color w:val="3C4245"/>
                <w:sz w:val="18"/>
                <w:szCs w:val="18"/>
                <w:lang w:val="en-US"/>
              </w:rPr>
              <w:t xml:space="preserve"> </w:t>
            </w:r>
            <w:r w:rsidRPr="00FD084B">
              <w:rPr>
                <w:i/>
                <w:iCs/>
                <w:color w:val="3C4245"/>
                <w:sz w:val="18"/>
                <w:szCs w:val="18"/>
              </w:rPr>
              <w:t>One Health High Level Expert Panel (OHHLEP)</w:t>
            </w:r>
          </w:p>
        </w:tc>
      </w:tr>
    </w:tbl>
    <w:p w14:paraId="4B094083" w14:textId="1CF34FF6" w:rsidR="00196C57" w:rsidRPr="002449ED" w:rsidRDefault="00180326" w:rsidP="00194F65">
      <w:pPr>
        <w:spacing w:before="240" w:after="120"/>
        <w:ind w:right="-142"/>
        <w:jc w:val="both"/>
        <w:outlineLvl w:val="0"/>
        <w:rPr>
          <w:sz w:val="22"/>
          <w:szCs w:val="22"/>
        </w:rPr>
      </w:pPr>
      <w:r w:rsidRPr="002E13B3">
        <w:rPr>
          <w:sz w:val="22"/>
          <w:szCs w:val="22"/>
          <w:lang w:val="fr-FR"/>
        </w:rPr>
        <w:t xml:space="preserve">Les États membres de la COI sont à différents niveaux de développement des systèmes de santé, des services vétérinaires et de leurs interactions. Chacun a ses atouts et de ses difficultés. </w:t>
      </w:r>
      <w:r w:rsidR="00196C57">
        <w:rPr>
          <w:sz w:val="22"/>
          <w:szCs w:val="22"/>
          <w:lang w:val="fr-FR"/>
        </w:rPr>
        <w:t xml:space="preserve">Par ailleurs, les États membres, du fait de leur insularité, de leur biodiversité, des </w:t>
      </w:r>
      <w:r w:rsidR="00196C57" w:rsidRPr="002449ED">
        <w:rPr>
          <w:sz w:val="22"/>
          <w:szCs w:val="22"/>
        </w:rPr>
        <w:t xml:space="preserve">mouvements de population, des échanges économiques, sont exposés à des risques sanitaires similaires. </w:t>
      </w:r>
    </w:p>
    <w:p w14:paraId="5776146F" w14:textId="45B17499" w:rsidR="003F2970" w:rsidRPr="002449ED" w:rsidRDefault="00200451" w:rsidP="002449ED">
      <w:pPr>
        <w:spacing w:after="120"/>
        <w:ind w:right="-142"/>
        <w:jc w:val="both"/>
        <w:outlineLvl w:val="0"/>
        <w:rPr>
          <w:sz w:val="22"/>
          <w:szCs w:val="22"/>
        </w:rPr>
      </w:pPr>
      <w:r>
        <w:rPr>
          <w:sz w:val="22"/>
          <w:szCs w:val="22"/>
          <w:lang w:val="fr-FR"/>
        </w:rPr>
        <w:t xml:space="preserve">Le </w:t>
      </w:r>
      <w:r w:rsidRPr="002449ED">
        <w:rPr>
          <w:sz w:val="22"/>
          <w:szCs w:val="22"/>
        </w:rPr>
        <w:t>réseau reconnaît la complémentarité et l’interdépendance entre les États membres.</w:t>
      </w:r>
      <w:r>
        <w:rPr>
          <w:sz w:val="22"/>
          <w:szCs w:val="22"/>
          <w:lang w:val="fr-FR"/>
        </w:rPr>
        <w:t xml:space="preserve"> En 2019, son </w:t>
      </w:r>
      <w:r w:rsidRPr="002449ED">
        <w:rPr>
          <w:sz w:val="22"/>
          <w:szCs w:val="22"/>
        </w:rPr>
        <w:t>comité de pilotage</w:t>
      </w:r>
      <w:r>
        <w:rPr>
          <w:sz w:val="22"/>
          <w:szCs w:val="22"/>
          <w:lang w:val="fr-FR"/>
        </w:rPr>
        <w:t xml:space="preserve"> a défini l</w:t>
      </w:r>
      <w:r w:rsidR="002E13B3" w:rsidRPr="002449ED">
        <w:rPr>
          <w:sz w:val="22"/>
          <w:szCs w:val="22"/>
        </w:rPr>
        <w:t xml:space="preserve">es valeurs </w:t>
      </w:r>
      <w:r>
        <w:rPr>
          <w:sz w:val="22"/>
          <w:szCs w:val="22"/>
          <w:lang w:val="fr-FR"/>
        </w:rPr>
        <w:t>suivantes qui définissent le</w:t>
      </w:r>
      <w:r w:rsidR="002E13B3" w:rsidRPr="002449ED">
        <w:rPr>
          <w:sz w:val="22"/>
          <w:szCs w:val="22"/>
        </w:rPr>
        <w:t xml:space="preserve"> réseau SEGA One Health</w:t>
      </w:r>
      <w:r>
        <w:rPr>
          <w:sz w:val="22"/>
          <w:szCs w:val="22"/>
        </w:rPr>
        <w:t> </w:t>
      </w:r>
      <w:r>
        <w:rPr>
          <w:sz w:val="22"/>
          <w:szCs w:val="22"/>
          <w:lang w:val="fr-FR"/>
        </w:rPr>
        <w:t xml:space="preserve">: </w:t>
      </w:r>
      <w:r w:rsidR="002E13B3" w:rsidRPr="001B0E38">
        <w:rPr>
          <w:b/>
          <w:bCs/>
          <w:sz w:val="22"/>
          <w:szCs w:val="22"/>
        </w:rPr>
        <w:t>« Solidarité - Expertise et Action »</w:t>
      </w:r>
      <w:r w:rsidR="002E13B3" w:rsidRPr="00200451">
        <w:rPr>
          <w:sz w:val="22"/>
          <w:szCs w:val="22"/>
        </w:rPr>
        <w:t xml:space="preserve">. </w:t>
      </w:r>
    </w:p>
    <w:p w14:paraId="31DB5D91" w14:textId="3EC7FDB6" w:rsidR="007B59D1" w:rsidRPr="002449ED" w:rsidRDefault="003F2970" w:rsidP="002449ED">
      <w:pPr>
        <w:spacing w:after="120"/>
        <w:ind w:right="-142"/>
        <w:jc w:val="both"/>
        <w:outlineLvl w:val="0"/>
        <w:rPr>
          <w:sz w:val="22"/>
          <w:szCs w:val="22"/>
        </w:rPr>
      </w:pPr>
      <w:r w:rsidRPr="002449ED">
        <w:rPr>
          <w:sz w:val="22"/>
          <w:szCs w:val="22"/>
        </w:rPr>
        <w:t>Le réseau SEGA-One Health capitalise sur cette complémentarité et interdépendance à travers les échanges d’informations sanitaires, les échanges d’expériences et d’expertises, le partage de ressources tel que les plateformes, les procédures</w:t>
      </w:r>
      <w:r w:rsidR="00200451">
        <w:rPr>
          <w:sz w:val="22"/>
          <w:szCs w:val="22"/>
          <w:lang w:val="fr-FR"/>
        </w:rPr>
        <w:t xml:space="preserve"> et</w:t>
      </w:r>
      <w:r w:rsidRPr="002449ED">
        <w:rPr>
          <w:sz w:val="22"/>
          <w:szCs w:val="22"/>
        </w:rPr>
        <w:t xml:space="preserve"> les outils. Les actions sont à la fois au niveau national</w:t>
      </w:r>
      <w:r w:rsidR="00012E23" w:rsidRPr="002449ED">
        <w:rPr>
          <w:sz w:val="22"/>
          <w:szCs w:val="22"/>
        </w:rPr>
        <w:t>, pour renforcer les systèmes nationaux, et au niveau régional à travers ces différents partages et mutualisations.</w:t>
      </w:r>
      <w:r w:rsidRPr="002449ED">
        <w:rPr>
          <w:sz w:val="22"/>
          <w:szCs w:val="22"/>
        </w:rPr>
        <w:t xml:space="preserve"> </w:t>
      </w:r>
    </w:p>
    <w:p w14:paraId="064289E6" w14:textId="534CB825" w:rsidR="00913FA4" w:rsidRDefault="001126A9" w:rsidP="002449ED">
      <w:pPr>
        <w:spacing w:after="120"/>
        <w:ind w:right="-142"/>
        <w:jc w:val="both"/>
        <w:outlineLvl w:val="0"/>
        <w:rPr>
          <w:sz w:val="22"/>
          <w:szCs w:val="22"/>
        </w:rPr>
      </w:pPr>
      <w:r w:rsidRPr="007B59D1">
        <w:rPr>
          <w:sz w:val="22"/>
          <w:szCs w:val="22"/>
        </w:rPr>
        <w:t>Les actions d</w:t>
      </w:r>
      <w:r w:rsidR="003F2970" w:rsidRPr="002449ED">
        <w:rPr>
          <w:sz w:val="22"/>
          <w:szCs w:val="22"/>
        </w:rPr>
        <w:t>u</w:t>
      </w:r>
      <w:r w:rsidRPr="007B59D1">
        <w:rPr>
          <w:sz w:val="22"/>
          <w:szCs w:val="22"/>
        </w:rPr>
        <w:t xml:space="preserve"> réseau </w:t>
      </w:r>
      <w:r w:rsidR="003F2970" w:rsidRPr="002449ED">
        <w:rPr>
          <w:sz w:val="22"/>
          <w:szCs w:val="22"/>
        </w:rPr>
        <w:t xml:space="preserve">SEGA-One Health </w:t>
      </w:r>
      <w:r w:rsidRPr="007B59D1">
        <w:rPr>
          <w:sz w:val="22"/>
          <w:szCs w:val="22"/>
        </w:rPr>
        <w:t>ne prévalent pas sur les politiques nationales en matière de santé</w:t>
      </w:r>
      <w:r w:rsidR="003F2970" w:rsidRPr="002449ED">
        <w:rPr>
          <w:sz w:val="22"/>
          <w:szCs w:val="22"/>
        </w:rPr>
        <w:t>, elles le</w:t>
      </w:r>
      <w:r w:rsidR="00200451">
        <w:rPr>
          <w:sz w:val="22"/>
          <w:szCs w:val="22"/>
          <w:lang w:val="fr-FR"/>
        </w:rPr>
        <w:t>s</w:t>
      </w:r>
      <w:r w:rsidR="003F2970" w:rsidRPr="002449ED">
        <w:rPr>
          <w:sz w:val="22"/>
          <w:szCs w:val="22"/>
        </w:rPr>
        <w:t xml:space="preserve"> complètent. </w:t>
      </w:r>
      <w:r w:rsidR="00012E23" w:rsidRPr="002449ED">
        <w:rPr>
          <w:sz w:val="22"/>
          <w:szCs w:val="22"/>
        </w:rPr>
        <w:t>La souveraineté des pays</w:t>
      </w:r>
      <w:r w:rsidR="00D7530E">
        <w:rPr>
          <w:sz w:val="22"/>
          <w:szCs w:val="22"/>
          <w:lang w:val="fr-FR"/>
        </w:rPr>
        <w:t xml:space="preserve"> reste un principe immuable et les actions engagées sont validées au préalables par les </w:t>
      </w:r>
      <w:r w:rsidR="00012E23" w:rsidRPr="002449ED">
        <w:rPr>
          <w:sz w:val="22"/>
          <w:szCs w:val="22"/>
        </w:rPr>
        <w:t>États membres.</w:t>
      </w:r>
      <w:r w:rsidR="003865C6" w:rsidRPr="002449ED">
        <w:rPr>
          <w:sz w:val="22"/>
          <w:szCs w:val="22"/>
        </w:rPr>
        <w:t xml:space="preserve"> </w:t>
      </w:r>
    </w:p>
    <w:p w14:paraId="77F3DF6D" w14:textId="6C9A57D5" w:rsidR="00BD3F9B" w:rsidRPr="00BD3F9B" w:rsidRDefault="00BD3F9B" w:rsidP="002449ED">
      <w:pPr>
        <w:spacing w:after="120"/>
        <w:ind w:right="-142"/>
        <w:jc w:val="both"/>
        <w:outlineLvl w:val="0"/>
        <w:rPr>
          <w:sz w:val="22"/>
          <w:szCs w:val="22"/>
          <w:lang w:val="fr-FR"/>
        </w:rPr>
      </w:pPr>
      <w:r>
        <w:rPr>
          <w:sz w:val="22"/>
          <w:szCs w:val="22"/>
          <w:lang w:val="fr-FR"/>
        </w:rPr>
        <w:t>Le</w:t>
      </w:r>
      <w:r w:rsidR="00D7530E">
        <w:rPr>
          <w:sz w:val="22"/>
          <w:szCs w:val="22"/>
          <w:lang w:val="fr-FR"/>
        </w:rPr>
        <w:t>s actions sont en cours pour améliorer la prise en compte du</w:t>
      </w:r>
      <w:r>
        <w:rPr>
          <w:sz w:val="22"/>
          <w:szCs w:val="22"/>
          <w:lang w:val="fr-FR"/>
        </w:rPr>
        <w:t xml:space="preserve"> genre et les droits humains </w:t>
      </w:r>
      <w:r w:rsidR="00D7530E">
        <w:rPr>
          <w:sz w:val="22"/>
          <w:szCs w:val="22"/>
          <w:lang w:val="fr-FR"/>
        </w:rPr>
        <w:t>dans les actions</w:t>
      </w:r>
      <w:r>
        <w:rPr>
          <w:sz w:val="22"/>
          <w:szCs w:val="22"/>
          <w:lang w:val="fr-FR"/>
        </w:rPr>
        <w:t xml:space="preserve"> du réseau SEGA One </w:t>
      </w:r>
      <w:proofErr w:type="spellStart"/>
      <w:r>
        <w:rPr>
          <w:sz w:val="22"/>
          <w:szCs w:val="22"/>
          <w:lang w:val="fr-FR"/>
        </w:rPr>
        <w:t>Health</w:t>
      </w:r>
      <w:proofErr w:type="spellEnd"/>
      <w:r>
        <w:rPr>
          <w:sz w:val="22"/>
          <w:szCs w:val="22"/>
          <w:lang w:val="fr-FR"/>
        </w:rPr>
        <w:t>.</w:t>
      </w:r>
    </w:p>
    <w:p w14:paraId="7F5C1B4A" w14:textId="753995CE" w:rsidR="003865C6" w:rsidRDefault="00D7530E" w:rsidP="002449ED">
      <w:pPr>
        <w:spacing w:after="120"/>
        <w:ind w:right="-142"/>
        <w:jc w:val="both"/>
        <w:outlineLvl w:val="0"/>
        <w:rPr>
          <w:sz w:val="22"/>
          <w:szCs w:val="22"/>
          <w:lang w:val="fr-FR"/>
        </w:rPr>
      </w:pPr>
      <w:r>
        <w:rPr>
          <w:sz w:val="22"/>
          <w:szCs w:val="22"/>
          <w:lang w:val="fr-FR"/>
        </w:rPr>
        <w:t xml:space="preserve">Le réseau SEGA One </w:t>
      </w:r>
      <w:proofErr w:type="spellStart"/>
      <w:r>
        <w:rPr>
          <w:sz w:val="22"/>
          <w:szCs w:val="22"/>
          <w:lang w:val="fr-FR"/>
        </w:rPr>
        <w:t>Health</w:t>
      </w:r>
      <w:proofErr w:type="spellEnd"/>
      <w:r>
        <w:rPr>
          <w:sz w:val="22"/>
          <w:szCs w:val="22"/>
          <w:lang w:val="fr-FR"/>
        </w:rPr>
        <w:t xml:space="preserve"> s’aligne aux directives des organisations internationales régulatrices du secteur santé (OMS, OIE). </w:t>
      </w:r>
      <w:r w:rsidR="003865C6" w:rsidRPr="002449ED">
        <w:rPr>
          <w:sz w:val="22"/>
          <w:szCs w:val="22"/>
        </w:rPr>
        <w:t>Le</w:t>
      </w:r>
      <w:r w:rsidR="00BD3F9B">
        <w:rPr>
          <w:sz w:val="22"/>
          <w:szCs w:val="22"/>
          <w:lang w:val="fr-FR"/>
        </w:rPr>
        <w:t>s principaux</w:t>
      </w:r>
      <w:r w:rsidR="003865C6" w:rsidRPr="002449ED">
        <w:rPr>
          <w:sz w:val="22"/>
          <w:szCs w:val="22"/>
        </w:rPr>
        <w:t xml:space="preserve"> référentiels </w:t>
      </w:r>
      <w:r w:rsidR="00BD3F9B">
        <w:rPr>
          <w:sz w:val="22"/>
          <w:szCs w:val="22"/>
          <w:lang w:val="fr-FR"/>
        </w:rPr>
        <w:t xml:space="preserve">utilisés dans les actions du réseau SEGA-One </w:t>
      </w:r>
      <w:proofErr w:type="spellStart"/>
      <w:r w:rsidR="00BD3F9B">
        <w:rPr>
          <w:sz w:val="22"/>
          <w:szCs w:val="22"/>
          <w:lang w:val="fr-FR"/>
        </w:rPr>
        <w:t>Health</w:t>
      </w:r>
      <w:proofErr w:type="spellEnd"/>
      <w:r w:rsidR="00BD3F9B">
        <w:rPr>
          <w:sz w:val="22"/>
          <w:szCs w:val="22"/>
          <w:lang w:val="fr-FR"/>
        </w:rPr>
        <w:t xml:space="preserve"> </w:t>
      </w:r>
      <w:r w:rsidR="003865C6" w:rsidRPr="002449ED">
        <w:rPr>
          <w:sz w:val="22"/>
          <w:szCs w:val="22"/>
        </w:rPr>
        <w:t xml:space="preserve">sont le Règlement </w:t>
      </w:r>
      <w:r w:rsidR="009C7D36" w:rsidRPr="002449ED">
        <w:rPr>
          <w:sz w:val="22"/>
          <w:szCs w:val="22"/>
        </w:rPr>
        <w:t>S</w:t>
      </w:r>
      <w:r w:rsidR="003865C6" w:rsidRPr="002449ED">
        <w:rPr>
          <w:sz w:val="22"/>
          <w:szCs w:val="22"/>
        </w:rPr>
        <w:t xml:space="preserve">anitaire </w:t>
      </w:r>
      <w:r w:rsidR="009C7D36" w:rsidRPr="002449ED">
        <w:rPr>
          <w:sz w:val="22"/>
          <w:szCs w:val="22"/>
        </w:rPr>
        <w:t>I</w:t>
      </w:r>
      <w:r w:rsidR="003865C6" w:rsidRPr="002449ED">
        <w:rPr>
          <w:sz w:val="22"/>
          <w:szCs w:val="22"/>
        </w:rPr>
        <w:t>nternational (RSI</w:t>
      </w:r>
      <w:r w:rsidR="009C7D36" w:rsidRPr="002449ED">
        <w:rPr>
          <w:sz w:val="22"/>
          <w:szCs w:val="22"/>
        </w:rPr>
        <w:t>)</w:t>
      </w:r>
      <w:r w:rsidR="001B0E38">
        <w:rPr>
          <w:sz w:val="22"/>
          <w:szCs w:val="22"/>
          <w:lang w:val="fr-FR"/>
        </w:rPr>
        <w:t xml:space="preserve">, </w:t>
      </w:r>
      <w:r w:rsidR="009C7D36" w:rsidRPr="002449ED">
        <w:rPr>
          <w:sz w:val="22"/>
          <w:szCs w:val="22"/>
        </w:rPr>
        <w:t>la Surveillance Intégrée des Maladies et Riposte (SIMR)</w:t>
      </w:r>
      <w:r w:rsidR="001B0E38">
        <w:rPr>
          <w:sz w:val="22"/>
          <w:szCs w:val="22"/>
          <w:lang w:val="fr-FR"/>
        </w:rPr>
        <w:t xml:space="preserve"> et l’outil pour l’évaluation externe conjointe du RSI (EEC) </w:t>
      </w:r>
      <w:r w:rsidR="009C7D36" w:rsidRPr="002449ED">
        <w:rPr>
          <w:sz w:val="22"/>
          <w:szCs w:val="22"/>
        </w:rPr>
        <w:t>de l’OMS, ainsi que les Codes  sanitaires pour les animaux terrestres</w:t>
      </w:r>
      <w:r w:rsidR="001B0E38">
        <w:rPr>
          <w:sz w:val="22"/>
          <w:szCs w:val="22"/>
          <w:lang w:val="fr-FR"/>
        </w:rPr>
        <w:t xml:space="preserve"> et </w:t>
      </w:r>
      <w:r w:rsidR="009C7D36" w:rsidRPr="002449ED">
        <w:rPr>
          <w:sz w:val="22"/>
          <w:szCs w:val="22"/>
        </w:rPr>
        <w:t>pour les animaux aquatiques de l’OIE</w:t>
      </w:r>
      <w:r w:rsidR="001B0E38">
        <w:rPr>
          <w:sz w:val="22"/>
          <w:szCs w:val="22"/>
          <w:lang w:val="fr-FR"/>
        </w:rPr>
        <w:t xml:space="preserve"> et l’outil de suivi des performances des services vétérinaires (PVS).</w:t>
      </w:r>
    </w:p>
    <w:p w14:paraId="3D34F0D4" w14:textId="089409BF" w:rsidR="00FC402A" w:rsidRPr="002449ED" w:rsidRDefault="00FC402A" w:rsidP="002449ED">
      <w:pPr>
        <w:spacing w:after="120"/>
        <w:ind w:right="-142"/>
        <w:jc w:val="both"/>
        <w:outlineLvl w:val="0"/>
        <w:rPr>
          <w:sz w:val="22"/>
          <w:szCs w:val="22"/>
        </w:rPr>
      </w:pPr>
      <w:r w:rsidRPr="004946B9">
        <w:rPr>
          <w:sz w:val="22"/>
          <w:szCs w:val="22"/>
        </w:rPr>
        <w:lastRenderedPageBreak/>
        <w:t>Le réseau SEGA-One Health se structure en approche programme avec plusieurs pôles thématiques</w:t>
      </w:r>
      <w:r>
        <w:rPr>
          <w:sz w:val="22"/>
          <w:szCs w:val="22"/>
          <w:lang w:val="fr-FR"/>
        </w:rPr>
        <w:t xml:space="preserve"> qui sont</w:t>
      </w:r>
      <w:r w:rsidRPr="004946B9">
        <w:rPr>
          <w:sz w:val="22"/>
          <w:szCs w:val="22"/>
        </w:rPr>
        <w:t xml:space="preserve">: </w:t>
      </w:r>
      <w:r>
        <w:rPr>
          <w:sz w:val="22"/>
          <w:szCs w:val="22"/>
          <w:lang w:val="fr-FR"/>
        </w:rPr>
        <w:t>(1) la s</w:t>
      </w:r>
      <w:r w:rsidRPr="004946B9">
        <w:rPr>
          <w:sz w:val="22"/>
          <w:szCs w:val="22"/>
        </w:rPr>
        <w:t xml:space="preserve">urveillance et </w:t>
      </w:r>
      <w:r>
        <w:rPr>
          <w:sz w:val="22"/>
          <w:szCs w:val="22"/>
          <w:lang w:val="fr-FR"/>
        </w:rPr>
        <w:t xml:space="preserve">la </w:t>
      </w:r>
      <w:r w:rsidRPr="004946B9">
        <w:rPr>
          <w:sz w:val="22"/>
          <w:szCs w:val="22"/>
        </w:rPr>
        <w:t xml:space="preserve">riposte, </w:t>
      </w:r>
      <w:r>
        <w:rPr>
          <w:sz w:val="22"/>
          <w:szCs w:val="22"/>
          <w:lang w:val="fr-FR"/>
        </w:rPr>
        <w:t xml:space="preserve">(2) le </w:t>
      </w:r>
      <w:r w:rsidRPr="004946B9">
        <w:rPr>
          <w:sz w:val="22"/>
          <w:szCs w:val="22"/>
        </w:rPr>
        <w:t xml:space="preserve">réseau de laboratoires, </w:t>
      </w:r>
      <w:r>
        <w:rPr>
          <w:sz w:val="22"/>
          <w:szCs w:val="22"/>
          <w:lang w:val="fr-FR"/>
        </w:rPr>
        <w:t xml:space="preserve">(3) la </w:t>
      </w:r>
      <w:r w:rsidRPr="004946B9">
        <w:rPr>
          <w:sz w:val="22"/>
          <w:szCs w:val="22"/>
        </w:rPr>
        <w:t xml:space="preserve">surveillance aux frontières et des voyageurs, </w:t>
      </w:r>
      <w:r>
        <w:rPr>
          <w:sz w:val="22"/>
          <w:szCs w:val="22"/>
          <w:lang w:val="fr-FR"/>
        </w:rPr>
        <w:t xml:space="preserve">(4) le </w:t>
      </w:r>
      <w:r w:rsidRPr="004946B9">
        <w:rPr>
          <w:sz w:val="22"/>
          <w:szCs w:val="22"/>
        </w:rPr>
        <w:t xml:space="preserve">risque vectoriel, </w:t>
      </w:r>
      <w:r>
        <w:rPr>
          <w:sz w:val="22"/>
          <w:szCs w:val="22"/>
          <w:lang w:val="fr-FR"/>
        </w:rPr>
        <w:t>(5) la formation en épidémiologie de terrain (</w:t>
      </w:r>
      <w:r w:rsidRPr="004946B9">
        <w:rPr>
          <w:sz w:val="22"/>
          <w:szCs w:val="22"/>
        </w:rPr>
        <w:t>FETP</w:t>
      </w:r>
      <w:r>
        <w:rPr>
          <w:sz w:val="22"/>
          <w:szCs w:val="22"/>
          <w:lang w:val="fr-FR"/>
        </w:rPr>
        <w:t xml:space="preserve">) </w:t>
      </w:r>
      <w:r w:rsidRPr="004946B9">
        <w:rPr>
          <w:sz w:val="22"/>
          <w:szCs w:val="22"/>
        </w:rPr>
        <w:t xml:space="preserve">, </w:t>
      </w:r>
      <w:r>
        <w:rPr>
          <w:sz w:val="22"/>
          <w:szCs w:val="22"/>
          <w:lang w:val="fr-FR"/>
        </w:rPr>
        <w:t>(6) l’environnement-</w:t>
      </w:r>
      <w:r w:rsidRPr="004946B9">
        <w:rPr>
          <w:sz w:val="22"/>
          <w:szCs w:val="22"/>
        </w:rPr>
        <w:t xml:space="preserve">changement climatique et santé, et enfin </w:t>
      </w:r>
      <w:r>
        <w:rPr>
          <w:sz w:val="22"/>
          <w:szCs w:val="22"/>
          <w:lang w:val="fr-FR"/>
        </w:rPr>
        <w:t xml:space="preserve">(7) </w:t>
      </w:r>
      <w:r w:rsidRPr="004946B9">
        <w:rPr>
          <w:sz w:val="22"/>
          <w:szCs w:val="22"/>
        </w:rPr>
        <w:t>les maladies non transmissibles. La recherche opérationnelle a aussi été ajoutée comme pôle transversale.</w:t>
      </w:r>
    </w:p>
    <w:p w14:paraId="6C3B6310" w14:textId="10E40A73" w:rsidR="00063570" w:rsidRPr="00E8784F" w:rsidRDefault="00063570" w:rsidP="002449ED">
      <w:pPr>
        <w:pStyle w:val="Paragraphedeliste"/>
        <w:numPr>
          <w:ilvl w:val="0"/>
          <w:numId w:val="37"/>
        </w:numPr>
        <w:spacing w:before="120" w:after="120"/>
        <w:ind w:left="284" w:right="-142" w:hanging="284"/>
        <w:outlineLvl w:val="0"/>
        <w:rPr>
          <w:rFonts w:ascii="Times New Roman" w:eastAsiaTheme="minorEastAsia" w:hAnsi="Times New Roman"/>
          <w:b/>
          <w:color w:val="00B0F0"/>
          <w:sz w:val="28"/>
          <w:szCs w:val="28"/>
        </w:rPr>
      </w:pPr>
      <w:r w:rsidRPr="00E8784F">
        <w:rPr>
          <w:rFonts w:ascii="Times New Roman" w:eastAsiaTheme="minorEastAsia" w:hAnsi="Times New Roman"/>
          <w:b/>
          <w:color w:val="00B0F0"/>
          <w:sz w:val="24"/>
          <w:szCs w:val="24"/>
        </w:rPr>
        <w:t xml:space="preserve">Domaines </w:t>
      </w:r>
      <w:r w:rsidR="00440E2C">
        <w:rPr>
          <w:rFonts w:ascii="Times New Roman" w:eastAsiaTheme="minorEastAsia" w:hAnsi="Times New Roman"/>
          <w:b/>
          <w:color w:val="00B0F0"/>
          <w:sz w:val="24"/>
          <w:szCs w:val="24"/>
        </w:rPr>
        <w:t xml:space="preserve">d’intervention </w:t>
      </w:r>
      <w:r w:rsidRPr="00E8784F">
        <w:rPr>
          <w:rFonts w:ascii="Times New Roman" w:eastAsiaTheme="minorEastAsia" w:hAnsi="Times New Roman"/>
          <w:b/>
          <w:color w:val="00B0F0"/>
          <w:sz w:val="24"/>
          <w:szCs w:val="24"/>
        </w:rPr>
        <w:t>stratégiques</w:t>
      </w:r>
    </w:p>
    <w:p w14:paraId="63962CD8" w14:textId="07349DBD" w:rsidR="00063570" w:rsidRPr="009C1601" w:rsidRDefault="009C1601" w:rsidP="00063570">
      <w:pPr>
        <w:spacing w:after="120"/>
        <w:ind w:right="-142"/>
        <w:jc w:val="both"/>
        <w:outlineLvl w:val="0"/>
        <w:rPr>
          <w:sz w:val="22"/>
          <w:szCs w:val="22"/>
          <w:lang w:val="fr-FR"/>
        </w:rPr>
      </w:pPr>
      <w:r>
        <w:rPr>
          <w:sz w:val="22"/>
          <w:szCs w:val="22"/>
          <w:lang w:val="fr-FR"/>
        </w:rPr>
        <w:t>Les</w:t>
      </w:r>
      <w:r w:rsidR="00063570" w:rsidRPr="00063570">
        <w:rPr>
          <w:sz w:val="22"/>
          <w:szCs w:val="22"/>
        </w:rPr>
        <w:t xml:space="preserve"> </w:t>
      </w:r>
      <w:r w:rsidR="00440E2C">
        <w:rPr>
          <w:sz w:val="22"/>
          <w:szCs w:val="22"/>
          <w:lang w:val="fr-FR"/>
        </w:rPr>
        <w:t xml:space="preserve">domaines stratégiques correspondent aux </w:t>
      </w:r>
      <w:r w:rsidR="00063570" w:rsidRPr="00063570">
        <w:rPr>
          <w:sz w:val="22"/>
          <w:szCs w:val="22"/>
        </w:rPr>
        <w:t>pôles thématiques d’excellence</w:t>
      </w:r>
      <w:r>
        <w:rPr>
          <w:sz w:val="22"/>
          <w:szCs w:val="22"/>
          <w:lang w:val="fr-FR"/>
        </w:rPr>
        <w:t xml:space="preserve"> </w:t>
      </w:r>
      <w:r w:rsidR="00440E2C">
        <w:rPr>
          <w:sz w:val="22"/>
          <w:szCs w:val="22"/>
          <w:lang w:val="fr-FR"/>
        </w:rPr>
        <w:t xml:space="preserve">du réseau SEGA One </w:t>
      </w:r>
      <w:proofErr w:type="spellStart"/>
      <w:r w:rsidR="00440E2C">
        <w:rPr>
          <w:sz w:val="22"/>
          <w:szCs w:val="22"/>
          <w:lang w:val="fr-FR"/>
        </w:rPr>
        <w:t>Health</w:t>
      </w:r>
      <w:proofErr w:type="spellEnd"/>
      <w:r>
        <w:rPr>
          <w:sz w:val="22"/>
          <w:szCs w:val="22"/>
          <w:lang w:val="fr-FR"/>
        </w:rPr>
        <w:t>.</w:t>
      </w:r>
      <w:r w:rsidR="00816029">
        <w:rPr>
          <w:sz w:val="22"/>
          <w:szCs w:val="22"/>
          <w:lang w:val="fr-FR"/>
        </w:rPr>
        <w:t xml:space="preserve"> Pour chaque domaine stratégique, les priorités sont </w:t>
      </w:r>
      <w:r w:rsidR="00485E2D">
        <w:rPr>
          <w:sz w:val="22"/>
          <w:szCs w:val="22"/>
          <w:lang w:val="fr-FR"/>
        </w:rPr>
        <w:t>définies</w:t>
      </w:r>
      <w:r w:rsidR="005D3B62">
        <w:rPr>
          <w:sz w:val="22"/>
          <w:szCs w:val="22"/>
          <w:lang w:val="fr-FR"/>
        </w:rPr>
        <w:t xml:space="preserve"> et sont traduites ici sous forme d’objectifs.</w:t>
      </w:r>
    </w:p>
    <w:p w14:paraId="670BE8D2" w14:textId="7EE1B880" w:rsidR="00FC46E5" w:rsidRPr="00816029" w:rsidRDefault="006D167F" w:rsidP="00063570">
      <w:pPr>
        <w:pStyle w:val="Paragraphedeliste"/>
        <w:numPr>
          <w:ilvl w:val="0"/>
          <w:numId w:val="42"/>
        </w:numPr>
        <w:spacing w:before="120" w:after="120"/>
        <w:ind w:left="284" w:right="-142" w:hanging="284"/>
        <w:outlineLvl w:val="0"/>
        <w:rPr>
          <w:rFonts w:ascii="Times New Roman" w:eastAsiaTheme="minorEastAsia" w:hAnsi="Times New Roman"/>
          <w:b/>
          <w:color w:val="E36C0A" w:themeColor="accent6" w:themeShade="BF"/>
          <w:u w:val="single"/>
        </w:rPr>
      </w:pPr>
      <w:r w:rsidRPr="00816029">
        <w:rPr>
          <w:rFonts w:ascii="Times New Roman" w:eastAsiaTheme="minorEastAsia" w:hAnsi="Times New Roman"/>
          <w:b/>
          <w:color w:val="E36C0A" w:themeColor="accent6" w:themeShade="BF"/>
          <w:sz w:val="21"/>
          <w:szCs w:val="21"/>
          <w:u w:val="single"/>
        </w:rPr>
        <w:t>Surveillance</w:t>
      </w:r>
      <w:r w:rsidRPr="00816029">
        <w:rPr>
          <w:rFonts w:ascii="Times New Roman" w:eastAsiaTheme="minorEastAsia" w:hAnsi="Times New Roman"/>
          <w:b/>
          <w:color w:val="E36C0A" w:themeColor="accent6" w:themeShade="BF"/>
          <w:u w:val="single"/>
        </w:rPr>
        <w:t xml:space="preserve"> et riposte </w:t>
      </w:r>
    </w:p>
    <w:p w14:paraId="4EEFC0A4" w14:textId="0083D121" w:rsidR="00FC46E5" w:rsidRDefault="00913FA4" w:rsidP="002449ED">
      <w:pPr>
        <w:spacing w:after="120"/>
        <w:ind w:right="-142"/>
        <w:jc w:val="both"/>
        <w:outlineLvl w:val="0"/>
        <w:rPr>
          <w:sz w:val="22"/>
          <w:szCs w:val="22"/>
        </w:rPr>
      </w:pPr>
      <w:r w:rsidRPr="002449ED">
        <w:rPr>
          <w:sz w:val="22"/>
          <w:szCs w:val="22"/>
        </w:rPr>
        <w:t>La surveillance et la riposte constitue le cœur de métier et la première mission ayant abouti à la création du réseau SEGA One Health</w:t>
      </w:r>
      <w:r w:rsidR="00FC46E5" w:rsidRPr="002449ED">
        <w:rPr>
          <w:sz w:val="22"/>
          <w:szCs w:val="22"/>
        </w:rPr>
        <w:t>.</w:t>
      </w:r>
    </w:p>
    <w:p w14:paraId="5BFA8FC4" w14:textId="33BAA639" w:rsidR="001B0E38" w:rsidRDefault="001B0E38" w:rsidP="005F17E8">
      <w:pPr>
        <w:spacing w:after="120"/>
        <w:ind w:right="-142"/>
        <w:jc w:val="both"/>
        <w:outlineLvl w:val="0"/>
        <w:rPr>
          <w:sz w:val="22"/>
          <w:szCs w:val="22"/>
          <w:lang w:val="fr-FR"/>
        </w:rPr>
      </w:pPr>
      <w:r>
        <w:rPr>
          <w:sz w:val="22"/>
          <w:szCs w:val="22"/>
          <w:lang w:val="fr-FR"/>
        </w:rPr>
        <w:t>L</w:t>
      </w:r>
      <w:r w:rsidR="00485E2D">
        <w:rPr>
          <w:sz w:val="22"/>
          <w:szCs w:val="22"/>
          <w:lang w:val="fr-FR"/>
        </w:rPr>
        <w:t xml:space="preserve">es priorités pour ce domaine </w:t>
      </w:r>
      <w:r>
        <w:rPr>
          <w:sz w:val="22"/>
          <w:szCs w:val="22"/>
          <w:lang w:val="fr-FR"/>
        </w:rPr>
        <w:t>stratégi</w:t>
      </w:r>
      <w:r w:rsidR="00485E2D">
        <w:rPr>
          <w:sz w:val="22"/>
          <w:szCs w:val="22"/>
          <w:lang w:val="fr-FR"/>
        </w:rPr>
        <w:t xml:space="preserve">que sont les </w:t>
      </w:r>
      <w:r w:rsidR="00610158">
        <w:rPr>
          <w:sz w:val="22"/>
          <w:szCs w:val="22"/>
          <w:lang w:val="fr-FR"/>
        </w:rPr>
        <w:t>suivantes :</w:t>
      </w:r>
    </w:p>
    <w:p w14:paraId="4EFE86A7" w14:textId="2DFF5B17" w:rsidR="006A5E90" w:rsidRPr="005D3B62" w:rsidRDefault="005D3B62" w:rsidP="005F17E8">
      <w:pPr>
        <w:pStyle w:val="Paragraphedeliste"/>
        <w:numPr>
          <w:ilvl w:val="0"/>
          <w:numId w:val="40"/>
        </w:numPr>
        <w:spacing w:after="120"/>
        <w:ind w:left="283" w:right="-142" w:hanging="215"/>
        <w:contextualSpacing w:val="0"/>
        <w:jc w:val="both"/>
        <w:outlineLvl w:val="0"/>
        <w:rPr>
          <w:rFonts w:ascii="Times New Roman" w:hAnsi="Times New Roman"/>
          <w:b/>
          <w:bCs/>
          <w:i/>
          <w:iCs/>
          <w:color w:val="000000" w:themeColor="text1"/>
        </w:rPr>
      </w:pPr>
      <w:r>
        <w:rPr>
          <w:rFonts w:ascii="Times New Roman" w:hAnsi="Times New Roman"/>
          <w:b/>
          <w:bCs/>
          <w:i/>
          <w:iCs/>
          <w:color w:val="000000" w:themeColor="text1"/>
        </w:rPr>
        <w:t>Fluidifier</w:t>
      </w:r>
      <w:r w:rsidR="001E1FB1" w:rsidRPr="005D3B62">
        <w:rPr>
          <w:rFonts w:ascii="Times New Roman" w:hAnsi="Times New Roman"/>
          <w:b/>
          <w:bCs/>
          <w:i/>
          <w:iCs/>
          <w:color w:val="000000" w:themeColor="text1"/>
        </w:rPr>
        <w:t xml:space="preserve"> le partage d’informations sanitaires</w:t>
      </w:r>
    </w:p>
    <w:p w14:paraId="19007C80" w14:textId="62EE2CB1" w:rsidR="001E1FB1" w:rsidRPr="006A5E90" w:rsidRDefault="006A5E90" w:rsidP="006A5E90">
      <w:pPr>
        <w:spacing w:after="120"/>
        <w:ind w:right="-142"/>
        <w:jc w:val="both"/>
        <w:outlineLvl w:val="0"/>
        <w:rPr>
          <w:sz w:val="22"/>
          <w:szCs w:val="22"/>
          <w:lang w:val="fr-FR"/>
        </w:rPr>
      </w:pPr>
      <w:r>
        <w:rPr>
          <w:sz w:val="22"/>
          <w:szCs w:val="22"/>
          <w:lang w:val="fr-FR"/>
        </w:rPr>
        <w:t xml:space="preserve">Ce </w:t>
      </w:r>
      <w:r w:rsidR="005F17E8">
        <w:rPr>
          <w:sz w:val="22"/>
          <w:szCs w:val="22"/>
          <w:lang w:val="fr-FR"/>
        </w:rPr>
        <w:t>volet nécessite</w:t>
      </w:r>
      <w:r>
        <w:rPr>
          <w:sz w:val="22"/>
          <w:szCs w:val="22"/>
          <w:lang w:val="fr-FR"/>
        </w:rPr>
        <w:t xml:space="preserve"> différents outils et méthodes (téléconférences, bulletins, outils </w:t>
      </w:r>
      <w:r w:rsidR="005F17E8">
        <w:rPr>
          <w:sz w:val="22"/>
          <w:szCs w:val="22"/>
          <w:lang w:val="fr-FR"/>
        </w:rPr>
        <w:t>technologiques</w:t>
      </w:r>
      <w:r>
        <w:rPr>
          <w:sz w:val="22"/>
          <w:szCs w:val="22"/>
          <w:lang w:val="fr-FR"/>
        </w:rPr>
        <w:t xml:space="preserve"> automatisés</w:t>
      </w:r>
      <w:r w:rsidRPr="006A5E90">
        <w:rPr>
          <w:sz w:val="22"/>
          <w:szCs w:val="22"/>
          <w:lang w:val="fr-FR"/>
        </w:rPr>
        <w:t xml:space="preserve"> </w:t>
      </w:r>
      <w:r>
        <w:rPr>
          <w:sz w:val="22"/>
          <w:szCs w:val="22"/>
          <w:lang w:val="fr-FR"/>
        </w:rPr>
        <w:t>…). Un protocole de partage</w:t>
      </w:r>
      <w:r w:rsidR="005F17E8">
        <w:rPr>
          <w:sz w:val="22"/>
          <w:szCs w:val="22"/>
          <w:lang w:val="fr-FR"/>
        </w:rPr>
        <w:t xml:space="preserve"> des informations,</w:t>
      </w:r>
      <w:r>
        <w:rPr>
          <w:sz w:val="22"/>
          <w:szCs w:val="22"/>
          <w:lang w:val="fr-FR"/>
        </w:rPr>
        <w:t xml:space="preserve"> </w:t>
      </w:r>
      <w:r w:rsidR="005F17E8">
        <w:rPr>
          <w:sz w:val="22"/>
          <w:szCs w:val="22"/>
          <w:lang w:val="fr-FR"/>
        </w:rPr>
        <w:t xml:space="preserve">validé par les États </w:t>
      </w:r>
      <w:r w:rsidR="005F17E8" w:rsidRPr="00816029">
        <w:rPr>
          <w:color w:val="000000" w:themeColor="text1"/>
          <w:sz w:val="22"/>
          <w:szCs w:val="22"/>
          <w:lang w:val="fr-FR"/>
        </w:rPr>
        <w:t>membres</w:t>
      </w:r>
      <w:r w:rsidR="005F17E8">
        <w:rPr>
          <w:sz w:val="22"/>
          <w:szCs w:val="22"/>
          <w:lang w:val="fr-FR"/>
        </w:rPr>
        <w:t xml:space="preserve"> sera mis en place.</w:t>
      </w:r>
    </w:p>
    <w:p w14:paraId="3094C07D" w14:textId="141969DF" w:rsidR="001E1FB1" w:rsidRPr="005D3B62" w:rsidRDefault="001E1FB1" w:rsidP="005F17E8">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5D3B62">
        <w:rPr>
          <w:rFonts w:ascii="Times New Roman" w:hAnsi="Times New Roman"/>
          <w:b/>
          <w:bCs/>
          <w:i/>
          <w:iCs/>
        </w:rPr>
        <w:t xml:space="preserve">Optimiser les </w:t>
      </w:r>
      <w:r w:rsidR="00687B27" w:rsidRPr="005D3B62">
        <w:rPr>
          <w:rFonts w:ascii="Times New Roman" w:hAnsi="Times New Roman"/>
          <w:b/>
          <w:bCs/>
          <w:i/>
          <w:iCs/>
        </w:rPr>
        <w:t>systèmes</w:t>
      </w:r>
      <w:r w:rsidRPr="005D3B62">
        <w:rPr>
          <w:rFonts w:ascii="Times New Roman" w:hAnsi="Times New Roman"/>
          <w:b/>
          <w:bCs/>
          <w:i/>
          <w:iCs/>
        </w:rPr>
        <w:t xml:space="preserve"> de surveillance </w:t>
      </w:r>
      <w:r w:rsidR="009E6DA0" w:rsidRPr="005D3B62">
        <w:rPr>
          <w:rFonts w:ascii="Times New Roman" w:hAnsi="Times New Roman"/>
          <w:b/>
          <w:bCs/>
          <w:i/>
          <w:iCs/>
        </w:rPr>
        <w:t xml:space="preserve">pour renforcer le dispositif </w:t>
      </w:r>
      <w:r w:rsidR="00E55AAF" w:rsidRPr="005D3B62">
        <w:rPr>
          <w:rFonts w:ascii="Times New Roman" w:hAnsi="Times New Roman"/>
          <w:b/>
          <w:bCs/>
          <w:i/>
          <w:iCs/>
        </w:rPr>
        <w:t>régional</w:t>
      </w:r>
      <w:r w:rsidR="006A5E90" w:rsidRPr="005D3B62">
        <w:rPr>
          <w:rFonts w:ascii="Times New Roman" w:hAnsi="Times New Roman"/>
          <w:b/>
          <w:bCs/>
          <w:i/>
          <w:iCs/>
        </w:rPr>
        <w:t xml:space="preserve"> </w:t>
      </w:r>
    </w:p>
    <w:p w14:paraId="5DEBB058" w14:textId="3C9983C3" w:rsidR="006A5E90" w:rsidRPr="002E46D6" w:rsidRDefault="00687B27" w:rsidP="005F17E8">
      <w:pPr>
        <w:spacing w:after="120"/>
        <w:ind w:right="-142"/>
        <w:jc w:val="both"/>
        <w:outlineLvl w:val="0"/>
        <w:rPr>
          <w:sz w:val="22"/>
          <w:szCs w:val="22"/>
          <w:lang w:val="fr-FR"/>
        </w:rPr>
      </w:pPr>
      <w:r>
        <w:rPr>
          <w:sz w:val="22"/>
          <w:szCs w:val="22"/>
          <w:lang w:val="fr-FR"/>
        </w:rPr>
        <w:t>Dans un premier temps</w:t>
      </w:r>
      <w:r w:rsidR="002E46D6">
        <w:rPr>
          <w:sz w:val="22"/>
          <w:szCs w:val="22"/>
          <w:lang w:val="fr-FR"/>
        </w:rPr>
        <w:t xml:space="preserve">, il faut que chaque pays dispose de système de surveillance a minima fonctionnel. </w:t>
      </w:r>
      <w:r>
        <w:rPr>
          <w:sz w:val="22"/>
          <w:szCs w:val="22"/>
          <w:lang w:val="fr-FR"/>
        </w:rPr>
        <w:t>Ensuite</w:t>
      </w:r>
      <w:r w:rsidR="002E46D6">
        <w:rPr>
          <w:sz w:val="22"/>
          <w:szCs w:val="22"/>
          <w:lang w:val="fr-FR"/>
        </w:rPr>
        <w:t>, la stratégie consiste à améliorer la qualité de ces dispositifs en termes de sensibilité, de promptitude</w:t>
      </w:r>
      <w:r w:rsidR="006A7034">
        <w:rPr>
          <w:sz w:val="22"/>
          <w:szCs w:val="22"/>
          <w:lang w:val="fr-FR"/>
        </w:rPr>
        <w:t xml:space="preserve">, </w:t>
      </w:r>
      <w:r w:rsidR="002E46D6">
        <w:rPr>
          <w:sz w:val="22"/>
          <w:szCs w:val="22"/>
          <w:lang w:val="fr-FR"/>
        </w:rPr>
        <w:t>de qualité des données et des informations produites</w:t>
      </w:r>
      <w:r w:rsidR="006A7034">
        <w:rPr>
          <w:sz w:val="22"/>
          <w:szCs w:val="22"/>
          <w:lang w:val="fr-FR"/>
        </w:rPr>
        <w:t xml:space="preserve"> ainsi que leur durabilité</w:t>
      </w:r>
      <w:r w:rsidR="002E46D6">
        <w:rPr>
          <w:sz w:val="22"/>
          <w:szCs w:val="22"/>
          <w:lang w:val="fr-FR"/>
        </w:rPr>
        <w:t xml:space="preserve">. </w:t>
      </w:r>
      <w:r w:rsidR="006A7034">
        <w:rPr>
          <w:sz w:val="22"/>
          <w:szCs w:val="22"/>
          <w:lang w:val="fr-FR"/>
        </w:rPr>
        <w:t>D</w:t>
      </w:r>
      <w:r w:rsidR="002E46D6">
        <w:rPr>
          <w:sz w:val="22"/>
          <w:szCs w:val="22"/>
          <w:lang w:val="fr-FR"/>
        </w:rPr>
        <w:t>ifférents</w:t>
      </w:r>
      <w:r w:rsidR="006A7034">
        <w:rPr>
          <w:sz w:val="22"/>
          <w:szCs w:val="22"/>
          <w:lang w:val="fr-FR"/>
        </w:rPr>
        <w:t xml:space="preserve"> types de surveillance</w:t>
      </w:r>
      <w:r w:rsidR="002E46D6">
        <w:rPr>
          <w:sz w:val="22"/>
          <w:szCs w:val="22"/>
          <w:lang w:val="fr-FR"/>
        </w:rPr>
        <w:t xml:space="preserve"> sont considérés, selon le contexte : surveillance communautaire, surveillance électronique, surveillance non spécifique, surveillance syndromique, surveillance en abattoir, surveillance de la faune sauvage…</w:t>
      </w:r>
    </w:p>
    <w:p w14:paraId="13B473F8" w14:textId="5E3195F0" w:rsidR="00442234" w:rsidRPr="005D3B62" w:rsidRDefault="006A5E90" w:rsidP="001E1FB1">
      <w:pPr>
        <w:pStyle w:val="Paragraphedeliste"/>
        <w:numPr>
          <w:ilvl w:val="0"/>
          <w:numId w:val="40"/>
        </w:numPr>
        <w:spacing w:after="120"/>
        <w:ind w:left="284" w:right="-142" w:hanging="218"/>
        <w:jc w:val="both"/>
        <w:outlineLvl w:val="0"/>
        <w:rPr>
          <w:rFonts w:ascii="Times New Roman" w:hAnsi="Times New Roman"/>
          <w:b/>
          <w:bCs/>
          <w:i/>
          <w:iCs/>
        </w:rPr>
      </w:pPr>
      <w:r w:rsidRPr="005D3B62">
        <w:rPr>
          <w:rFonts w:ascii="Times New Roman" w:hAnsi="Times New Roman"/>
          <w:b/>
          <w:bCs/>
          <w:i/>
          <w:iCs/>
        </w:rPr>
        <w:t>Re</w:t>
      </w:r>
      <w:r w:rsidR="005D3B62">
        <w:rPr>
          <w:rFonts w:ascii="Times New Roman" w:hAnsi="Times New Roman"/>
          <w:b/>
          <w:bCs/>
          <w:i/>
          <w:iCs/>
        </w:rPr>
        <w:t>hausser</w:t>
      </w:r>
      <w:r w:rsidRPr="005D3B62">
        <w:rPr>
          <w:rFonts w:ascii="Times New Roman" w:hAnsi="Times New Roman"/>
          <w:b/>
          <w:bCs/>
          <w:i/>
          <w:iCs/>
        </w:rPr>
        <w:t xml:space="preserve"> les capacités de riposte aux épidémie</w:t>
      </w:r>
      <w:r w:rsidR="00687B27" w:rsidRPr="005D3B62">
        <w:rPr>
          <w:rFonts w:ascii="Times New Roman" w:hAnsi="Times New Roman"/>
          <w:b/>
          <w:bCs/>
          <w:i/>
          <w:iCs/>
        </w:rPr>
        <w:t>s</w:t>
      </w:r>
    </w:p>
    <w:p w14:paraId="2AF1F004" w14:textId="468AC751" w:rsidR="001B0E38" w:rsidRDefault="00687B27" w:rsidP="002449ED">
      <w:pPr>
        <w:spacing w:after="120"/>
        <w:ind w:right="-142"/>
        <w:jc w:val="both"/>
        <w:outlineLvl w:val="0"/>
        <w:rPr>
          <w:sz w:val="22"/>
          <w:szCs w:val="22"/>
          <w:lang w:val="fr-FR"/>
        </w:rPr>
      </w:pPr>
      <w:r>
        <w:rPr>
          <w:sz w:val="22"/>
          <w:szCs w:val="22"/>
          <w:lang w:val="fr-FR"/>
        </w:rPr>
        <w:t>Anticiper en temps de paix est le maître mot : identifier les risques, pré-positionner les ressources autant que possible et/ou identifier les filières d’approvisionnement, préparer les équipes, identifier les gaps dans le dispositif, effectuer des exercices de simulation</w:t>
      </w:r>
      <w:r w:rsidR="00610158">
        <w:rPr>
          <w:sz w:val="22"/>
          <w:szCs w:val="22"/>
          <w:lang w:val="fr-FR"/>
        </w:rPr>
        <w:t xml:space="preserve"> et disposer de plans de contingence</w:t>
      </w:r>
      <w:r>
        <w:rPr>
          <w:sz w:val="22"/>
          <w:szCs w:val="22"/>
          <w:lang w:val="fr-FR"/>
        </w:rPr>
        <w:t>.</w:t>
      </w:r>
    </w:p>
    <w:p w14:paraId="6400ED08" w14:textId="19C43765" w:rsidR="00687B27" w:rsidRPr="00687B27" w:rsidRDefault="00687B27" w:rsidP="002449ED">
      <w:pPr>
        <w:spacing w:after="120"/>
        <w:ind w:right="-142"/>
        <w:jc w:val="both"/>
        <w:outlineLvl w:val="0"/>
        <w:rPr>
          <w:sz w:val="22"/>
          <w:szCs w:val="22"/>
          <w:lang w:val="fr-FR"/>
        </w:rPr>
      </w:pPr>
      <w:r>
        <w:rPr>
          <w:sz w:val="22"/>
          <w:szCs w:val="22"/>
          <w:lang w:val="fr-FR"/>
        </w:rPr>
        <w:t>En temps de crise, le réseau SEGA dispose d’un vivier d’experts mobilisables à la demande de</w:t>
      </w:r>
      <w:r w:rsidR="00063570">
        <w:rPr>
          <w:sz w:val="22"/>
          <w:szCs w:val="22"/>
          <w:lang w:val="fr-FR"/>
        </w:rPr>
        <w:t xml:space="preserve">s </w:t>
      </w:r>
      <w:r w:rsidR="00610158">
        <w:rPr>
          <w:sz w:val="22"/>
          <w:szCs w:val="22"/>
          <w:lang w:val="fr-FR"/>
        </w:rPr>
        <w:t>États</w:t>
      </w:r>
      <w:r w:rsidR="00063570">
        <w:rPr>
          <w:sz w:val="22"/>
          <w:szCs w:val="22"/>
          <w:lang w:val="fr-FR"/>
        </w:rPr>
        <w:t xml:space="preserve"> membres. A chaque crise sera rédigé un plan d’intervention adapté au contexte.</w:t>
      </w:r>
    </w:p>
    <w:p w14:paraId="7B6E0A93" w14:textId="4813AAA1" w:rsidR="00063570" w:rsidRPr="00610158" w:rsidRDefault="00927C32" w:rsidP="00063570">
      <w:pPr>
        <w:pStyle w:val="Paragraphedeliste"/>
        <w:numPr>
          <w:ilvl w:val="0"/>
          <w:numId w:val="42"/>
        </w:numPr>
        <w:spacing w:before="120" w:after="120"/>
        <w:ind w:left="284" w:right="-142" w:hanging="284"/>
        <w:outlineLvl w:val="0"/>
        <w:rPr>
          <w:rFonts w:ascii="Times New Roman" w:eastAsiaTheme="minorEastAsia" w:hAnsi="Times New Roman"/>
          <w:b/>
          <w:color w:val="E36C0A" w:themeColor="accent6" w:themeShade="BF"/>
          <w:u w:val="single"/>
        </w:rPr>
      </w:pPr>
      <w:r w:rsidRPr="00610158">
        <w:rPr>
          <w:rFonts w:ascii="Times New Roman" w:eastAsiaTheme="minorEastAsia" w:hAnsi="Times New Roman"/>
          <w:b/>
          <w:color w:val="E36C0A" w:themeColor="accent6" w:themeShade="BF"/>
          <w:u w:val="single"/>
        </w:rPr>
        <w:t>Réseau de laboratoires</w:t>
      </w:r>
      <w:r w:rsidR="00063570" w:rsidRPr="00610158">
        <w:rPr>
          <w:rFonts w:ascii="Times New Roman" w:eastAsiaTheme="minorEastAsia" w:hAnsi="Times New Roman"/>
          <w:b/>
          <w:color w:val="E36C0A" w:themeColor="accent6" w:themeShade="BF"/>
          <w:u w:val="single"/>
        </w:rPr>
        <w:t xml:space="preserve"> </w:t>
      </w:r>
    </w:p>
    <w:p w14:paraId="04A6D920" w14:textId="77777777" w:rsidR="00C70588" w:rsidRDefault="00927C32" w:rsidP="00927C32">
      <w:pPr>
        <w:spacing w:after="120"/>
        <w:ind w:right="-142"/>
        <w:jc w:val="both"/>
        <w:outlineLvl w:val="0"/>
        <w:rPr>
          <w:rFonts w:eastAsiaTheme="minorEastAsia"/>
          <w:bCs/>
          <w:color w:val="000000" w:themeColor="text1"/>
          <w:sz w:val="22"/>
          <w:szCs w:val="22"/>
          <w:lang w:val="fr-FR"/>
        </w:rPr>
      </w:pPr>
      <w:r w:rsidRPr="00927C32">
        <w:rPr>
          <w:rFonts w:eastAsiaTheme="minorEastAsia"/>
          <w:bCs/>
          <w:color w:val="000000" w:themeColor="text1"/>
          <w:sz w:val="22"/>
          <w:szCs w:val="22"/>
          <w:lang w:val="fr-FR"/>
        </w:rPr>
        <w:t>Au</w:t>
      </w:r>
      <w:r>
        <w:rPr>
          <w:rFonts w:eastAsiaTheme="minorEastAsia"/>
          <w:bCs/>
          <w:color w:val="000000" w:themeColor="text1"/>
          <w:sz w:val="22"/>
          <w:szCs w:val="22"/>
          <w:lang w:val="fr-FR"/>
        </w:rPr>
        <w:t xml:space="preserve">cun laboratoire ne peut tout faire, d’où le principe de la mise en réseau pour mutualiser les ressources et </w:t>
      </w:r>
      <w:r w:rsidR="00C70588">
        <w:rPr>
          <w:rFonts w:eastAsiaTheme="minorEastAsia"/>
          <w:bCs/>
          <w:color w:val="000000" w:themeColor="text1"/>
          <w:sz w:val="22"/>
          <w:szCs w:val="22"/>
          <w:lang w:val="fr-FR"/>
        </w:rPr>
        <w:t>valoriser les complémentarités</w:t>
      </w:r>
      <w:r>
        <w:rPr>
          <w:rFonts w:eastAsiaTheme="minorEastAsia"/>
          <w:bCs/>
          <w:color w:val="000000" w:themeColor="text1"/>
          <w:sz w:val="22"/>
          <w:szCs w:val="22"/>
          <w:lang w:val="fr-FR"/>
        </w:rPr>
        <w:t>.</w:t>
      </w:r>
    </w:p>
    <w:p w14:paraId="4F906F8C" w14:textId="0FC04B89" w:rsidR="00C70588" w:rsidRDefault="00C70588" w:rsidP="00927C32">
      <w:pPr>
        <w:spacing w:after="120"/>
        <w:ind w:right="-142"/>
        <w:jc w:val="both"/>
        <w:outlineLvl w:val="0"/>
        <w:rPr>
          <w:rFonts w:eastAsiaTheme="minorEastAsia"/>
          <w:bCs/>
          <w:color w:val="000000" w:themeColor="text1"/>
          <w:sz w:val="22"/>
          <w:szCs w:val="22"/>
          <w:lang w:val="fr-FR"/>
        </w:rPr>
      </w:pPr>
      <w:r>
        <w:rPr>
          <w:rFonts w:eastAsiaTheme="minorEastAsia"/>
          <w:bCs/>
          <w:color w:val="000000" w:themeColor="text1"/>
          <w:sz w:val="22"/>
          <w:szCs w:val="22"/>
          <w:lang w:val="fr-FR"/>
        </w:rPr>
        <w:t>L</w:t>
      </w:r>
      <w:r w:rsidR="00610158">
        <w:rPr>
          <w:rFonts w:eastAsiaTheme="minorEastAsia"/>
          <w:bCs/>
          <w:color w:val="000000" w:themeColor="text1"/>
          <w:sz w:val="22"/>
          <w:szCs w:val="22"/>
          <w:lang w:val="fr-FR"/>
        </w:rPr>
        <w:t>es</w:t>
      </w:r>
      <w:r>
        <w:rPr>
          <w:rFonts w:eastAsiaTheme="minorEastAsia"/>
          <w:bCs/>
          <w:color w:val="000000" w:themeColor="text1"/>
          <w:sz w:val="22"/>
          <w:szCs w:val="22"/>
          <w:lang w:val="fr-FR"/>
        </w:rPr>
        <w:t xml:space="preserve"> </w:t>
      </w:r>
      <w:r w:rsidR="00610158">
        <w:rPr>
          <w:rFonts w:eastAsiaTheme="minorEastAsia"/>
          <w:bCs/>
          <w:color w:val="000000" w:themeColor="text1"/>
          <w:sz w:val="22"/>
          <w:szCs w:val="22"/>
          <w:lang w:val="fr-FR"/>
        </w:rPr>
        <w:t>priorités</w:t>
      </w:r>
      <w:r>
        <w:rPr>
          <w:rFonts w:eastAsiaTheme="minorEastAsia"/>
          <w:bCs/>
          <w:color w:val="000000" w:themeColor="text1"/>
          <w:sz w:val="22"/>
          <w:szCs w:val="22"/>
          <w:lang w:val="fr-FR"/>
        </w:rPr>
        <w:t xml:space="preserve"> de ce pôle thématique </w:t>
      </w:r>
      <w:proofErr w:type="gramStart"/>
      <w:r>
        <w:rPr>
          <w:rFonts w:eastAsiaTheme="minorEastAsia"/>
          <w:bCs/>
          <w:color w:val="000000" w:themeColor="text1"/>
          <w:sz w:val="22"/>
          <w:szCs w:val="22"/>
          <w:lang w:val="fr-FR"/>
        </w:rPr>
        <w:t>consiste</w:t>
      </w:r>
      <w:proofErr w:type="gramEnd"/>
      <w:r>
        <w:rPr>
          <w:rFonts w:eastAsiaTheme="minorEastAsia"/>
          <w:bCs/>
          <w:color w:val="000000" w:themeColor="text1"/>
          <w:sz w:val="22"/>
          <w:szCs w:val="22"/>
          <w:lang w:val="fr-FR"/>
        </w:rPr>
        <w:t xml:space="preserve"> à :</w:t>
      </w:r>
    </w:p>
    <w:p w14:paraId="6572207C" w14:textId="09391E4A" w:rsidR="00063570" w:rsidRPr="00610158" w:rsidRDefault="00C70588" w:rsidP="00610158">
      <w:pPr>
        <w:pStyle w:val="Paragraphedeliste"/>
        <w:numPr>
          <w:ilvl w:val="0"/>
          <w:numId w:val="40"/>
        </w:numPr>
        <w:ind w:left="283" w:right="-142" w:hanging="215"/>
        <w:contextualSpacing w:val="0"/>
        <w:jc w:val="both"/>
        <w:outlineLvl w:val="0"/>
        <w:rPr>
          <w:rFonts w:ascii="Times New Roman" w:hAnsi="Times New Roman"/>
          <w:b/>
          <w:bCs/>
          <w:i/>
          <w:iCs/>
        </w:rPr>
      </w:pPr>
      <w:r w:rsidRPr="00610158">
        <w:rPr>
          <w:rFonts w:ascii="Times New Roman" w:hAnsi="Times New Roman"/>
          <w:b/>
          <w:bCs/>
          <w:i/>
          <w:iCs/>
        </w:rPr>
        <w:t>Promouvoir la synergie entre les différents laboratoires, au niveau national et régional</w:t>
      </w:r>
    </w:p>
    <w:p w14:paraId="26DF4A2D" w14:textId="033DDD01" w:rsidR="003A61F5" w:rsidRPr="00610158" w:rsidRDefault="00C70588" w:rsidP="00610158">
      <w:pPr>
        <w:pStyle w:val="Paragraphedeliste"/>
        <w:numPr>
          <w:ilvl w:val="0"/>
          <w:numId w:val="40"/>
        </w:numPr>
        <w:ind w:left="283" w:right="-142" w:hanging="215"/>
        <w:contextualSpacing w:val="0"/>
        <w:jc w:val="both"/>
        <w:outlineLvl w:val="0"/>
        <w:rPr>
          <w:rFonts w:ascii="Times New Roman" w:hAnsi="Times New Roman"/>
          <w:b/>
          <w:bCs/>
          <w:i/>
          <w:iCs/>
        </w:rPr>
      </w:pPr>
      <w:r w:rsidRPr="00610158">
        <w:rPr>
          <w:rFonts w:ascii="Times New Roman" w:hAnsi="Times New Roman"/>
          <w:b/>
          <w:bCs/>
          <w:i/>
          <w:iCs/>
        </w:rPr>
        <w:t xml:space="preserve">Renforcer les plateformes de diagnostic dans les </w:t>
      </w:r>
      <w:r w:rsidR="00BC4E0D" w:rsidRPr="00610158">
        <w:rPr>
          <w:rFonts w:ascii="Times New Roman" w:hAnsi="Times New Roman"/>
          <w:b/>
          <w:bCs/>
          <w:i/>
          <w:iCs/>
        </w:rPr>
        <w:t>États</w:t>
      </w:r>
      <w:r w:rsidRPr="00610158">
        <w:rPr>
          <w:rFonts w:ascii="Times New Roman" w:hAnsi="Times New Roman"/>
          <w:b/>
          <w:bCs/>
          <w:i/>
          <w:iCs/>
        </w:rPr>
        <w:t xml:space="preserve"> membres</w:t>
      </w:r>
      <w:r w:rsidR="003A61F5" w:rsidRPr="00610158">
        <w:rPr>
          <w:rFonts w:ascii="Times New Roman" w:hAnsi="Times New Roman"/>
          <w:b/>
          <w:bCs/>
          <w:i/>
          <w:iCs/>
        </w:rPr>
        <w:t xml:space="preserve"> </w:t>
      </w:r>
    </w:p>
    <w:p w14:paraId="47857667" w14:textId="5694101C" w:rsidR="00C70588" w:rsidRPr="00610158" w:rsidRDefault="00C70588" w:rsidP="00610158">
      <w:pPr>
        <w:pStyle w:val="Paragraphedeliste"/>
        <w:numPr>
          <w:ilvl w:val="0"/>
          <w:numId w:val="40"/>
        </w:numPr>
        <w:ind w:left="283" w:right="-142" w:hanging="215"/>
        <w:contextualSpacing w:val="0"/>
        <w:jc w:val="both"/>
        <w:outlineLvl w:val="0"/>
        <w:rPr>
          <w:rFonts w:ascii="Times New Roman" w:hAnsi="Times New Roman"/>
          <w:b/>
          <w:bCs/>
          <w:i/>
          <w:iCs/>
        </w:rPr>
      </w:pPr>
      <w:r w:rsidRPr="00610158">
        <w:rPr>
          <w:rFonts w:ascii="Times New Roman" w:hAnsi="Times New Roman"/>
          <w:b/>
          <w:bCs/>
          <w:i/>
          <w:iCs/>
        </w:rPr>
        <w:t xml:space="preserve">S’assurer que </w:t>
      </w:r>
      <w:r w:rsidR="00BC4E0D" w:rsidRPr="00610158">
        <w:rPr>
          <w:rFonts w:ascii="Times New Roman" w:hAnsi="Times New Roman"/>
          <w:b/>
          <w:bCs/>
          <w:i/>
          <w:iCs/>
        </w:rPr>
        <w:t xml:space="preserve">les laboratoires puissent </w:t>
      </w:r>
      <w:r w:rsidR="00726113">
        <w:rPr>
          <w:rFonts w:ascii="Times New Roman" w:hAnsi="Times New Roman"/>
          <w:b/>
          <w:bCs/>
          <w:i/>
          <w:iCs/>
        </w:rPr>
        <w:t>fournir</w:t>
      </w:r>
      <w:r w:rsidR="00BC4E0D" w:rsidRPr="00610158">
        <w:rPr>
          <w:rFonts w:ascii="Times New Roman" w:hAnsi="Times New Roman"/>
          <w:b/>
          <w:bCs/>
          <w:i/>
          <w:iCs/>
        </w:rPr>
        <w:t xml:space="preserve"> un service continu et durable, notamment dans le cadre de</w:t>
      </w:r>
      <w:r w:rsidRPr="00610158">
        <w:rPr>
          <w:rFonts w:ascii="Times New Roman" w:hAnsi="Times New Roman"/>
          <w:b/>
          <w:bCs/>
          <w:i/>
          <w:iCs/>
        </w:rPr>
        <w:t xml:space="preserve"> la surveillance et la riposte</w:t>
      </w:r>
    </w:p>
    <w:p w14:paraId="7167DACC" w14:textId="6D1B91D3" w:rsidR="00BD3F9B" w:rsidRPr="00726113" w:rsidRDefault="00BC4E0D" w:rsidP="00726113">
      <w:pPr>
        <w:pStyle w:val="Paragraphedeliste"/>
        <w:numPr>
          <w:ilvl w:val="0"/>
          <w:numId w:val="40"/>
        </w:numPr>
        <w:ind w:left="283" w:right="-142" w:hanging="215"/>
        <w:contextualSpacing w:val="0"/>
        <w:jc w:val="both"/>
        <w:outlineLvl w:val="0"/>
        <w:rPr>
          <w:rFonts w:ascii="Times New Roman" w:hAnsi="Times New Roman"/>
          <w:b/>
          <w:bCs/>
          <w:i/>
          <w:iCs/>
        </w:rPr>
      </w:pPr>
      <w:r w:rsidRPr="00610158">
        <w:rPr>
          <w:rFonts w:ascii="Times New Roman" w:hAnsi="Times New Roman"/>
          <w:b/>
          <w:bCs/>
          <w:i/>
          <w:iCs/>
        </w:rPr>
        <w:t>Mettre en place/Renforcer les standards internationaux en termes de qualité, de sécurité et de gestion de déchets</w:t>
      </w:r>
      <w:r w:rsidR="00726113">
        <w:rPr>
          <w:rFonts w:ascii="Times New Roman" w:hAnsi="Times New Roman"/>
          <w:b/>
          <w:bCs/>
          <w:i/>
          <w:iCs/>
        </w:rPr>
        <w:t xml:space="preserve"> </w:t>
      </w:r>
      <w:r w:rsidR="00726113" w:rsidRPr="00610158">
        <w:rPr>
          <w:rFonts w:ascii="Times New Roman" w:hAnsi="Times New Roman"/>
          <w:b/>
          <w:bCs/>
          <w:i/>
          <w:iCs/>
        </w:rPr>
        <w:t>au niveau des laboratoires</w:t>
      </w:r>
    </w:p>
    <w:p w14:paraId="5EBE332F" w14:textId="292AFE3B" w:rsidR="00FC46E5" w:rsidRPr="00726113" w:rsidRDefault="000772C6" w:rsidP="00726113">
      <w:pPr>
        <w:pStyle w:val="Paragraphedeliste"/>
        <w:numPr>
          <w:ilvl w:val="0"/>
          <w:numId w:val="42"/>
        </w:numPr>
        <w:spacing w:before="120" w:after="120"/>
        <w:ind w:left="284" w:right="-142" w:hanging="284"/>
        <w:outlineLvl w:val="0"/>
        <w:rPr>
          <w:rFonts w:ascii="Times New Roman" w:eastAsiaTheme="minorEastAsia" w:hAnsi="Times New Roman"/>
          <w:b/>
          <w:color w:val="E36C0A" w:themeColor="accent6" w:themeShade="BF"/>
          <w:u w:val="single"/>
        </w:rPr>
      </w:pPr>
      <w:r w:rsidRPr="00726113">
        <w:rPr>
          <w:rFonts w:ascii="Times New Roman" w:eastAsiaTheme="minorEastAsia" w:hAnsi="Times New Roman"/>
          <w:b/>
          <w:color w:val="E36C0A" w:themeColor="accent6" w:themeShade="BF"/>
          <w:u w:val="single"/>
        </w:rPr>
        <w:t xml:space="preserve">Environnement - </w:t>
      </w:r>
      <w:r w:rsidR="006D167F" w:rsidRPr="00726113">
        <w:rPr>
          <w:rFonts w:ascii="Times New Roman" w:eastAsiaTheme="minorEastAsia" w:hAnsi="Times New Roman"/>
          <w:b/>
          <w:color w:val="E36C0A" w:themeColor="accent6" w:themeShade="BF"/>
          <w:u w:val="single"/>
        </w:rPr>
        <w:t>Changement climatique – et santé</w:t>
      </w:r>
    </w:p>
    <w:p w14:paraId="0917B4E7" w14:textId="141412CD" w:rsidR="00923171" w:rsidRDefault="00923171" w:rsidP="00BD3F9B">
      <w:pPr>
        <w:spacing w:after="60"/>
        <w:ind w:right="-142"/>
        <w:jc w:val="both"/>
        <w:outlineLvl w:val="0"/>
        <w:rPr>
          <w:sz w:val="22"/>
          <w:szCs w:val="22"/>
          <w:lang w:val="fr-FR"/>
        </w:rPr>
      </w:pPr>
      <w:r>
        <w:rPr>
          <w:sz w:val="22"/>
          <w:szCs w:val="22"/>
          <w:lang w:val="fr-FR"/>
        </w:rPr>
        <w:t>Les</w:t>
      </w:r>
      <w:r w:rsidRPr="002449ED">
        <w:rPr>
          <w:sz w:val="22"/>
          <w:szCs w:val="22"/>
        </w:rPr>
        <w:t xml:space="preserve"> îles de l’océan Indien sont connues comme étant très vulnérables aux effets du changement climatique.</w:t>
      </w:r>
    </w:p>
    <w:p w14:paraId="44747CE9" w14:textId="015E3182" w:rsidR="000772C6" w:rsidRPr="000772C6" w:rsidRDefault="000772C6" w:rsidP="00BD3F9B">
      <w:pPr>
        <w:spacing w:after="60"/>
        <w:ind w:right="-142"/>
        <w:jc w:val="both"/>
        <w:outlineLvl w:val="0"/>
        <w:rPr>
          <w:sz w:val="22"/>
          <w:szCs w:val="22"/>
          <w:lang w:val="fr-FR"/>
        </w:rPr>
      </w:pPr>
      <w:r>
        <w:rPr>
          <w:sz w:val="22"/>
          <w:szCs w:val="22"/>
          <w:lang w:val="fr-FR"/>
        </w:rPr>
        <w:t>Le risque vectoriel</w:t>
      </w:r>
      <w:r w:rsidR="00577AA6">
        <w:rPr>
          <w:sz w:val="22"/>
          <w:szCs w:val="22"/>
          <w:lang w:val="fr-FR"/>
        </w:rPr>
        <w:t xml:space="preserve"> est </w:t>
      </w:r>
      <w:r w:rsidR="003F0943">
        <w:rPr>
          <w:sz w:val="22"/>
          <w:szCs w:val="22"/>
          <w:lang w:val="fr-FR"/>
        </w:rPr>
        <w:t xml:space="preserve">aussi </w:t>
      </w:r>
      <w:r w:rsidR="00577AA6">
        <w:rPr>
          <w:sz w:val="22"/>
          <w:szCs w:val="22"/>
          <w:lang w:val="fr-FR"/>
        </w:rPr>
        <w:t>considéré dans ce pôle thématique car il</w:t>
      </w:r>
      <w:r>
        <w:rPr>
          <w:sz w:val="22"/>
          <w:szCs w:val="22"/>
          <w:lang w:val="fr-FR"/>
        </w:rPr>
        <w:t xml:space="preserve"> est fortement associé à l’environnement et au climat</w:t>
      </w:r>
      <w:r w:rsidR="00577AA6">
        <w:rPr>
          <w:sz w:val="22"/>
          <w:szCs w:val="22"/>
          <w:lang w:val="fr-FR"/>
        </w:rPr>
        <w:t xml:space="preserve">. </w:t>
      </w:r>
    </w:p>
    <w:p w14:paraId="4B6AC36F" w14:textId="77777777" w:rsidR="00577AA6" w:rsidRDefault="00577AA6" w:rsidP="00BD3F9B">
      <w:pPr>
        <w:spacing w:after="60"/>
        <w:ind w:right="-142"/>
        <w:jc w:val="both"/>
        <w:outlineLvl w:val="0"/>
        <w:rPr>
          <w:sz w:val="22"/>
          <w:szCs w:val="22"/>
          <w:lang w:val="fr-FR"/>
        </w:rPr>
      </w:pPr>
      <w:r>
        <w:rPr>
          <w:sz w:val="22"/>
          <w:szCs w:val="22"/>
          <w:lang w:val="fr-FR"/>
        </w:rPr>
        <w:t>La stratégie pour ce pôle thématique consiste à :</w:t>
      </w:r>
    </w:p>
    <w:p w14:paraId="41BE8996" w14:textId="1FC65AD8" w:rsidR="00FC46E5" w:rsidRPr="00726113" w:rsidRDefault="00FE66E9" w:rsidP="001501DF">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726113">
        <w:rPr>
          <w:rFonts w:ascii="Times New Roman" w:hAnsi="Times New Roman"/>
          <w:b/>
          <w:bCs/>
          <w:i/>
          <w:iCs/>
        </w:rPr>
        <w:t>Établir</w:t>
      </w:r>
      <w:r w:rsidR="00577AA6" w:rsidRPr="00726113">
        <w:rPr>
          <w:rFonts w:ascii="Times New Roman" w:hAnsi="Times New Roman"/>
          <w:b/>
          <w:bCs/>
          <w:i/>
          <w:iCs/>
        </w:rPr>
        <w:t xml:space="preserve"> un dispositif intégré de gestion du risque vectoriel au niveau </w:t>
      </w:r>
      <w:r w:rsidR="00726113">
        <w:rPr>
          <w:rFonts w:ascii="Times New Roman" w:hAnsi="Times New Roman"/>
          <w:b/>
          <w:bCs/>
          <w:i/>
          <w:iCs/>
        </w:rPr>
        <w:t>national</w:t>
      </w:r>
      <w:r w:rsidR="00577AA6" w:rsidRPr="00726113">
        <w:rPr>
          <w:rFonts w:ascii="Times New Roman" w:hAnsi="Times New Roman"/>
          <w:b/>
          <w:bCs/>
          <w:i/>
          <w:iCs/>
        </w:rPr>
        <w:t xml:space="preserve"> et au niveau national</w:t>
      </w:r>
    </w:p>
    <w:p w14:paraId="0CB652C2" w14:textId="1E00D435" w:rsidR="00577AA6" w:rsidRPr="00726113" w:rsidRDefault="00577AA6" w:rsidP="001501DF">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726113">
        <w:rPr>
          <w:rFonts w:ascii="Times New Roman" w:hAnsi="Times New Roman"/>
          <w:b/>
          <w:bCs/>
          <w:i/>
          <w:iCs/>
        </w:rPr>
        <w:t xml:space="preserve">Suivre l’évolution de la </w:t>
      </w:r>
      <w:r w:rsidR="00FE6508" w:rsidRPr="00726113">
        <w:rPr>
          <w:rFonts w:ascii="Times New Roman" w:hAnsi="Times New Roman"/>
          <w:b/>
          <w:bCs/>
          <w:i/>
          <w:iCs/>
        </w:rPr>
        <w:t>résistance</w:t>
      </w:r>
      <w:r w:rsidRPr="00726113">
        <w:rPr>
          <w:rFonts w:ascii="Times New Roman" w:hAnsi="Times New Roman"/>
          <w:b/>
          <w:bCs/>
          <w:i/>
          <w:iCs/>
        </w:rPr>
        <w:t xml:space="preserve"> des v</w:t>
      </w:r>
      <w:r w:rsidR="00FE6508" w:rsidRPr="00726113">
        <w:rPr>
          <w:rFonts w:ascii="Times New Roman" w:hAnsi="Times New Roman"/>
          <w:b/>
          <w:bCs/>
          <w:i/>
          <w:iCs/>
        </w:rPr>
        <w:t xml:space="preserve">ecteurs aux </w:t>
      </w:r>
      <w:r w:rsidR="00726113">
        <w:rPr>
          <w:rFonts w:ascii="Times New Roman" w:hAnsi="Times New Roman"/>
          <w:b/>
          <w:bCs/>
          <w:i/>
          <w:iCs/>
        </w:rPr>
        <w:t>insecticides</w:t>
      </w:r>
    </w:p>
    <w:p w14:paraId="4D601FB3" w14:textId="051B63E6" w:rsidR="00FE6508" w:rsidRPr="00726113" w:rsidRDefault="00FE66E9" w:rsidP="001501DF">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726113">
        <w:rPr>
          <w:rFonts w:ascii="Times New Roman" w:hAnsi="Times New Roman"/>
          <w:b/>
          <w:bCs/>
          <w:i/>
          <w:iCs/>
        </w:rPr>
        <w:lastRenderedPageBreak/>
        <w:t>Établir un dispositif de surveillance et d’alerte précoce des syndromes et maladies climato-sensibles</w:t>
      </w:r>
    </w:p>
    <w:p w14:paraId="2937349D" w14:textId="3BEC3C86" w:rsidR="00923171" w:rsidRPr="00726113" w:rsidRDefault="00923171" w:rsidP="001501DF">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726113">
        <w:rPr>
          <w:rFonts w:ascii="Times New Roman" w:hAnsi="Times New Roman"/>
          <w:b/>
          <w:bCs/>
          <w:i/>
          <w:iCs/>
        </w:rPr>
        <w:t>Identifier et mettre en œuvre des interventions pour préparer/renforcer l’efficience et la résilience des systèmes de santé face au changement climatique.</w:t>
      </w:r>
    </w:p>
    <w:p w14:paraId="45713224" w14:textId="229D5D3B" w:rsidR="00923171" w:rsidRPr="001501DF" w:rsidRDefault="00923171" w:rsidP="00923171">
      <w:pPr>
        <w:pStyle w:val="Paragraphedeliste"/>
        <w:numPr>
          <w:ilvl w:val="0"/>
          <w:numId w:val="42"/>
        </w:numPr>
        <w:spacing w:before="120" w:after="120"/>
        <w:ind w:left="284" w:right="-142" w:hanging="284"/>
        <w:outlineLvl w:val="0"/>
        <w:rPr>
          <w:rFonts w:ascii="Times New Roman" w:eastAsiaTheme="minorEastAsia" w:hAnsi="Times New Roman"/>
          <w:b/>
          <w:color w:val="E36C0A" w:themeColor="accent6" w:themeShade="BF"/>
          <w:u w:val="single"/>
        </w:rPr>
      </w:pPr>
      <w:r w:rsidRPr="001501DF">
        <w:rPr>
          <w:rFonts w:ascii="Times New Roman" w:eastAsiaTheme="minorEastAsia" w:hAnsi="Times New Roman"/>
          <w:b/>
          <w:color w:val="E36C0A" w:themeColor="accent6" w:themeShade="BF"/>
          <w:u w:val="single"/>
        </w:rPr>
        <w:t>Surveillance aux frontières et des voyageurs</w:t>
      </w:r>
    </w:p>
    <w:p w14:paraId="0A0E6539" w14:textId="59D7100B" w:rsidR="00923171" w:rsidRDefault="00BC1A25" w:rsidP="002A098E">
      <w:pPr>
        <w:spacing w:before="120" w:after="120"/>
        <w:ind w:right="-142"/>
        <w:jc w:val="both"/>
        <w:outlineLvl w:val="0"/>
        <w:rPr>
          <w:rFonts w:eastAsiaTheme="minorEastAsia"/>
          <w:bCs/>
          <w:color w:val="000000" w:themeColor="text1"/>
          <w:sz w:val="22"/>
          <w:szCs w:val="22"/>
          <w:lang w:val="fr-FR"/>
        </w:rPr>
      </w:pPr>
      <w:r>
        <w:rPr>
          <w:rFonts w:eastAsiaTheme="minorEastAsia"/>
          <w:bCs/>
          <w:color w:val="000000" w:themeColor="text1"/>
          <w:sz w:val="22"/>
          <w:szCs w:val="22"/>
          <w:lang w:val="fr-FR"/>
        </w:rPr>
        <w:t xml:space="preserve">La pandémie de covid-19 </w:t>
      </w:r>
      <w:r w:rsidR="002A098E">
        <w:rPr>
          <w:rFonts w:eastAsiaTheme="minorEastAsia"/>
          <w:bCs/>
          <w:color w:val="000000" w:themeColor="text1"/>
          <w:sz w:val="22"/>
          <w:szCs w:val="22"/>
          <w:lang w:val="fr-FR"/>
        </w:rPr>
        <w:t xml:space="preserve">illustre l’importance des dispositifs de surveillance au niveau des points d’entrée. Le parallèle peut être fait en santé animale </w:t>
      </w:r>
      <w:r w:rsidR="001501DF">
        <w:rPr>
          <w:rFonts w:eastAsiaTheme="minorEastAsia"/>
          <w:bCs/>
          <w:color w:val="000000" w:themeColor="text1"/>
          <w:sz w:val="22"/>
          <w:szCs w:val="22"/>
          <w:lang w:val="fr-FR"/>
        </w:rPr>
        <w:t>avec les risques</w:t>
      </w:r>
      <w:r w:rsidR="002A098E">
        <w:rPr>
          <w:rFonts w:eastAsiaTheme="minorEastAsia"/>
          <w:bCs/>
          <w:color w:val="000000" w:themeColor="text1"/>
          <w:sz w:val="22"/>
          <w:szCs w:val="22"/>
          <w:lang w:val="fr-FR"/>
        </w:rPr>
        <w:t xml:space="preserve"> </w:t>
      </w:r>
      <w:r w:rsidR="001501DF">
        <w:rPr>
          <w:rFonts w:eastAsiaTheme="minorEastAsia"/>
          <w:bCs/>
          <w:color w:val="000000" w:themeColor="text1"/>
          <w:sz w:val="22"/>
          <w:szCs w:val="22"/>
          <w:lang w:val="fr-FR"/>
        </w:rPr>
        <w:t>d’</w:t>
      </w:r>
      <w:r w:rsidR="002A098E">
        <w:rPr>
          <w:rFonts w:eastAsiaTheme="minorEastAsia"/>
          <w:bCs/>
          <w:color w:val="000000" w:themeColor="text1"/>
          <w:sz w:val="22"/>
          <w:szCs w:val="22"/>
          <w:lang w:val="fr-FR"/>
        </w:rPr>
        <w:t xml:space="preserve">introduction </w:t>
      </w:r>
      <w:r w:rsidR="001501DF">
        <w:rPr>
          <w:rFonts w:eastAsiaTheme="minorEastAsia"/>
          <w:bCs/>
          <w:color w:val="000000" w:themeColor="text1"/>
          <w:sz w:val="22"/>
          <w:szCs w:val="22"/>
          <w:lang w:val="fr-FR"/>
        </w:rPr>
        <w:t xml:space="preserve">des maladies lors d’importation </w:t>
      </w:r>
      <w:r w:rsidR="002A098E">
        <w:rPr>
          <w:rFonts w:eastAsiaTheme="minorEastAsia"/>
          <w:bCs/>
          <w:color w:val="000000" w:themeColor="text1"/>
          <w:sz w:val="22"/>
          <w:szCs w:val="22"/>
          <w:lang w:val="fr-FR"/>
        </w:rPr>
        <w:t>d’animaux dans un pays.</w:t>
      </w:r>
    </w:p>
    <w:p w14:paraId="3691594B" w14:textId="17EC5060" w:rsidR="002A098E" w:rsidRDefault="001501DF" w:rsidP="00BD3F9B">
      <w:pPr>
        <w:spacing w:before="60" w:after="60"/>
        <w:ind w:right="-142"/>
        <w:jc w:val="both"/>
        <w:outlineLvl w:val="0"/>
        <w:rPr>
          <w:rFonts w:eastAsiaTheme="minorEastAsia"/>
          <w:bCs/>
          <w:color w:val="000000" w:themeColor="text1"/>
          <w:sz w:val="22"/>
          <w:szCs w:val="22"/>
          <w:lang w:val="fr-FR"/>
        </w:rPr>
      </w:pPr>
      <w:r>
        <w:rPr>
          <w:rFonts w:eastAsiaTheme="minorEastAsia"/>
          <w:bCs/>
          <w:color w:val="000000" w:themeColor="text1"/>
          <w:sz w:val="22"/>
          <w:szCs w:val="22"/>
          <w:lang w:val="fr-FR"/>
        </w:rPr>
        <w:t>Les priorités sont de</w:t>
      </w:r>
      <w:r w:rsidR="002A098E">
        <w:rPr>
          <w:rFonts w:eastAsiaTheme="minorEastAsia"/>
          <w:bCs/>
          <w:color w:val="000000" w:themeColor="text1"/>
          <w:sz w:val="22"/>
          <w:szCs w:val="22"/>
          <w:lang w:val="fr-FR"/>
        </w:rPr>
        <w:t> :</w:t>
      </w:r>
    </w:p>
    <w:p w14:paraId="16489906" w14:textId="06199FEF" w:rsidR="002A098E" w:rsidRPr="001501DF" w:rsidRDefault="002A098E" w:rsidP="001501DF">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1501DF">
        <w:rPr>
          <w:rFonts w:ascii="Times New Roman" w:hAnsi="Times New Roman"/>
          <w:b/>
          <w:bCs/>
          <w:i/>
          <w:iCs/>
        </w:rPr>
        <w:t xml:space="preserve">Optimiser les dispositifs de surveillance </w:t>
      </w:r>
      <w:r w:rsidR="001501DF">
        <w:rPr>
          <w:rFonts w:ascii="Times New Roman" w:hAnsi="Times New Roman"/>
          <w:b/>
          <w:bCs/>
          <w:i/>
          <w:iCs/>
        </w:rPr>
        <w:t>au niveau des points d’entré dans</w:t>
      </w:r>
      <w:r w:rsidRPr="001501DF">
        <w:rPr>
          <w:rFonts w:ascii="Times New Roman" w:hAnsi="Times New Roman"/>
          <w:b/>
          <w:bCs/>
          <w:i/>
          <w:iCs/>
        </w:rPr>
        <w:t xml:space="preserve"> </w:t>
      </w:r>
      <w:r w:rsidR="001501DF">
        <w:rPr>
          <w:rFonts w:ascii="Times New Roman" w:hAnsi="Times New Roman"/>
          <w:b/>
          <w:bCs/>
          <w:i/>
          <w:iCs/>
        </w:rPr>
        <w:t>l</w:t>
      </w:r>
      <w:r w:rsidRPr="001501DF">
        <w:rPr>
          <w:rFonts w:ascii="Times New Roman" w:hAnsi="Times New Roman"/>
          <w:b/>
          <w:bCs/>
          <w:i/>
          <w:iCs/>
        </w:rPr>
        <w:t>es États membres</w:t>
      </w:r>
    </w:p>
    <w:p w14:paraId="6E049E8B" w14:textId="20194B80" w:rsidR="002A098E" w:rsidRPr="001501DF" w:rsidRDefault="002A098E" w:rsidP="001501DF">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1501DF">
        <w:rPr>
          <w:rFonts w:ascii="Times New Roman" w:hAnsi="Times New Roman"/>
          <w:b/>
          <w:bCs/>
          <w:i/>
          <w:iCs/>
        </w:rPr>
        <w:t>Établir/Renforcer un dispositif permettant le suivi de la santé des voyageurs, au-delà des points d’entrées</w:t>
      </w:r>
      <w:r w:rsidR="00E92F2B" w:rsidRPr="001501DF">
        <w:rPr>
          <w:rFonts w:ascii="Times New Roman" w:hAnsi="Times New Roman"/>
          <w:b/>
          <w:bCs/>
          <w:i/>
          <w:iCs/>
        </w:rPr>
        <w:t xml:space="preserve">, </w:t>
      </w:r>
    </w:p>
    <w:p w14:paraId="1A0C2E2B" w14:textId="68F3F385" w:rsidR="002A098E" w:rsidRPr="001501DF" w:rsidRDefault="001501DF" w:rsidP="001501DF">
      <w:pPr>
        <w:pStyle w:val="Paragraphedeliste"/>
        <w:numPr>
          <w:ilvl w:val="0"/>
          <w:numId w:val="40"/>
        </w:numPr>
        <w:spacing w:after="120"/>
        <w:ind w:left="283" w:right="-142" w:hanging="215"/>
        <w:contextualSpacing w:val="0"/>
        <w:jc w:val="both"/>
        <w:outlineLvl w:val="0"/>
        <w:rPr>
          <w:rFonts w:ascii="Times New Roman" w:hAnsi="Times New Roman"/>
          <w:b/>
          <w:bCs/>
          <w:i/>
          <w:iCs/>
        </w:rPr>
      </w:pPr>
      <w:r>
        <w:rPr>
          <w:rFonts w:ascii="Times New Roman" w:hAnsi="Times New Roman"/>
          <w:b/>
          <w:bCs/>
          <w:i/>
          <w:iCs/>
        </w:rPr>
        <w:t>Renforcer</w:t>
      </w:r>
      <w:r w:rsidR="002A098E" w:rsidRPr="001501DF">
        <w:rPr>
          <w:rFonts w:ascii="Times New Roman" w:hAnsi="Times New Roman"/>
          <w:b/>
          <w:bCs/>
          <w:i/>
          <w:iCs/>
        </w:rPr>
        <w:t xml:space="preserve"> les collaborations à l’échelle régionale en termes de surveillance aux frontières et des voyageurs</w:t>
      </w:r>
    </w:p>
    <w:p w14:paraId="5B73BA2D" w14:textId="2DC13D1A" w:rsidR="006D167F" w:rsidRPr="004122AC" w:rsidRDefault="006D167F" w:rsidP="00BD3F9B">
      <w:pPr>
        <w:pStyle w:val="Paragraphedeliste"/>
        <w:numPr>
          <w:ilvl w:val="0"/>
          <w:numId w:val="42"/>
        </w:numPr>
        <w:spacing w:before="120" w:after="60"/>
        <w:ind w:left="284" w:right="-142" w:hanging="284"/>
        <w:contextualSpacing w:val="0"/>
        <w:outlineLvl w:val="0"/>
        <w:rPr>
          <w:rFonts w:ascii="Times New Roman" w:eastAsiaTheme="minorEastAsia" w:hAnsi="Times New Roman"/>
          <w:b/>
          <w:color w:val="E36C0A" w:themeColor="accent6" w:themeShade="BF"/>
          <w:u w:val="single"/>
        </w:rPr>
      </w:pPr>
      <w:r w:rsidRPr="004122AC">
        <w:rPr>
          <w:rFonts w:ascii="Times New Roman" w:eastAsiaTheme="minorEastAsia" w:hAnsi="Times New Roman"/>
          <w:b/>
          <w:color w:val="E36C0A" w:themeColor="accent6" w:themeShade="BF"/>
          <w:u w:val="single"/>
        </w:rPr>
        <w:t>Maladies non transmissibles </w:t>
      </w:r>
    </w:p>
    <w:p w14:paraId="4FB48589" w14:textId="4D682424" w:rsidR="006D167F" w:rsidRDefault="004122AC" w:rsidP="00BD3F9B">
      <w:pPr>
        <w:ind w:right="-142"/>
        <w:jc w:val="both"/>
        <w:outlineLvl w:val="0"/>
        <w:rPr>
          <w:sz w:val="22"/>
          <w:szCs w:val="22"/>
          <w:lang w:val="fr-FR"/>
        </w:rPr>
      </w:pPr>
      <w:r>
        <w:rPr>
          <w:sz w:val="22"/>
          <w:szCs w:val="22"/>
          <w:lang w:val="fr-FR"/>
        </w:rPr>
        <w:t>Les maladies non transmissibles constituent un domaine stratégique pour</w:t>
      </w:r>
      <w:r w:rsidR="00E92F2B">
        <w:rPr>
          <w:sz w:val="22"/>
          <w:szCs w:val="22"/>
          <w:lang w:val="fr-FR"/>
        </w:rPr>
        <w:t xml:space="preserve"> </w:t>
      </w:r>
      <w:r>
        <w:rPr>
          <w:sz w:val="22"/>
          <w:szCs w:val="22"/>
          <w:lang w:val="fr-FR"/>
        </w:rPr>
        <w:t xml:space="preserve">la COI, </w:t>
      </w:r>
      <w:r w:rsidR="00E92F2B">
        <w:rPr>
          <w:sz w:val="22"/>
          <w:szCs w:val="22"/>
          <w:lang w:val="fr-FR"/>
        </w:rPr>
        <w:t xml:space="preserve">considérant </w:t>
      </w:r>
      <w:r>
        <w:rPr>
          <w:sz w:val="22"/>
          <w:szCs w:val="22"/>
          <w:lang w:val="fr-FR"/>
        </w:rPr>
        <w:t>leurs</w:t>
      </w:r>
      <w:r w:rsidR="00E92F2B">
        <w:rPr>
          <w:sz w:val="22"/>
          <w:szCs w:val="22"/>
          <w:lang w:val="fr-FR"/>
        </w:rPr>
        <w:t xml:space="preserve"> </w:t>
      </w:r>
      <w:r>
        <w:rPr>
          <w:sz w:val="22"/>
          <w:szCs w:val="22"/>
          <w:lang w:val="fr-FR"/>
        </w:rPr>
        <w:t>poids</w:t>
      </w:r>
      <w:r w:rsidR="00E92F2B">
        <w:rPr>
          <w:sz w:val="22"/>
          <w:szCs w:val="22"/>
          <w:lang w:val="fr-FR"/>
        </w:rPr>
        <w:t xml:space="preserve"> sur la santé publique</w:t>
      </w:r>
      <w:r>
        <w:rPr>
          <w:sz w:val="22"/>
          <w:szCs w:val="22"/>
          <w:lang w:val="fr-FR"/>
        </w:rPr>
        <w:t xml:space="preserve"> dans la région</w:t>
      </w:r>
    </w:p>
    <w:p w14:paraId="1D2877B0" w14:textId="7CA8E571" w:rsidR="00E92F2B" w:rsidRDefault="004122AC" w:rsidP="00DE3569">
      <w:pPr>
        <w:spacing w:after="60"/>
        <w:ind w:right="-142"/>
        <w:jc w:val="both"/>
        <w:outlineLvl w:val="0"/>
        <w:rPr>
          <w:sz w:val="22"/>
          <w:szCs w:val="22"/>
          <w:lang w:val="fr-FR"/>
        </w:rPr>
      </w:pPr>
      <w:r>
        <w:rPr>
          <w:sz w:val="22"/>
          <w:szCs w:val="22"/>
          <w:lang w:val="fr-FR"/>
        </w:rPr>
        <w:t>Les priorités consistent à</w:t>
      </w:r>
      <w:r w:rsidR="00E92F2B">
        <w:rPr>
          <w:sz w:val="22"/>
          <w:szCs w:val="22"/>
          <w:lang w:val="fr-FR"/>
        </w:rPr>
        <w:t> :</w:t>
      </w:r>
    </w:p>
    <w:p w14:paraId="5EFD5B24" w14:textId="6052F4D5" w:rsidR="00E92F2B" w:rsidRPr="004122AC" w:rsidRDefault="00E92F2B" w:rsidP="004122AC">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4122AC">
        <w:rPr>
          <w:rFonts w:ascii="Times New Roman" w:hAnsi="Times New Roman"/>
          <w:b/>
          <w:bCs/>
          <w:i/>
          <w:iCs/>
        </w:rPr>
        <w:t>Suivre l’évolution de la situation épidémiologique des principales malad</w:t>
      </w:r>
      <w:r w:rsidR="00CB69AC" w:rsidRPr="004122AC">
        <w:rPr>
          <w:rFonts w:ascii="Times New Roman" w:hAnsi="Times New Roman"/>
          <w:b/>
          <w:bCs/>
          <w:i/>
          <w:iCs/>
        </w:rPr>
        <w:t>i</w:t>
      </w:r>
      <w:r w:rsidRPr="004122AC">
        <w:rPr>
          <w:rFonts w:ascii="Times New Roman" w:hAnsi="Times New Roman"/>
          <w:b/>
          <w:bCs/>
          <w:i/>
          <w:iCs/>
        </w:rPr>
        <w:t>es non transmissibles au niveau des États membres</w:t>
      </w:r>
    </w:p>
    <w:p w14:paraId="39ADC070" w14:textId="2325B63F" w:rsidR="00E92F2B" w:rsidRPr="004122AC" w:rsidRDefault="00E92F2B" w:rsidP="004122AC">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4122AC">
        <w:rPr>
          <w:rFonts w:ascii="Times New Roman" w:hAnsi="Times New Roman"/>
          <w:b/>
          <w:bCs/>
          <w:i/>
          <w:iCs/>
        </w:rPr>
        <w:t>Partager les connaissances, les méthodes et les expériences en termes de dépistage/diagnostic, de prévention et de prise en charge des principales maladies non transmissibles.</w:t>
      </w:r>
    </w:p>
    <w:p w14:paraId="78CD43C8" w14:textId="7CC10865" w:rsidR="00E92F2B" w:rsidRPr="004122AC" w:rsidRDefault="00CB69AC" w:rsidP="004122AC">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4122AC">
        <w:rPr>
          <w:rFonts w:ascii="Times New Roman" w:hAnsi="Times New Roman"/>
          <w:b/>
          <w:bCs/>
          <w:i/>
          <w:iCs/>
        </w:rPr>
        <w:t xml:space="preserve">Identifier </w:t>
      </w:r>
      <w:r w:rsidR="001D4B9E">
        <w:rPr>
          <w:rFonts w:ascii="Times New Roman" w:hAnsi="Times New Roman"/>
          <w:b/>
          <w:bCs/>
          <w:i/>
          <w:iCs/>
        </w:rPr>
        <w:t xml:space="preserve">et mettre en œuvre </w:t>
      </w:r>
      <w:r w:rsidRPr="004122AC">
        <w:rPr>
          <w:rFonts w:ascii="Times New Roman" w:hAnsi="Times New Roman"/>
          <w:b/>
          <w:bCs/>
          <w:i/>
          <w:iCs/>
        </w:rPr>
        <w:t xml:space="preserve">une approche appropriée dans le cadre du réseau SEGA One </w:t>
      </w:r>
      <w:proofErr w:type="spellStart"/>
      <w:r w:rsidRPr="004122AC">
        <w:rPr>
          <w:rFonts w:ascii="Times New Roman" w:hAnsi="Times New Roman"/>
          <w:b/>
          <w:bCs/>
          <w:i/>
          <w:iCs/>
        </w:rPr>
        <w:t>Health</w:t>
      </w:r>
      <w:proofErr w:type="spellEnd"/>
      <w:r w:rsidRPr="004122AC">
        <w:rPr>
          <w:rFonts w:ascii="Times New Roman" w:hAnsi="Times New Roman"/>
          <w:b/>
          <w:bCs/>
          <w:i/>
          <w:iCs/>
        </w:rPr>
        <w:t xml:space="preserve"> qui contribuerait dans la lutte contre les maladies non transmissibles.</w:t>
      </w:r>
    </w:p>
    <w:p w14:paraId="712B1FDA" w14:textId="1931D61A" w:rsidR="00913FA4" w:rsidRPr="00E8784F" w:rsidRDefault="00913FA4" w:rsidP="00DE3569">
      <w:pPr>
        <w:pStyle w:val="Paragraphedeliste"/>
        <w:numPr>
          <w:ilvl w:val="0"/>
          <w:numId w:val="42"/>
        </w:numPr>
        <w:spacing w:before="120" w:after="120"/>
        <w:ind w:left="284" w:right="-142" w:hanging="284"/>
        <w:contextualSpacing w:val="0"/>
        <w:outlineLvl w:val="0"/>
        <w:rPr>
          <w:rFonts w:ascii="Times New Roman" w:eastAsiaTheme="minorEastAsia" w:hAnsi="Times New Roman"/>
          <w:b/>
          <w:color w:val="E36C0A" w:themeColor="accent6" w:themeShade="BF"/>
          <w:u w:val="single"/>
        </w:rPr>
      </w:pPr>
      <w:r w:rsidRPr="00E8784F">
        <w:rPr>
          <w:rFonts w:ascii="Times New Roman" w:eastAsiaTheme="minorEastAsia" w:hAnsi="Times New Roman"/>
          <w:b/>
          <w:color w:val="E36C0A" w:themeColor="accent6" w:themeShade="BF"/>
          <w:u w:val="single"/>
        </w:rPr>
        <w:t>Formation </w:t>
      </w:r>
    </w:p>
    <w:p w14:paraId="6ED2BC77" w14:textId="5BF17B42" w:rsidR="00FC46E5" w:rsidRDefault="00D2646E" w:rsidP="002449ED">
      <w:pPr>
        <w:spacing w:after="120"/>
        <w:ind w:right="-142"/>
        <w:jc w:val="both"/>
        <w:outlineLvl w:val="0"/>
        <w:rPr>
          <w:sz w:val="22"/>
          <w:szCs w:val="22"/>
          <w:lang w:val="fr-FR"/>
        </w:rPr>
      </w:pPr>
      <w:r>
        <w:rPr>
          <w:sz w:val="22"/>
          <w:szCs w:val="22"/>
          <w:lang w:val="fr-FR"/>
        </w:rPr>
        <w:t xml:space="preserve">La formation est un </w:t>
      </w:r>
      <w:r w:rsidR="000A4283">
        <w:rPr>
          <w:sz w:val="22"/>
          <w:szCs w:val="22"/>
          <w:lang w:val="fr-FR"/>
        </w:rPr>
        <w:t xml:space="preserve">domaine stratégique transversale. En effet, le renforcement des capacités des ressources humaines est nécessaire dans tous les </w:t>
      </w:r>
      <w:r w:rsidR="00286995">
        <w:rPr>
          <w:sz w:val="22"/>
          <w:szCs w:val="22"/>
          <w:lang w:val="fr-FR"/>
        </w:rPr>
        <w:t>pôles thématiques</w:t>
      </w:r>
      <w:r w:rsidR="000A4283">
        <w:rPr>
          <w:sz w:val="22"/>
          <w:szCs w:val="22"/>
          <w:lang w:val="fr-FR"/>
        </w:rPr>
        <w:t xml:space="preserve"> pour accompagner les changements.</w:t>
      </w:r>
      <w:r w:rsidR="005078D2">
        <w:rPr>
          <w:sz w:val="22"/>
          <w:szCs w:val="22"/>
          <w:lang w:val="fr-FR"/>
        </w:rPr>
        <w:t xml:space="preserve"> </w:t>
      </w:r>
    </w:p>
    <w:p w14:paraId="1DED88A8" w14:textId="012B9C55" w:rsidR="005078D2" w:rsidRDefault="00286995" w:rsidP="00DE3569">
      <w:pPr>
        <w:spacing w:after="60"/>
        <w:ind w:right="-142"/>
        <w:jc w:val="both"/>
        <w:outlineLvl w:val="0"/>
        <w:rPr>
          <w:sz w:val="22"/>
          <w:szCs w:val="22"/>
          <w:lang w:val="fr-FR"/>
        </w:rPr>
      </w:pPr>
      <w:r>
        <w:rPr>
          <w:sz w:val="22"/>
          <w:szCs w:val="22"/>
          <w:lang w:val="fr-FR"/>
        </w:rPr>
        <w:t>Ce domaine stratégique inclut en premier lieu</w:t>
      </w:r>
      <w:r w:rsidR="005078D2">
        <w:rPr>
          <w:sz w:val="22"/>
          <w:szCs w:val="22"/>
          <w:lang w:val="fr-FR"/>
        </w:rPr>
        <w:t xml:space="preserve"> le programme de formation en épidémiologie de terrain (FETP)</w:t>
      </w:r>
      <w:r>
        <w:rPr>
          <w:sz w:val="22"/>
          <w:szCs w:val="22"/>
          <w:lang w:val="fr-FR"/>
        </w:rPr>
        <w:t xml:space="preserve">. </w:t>
      </w:r>
      <w:r w:rsidR="005078D2">
        <w:rPr>
          <w:sz w:val="22"/>
          <w:szCs w:val="22"/>
          <w:lang w:val="fr-FR"/>
        </w:rPr>
        <w:t xml:space="preserve"> </w:t>
      </w:r>
      <w:r w:rsidR="0056361B">
        <w:rPr>
          <w:sz w:val="22"/>
          <w:szCs w:val="22"/>
          <w:lang w:val="fr-FR"/>
        </w:rPr>
        <w:t>Toutefois, d’autres besoins de formation existent et doivent être pris en compte</w:t>
      </w:r>
      <w:r w:rsidR="005078D2">
        <w:rPr>
          <w:sz w:val="22"/>
          <w:szCs w:val="22"/>
          <w:lang w:val="fr-FR"/>
        </w:rPr>
        <w:t>.</w:t>
      </w:r>
    </w:p>
    <w:p w14:paraId="233E1F14" w14:textId="59AB286A" w:rsidR="000A4283" w:rsidRDefault="000A4283" w:rsidP="00DE3569">
      <w:pPr>
        <w:spacing w:after="60"/>
        <w:ind w:right="-142"/>
        <w:jc w:val="both"/>
        <w:outlineLvl w:val="0"/>
        <w:rPr>
          <w:sz w:val="22"/>
          <w:szCs w:val="22"/>
          <w:lang w:val="fr-FR"/>
        </w:rPr>
      </w:pPr>
      <w:r>
        <w:rPr>
          <w:sz w:val="22"/>
          <w:szCs w:val="22"/>
          <w:lang w:val="fr-FR"/>
        </w:rPr>
        <w:t>La stratégie consiste à :</w:t>
      </w:r>
    </w:p>
    <w:p w14:paraId="163A5EB9" w14:textId="01191A1C" w:rsidR="005078D2" w:rsidRPr="0056361B" w:rsidRDefault="00BF6465" w:rsidP="0056361B">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56361B">
        <w:rPr>
          <w:rFonts w:ascii="Times New Roman" w:hAnsi="Times New Roman"/>
          <w:b/>
          <w:bCs/>
          <w:i/>
          <w:iCs/>
        </w:rPr>
        <w:t xml:space="preserve">Rendre le programme FETP de la COI une référence mondiale grâce à la reconnaissance académique, à sa dimension régionale et au fait que c’est une formation One </w:t>
      </w:r>
      <w:proofErr w:type="spellStart"/>
      <w:r w:rsidRPr="0056361B">
        <w:rPr>
          <w:rFonts w:ascii="Times New Roman" w:hAnsi="Times New Roman"/>
          <w:b/>
          <w:bCs/>
          <w:i/>
          <w:iCs/>
        </w:rPr>
        <w:t>Health</w:t>
      </w:r>
      <w:proofErr w:type="spellEnd"/>
      <w:r w:rsidRPr="0056361B">
        <w:rPr>
          <w:rFonts w:ascii="Times New Roman" w:hAnsi="Times New Roman"/>
          <w:b/>
          <w:bCs/>
          <w:i/>
          <w:iCs/>
        </w:rPr>
        <w:t>.</w:t>
      </w:r>
    </w:p>
    <w:p w14:paraId="61BC3FBF" w14:textId="043472EA" w:rsidR="005078D2" w:rsidRPr="0056361B" w:rsidRDefault="00BF6465" w:rsidP="0056361B">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56361B">
        <w:rPr>
          <w:rFonts w:ascii="Times New Roman" w:hAnsi="Times New Roman"/>
          <w:b/>
          <w:bCs/>
          <w:i/>
          <w:iCs/>
        </w:rPr>
        <w:t>Disposer d’un vivier d’épidémiologistes de terrain qui seront les acteurs de la surveillance et de la riposte dans chaque État membre, au niveau régional, voire au niveau international, le cas échéant</w:t>
      </w:r>
    </w:p>
    <w:p w14:paraId="6B2932E7" w14:textId="4B241C93" w:rsidR="00864461" w:rsidRPr="0056361B" w:rsidRDefault="00864461" w:rsidP="0056361B">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56361B">
        <w:rPr>
          <w:rFonts w:ascii="Times New Roman" w:hAnsi="Times New Roman"/>
          <w:b/>
          <w:bCs/>
          <w:i/>
          <w:iCs/>
        </w:rPr>
        <w:t xml:space="preserve">Répondre aux différents besoins de formation identifiés dans la région dans les domaines stratégiques couverts par le réseau SEGA One </w:t>
      </w:r>
      <w:proofErr w:type="spellStart"/>
      <w:r w:rsidRPr="0056361B">
        <w:rPr>
          <w:rFonts w:ascii="Times New Roman" w:hAnsi="Times New Roman"/>
          <w:b/>
          <w:bCs/>
          <w:i/>
          <w:iCs/>
        </w:rPr>
        <w:t>Health</w:t>
      </w:r>
      <w:proofErr w:type="spellEnd"/>
    </w:p>
    <w:p w14:paraId="738EE369" w14:textId="7FDB7659" w:rsidR="00BF6465" w:rsidRPr="0056361B" w:rsidRDefault="00864461" w:rsidP="0056361B">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56361B">
        <w:rPr>
          <w:rFonts w:ascii="Times New Roman" w:hAnsi="Times New Roman"/>
          <w:b/>
          <w:bCs/>
          <w:i/>
          <w:iCs/>
        </w:rPr>
        <w:t xml:space="preserve">Établir au niveau de la COI, la coordination des formations </w:t>
      </w:r>
      <w:r w:rsidR="00BD610C" w:rsidRPr="0056361B">
        <w:rPr>
          <w:rFonts w:ascii="Times New Roman" w:hAnsi="Times New Roman"/>
          <w:b/>
          <w:bCs/>
          <w:i/>
          <w:iCs/>
        </w:rPr>
        <w:t>pouvant bénéficier à l’ensemble des pays, voire au-delà, en partenariat avec les Institutions de formation de la région.</w:t>
      </w:r>
    </w:p>
    <w:p w14:paraId="2AF88B3A" w14:textId="5984CF2A" w:rsidR="004B1C1C" w:rsidRPr="00E8784F" w:rsidRDefault="004B1C1C" w:rsidP="004B1C1C">
      <w:pPr>
        <w:pStyle w:val="Paragraphedeliste"/>
        <w:numPr>
          <w:ilvl w:val="0"/>
          <w:numId w:val="42"/>
        </w:numPr>
        <w:spacing w:before="240" w:after="120"/>
        <w:ind w:left="284" w:right="-142" w:hanging="284"/>
        <w:contextualSpacing w:val="0"/>
        <w:outlineLvl w:val="0"/>
        <w:rPr>
          <w:rFonts w:ascii="Times New Roman" w:eastAsiaTheme="minorEastAsia" w:hAnsi="Times New Roman"/>
          <w:b/>
          <w:color w:val="E36C0A" w:themeColor="accent6" w:themeShade="BF"/>
          <w:u w:val="single"/>
        </w:rPr>
      </w:pPr>
      <w:r w:rsidRPr="00E8784F">
        <w:rPr>
          <w:rFonts w:ascii="Times New Roman" w:eastAsiaTheme="minorEastAsia" w:hAnsi="Times New Roman"/>
          <w:b/>
          <w:color w:val="E36C0A" w:themeColor="accent6" w:themeShade="BF"/>
          <w:u w:val="single"/>
        </w:rPr>
        <w:t>Recherche opérationnelle</w:t>
      </w:r>
    </w:p>
    <w:p w14:paraId="19C176B3" w14:textId="7DE4ECF4" w:rsidR="00AE4852" w:rsidRDefault="00AE4852" w:rsidP="00DE3569">
      <w:pPr>
        <w:spacing w:after="60"/>
        <w:ind w:right="-142"/>
        <w:jc w:val="both"/>
        <w:outlineLvl w:val="0"/>
        <w:rPr>
          <w:sz w:val="22"/>
          <w:szCs w:val="22"/>
          <w:lang w:val="fr-FR"/>
        </w:rPr>
      </w:pPr>
      <w:r>
        <w:rPr>
          <w:sz w:val="22"/>
          <w:szCs w:val="22"/>
          <w:lang w:val="fr-FR"/>
        </w:rPr>
        <w:t>La recherche est aussi un domaine stratégique transversale</w:t>
      </w:r>
      <w:r w:rsidR="00A83E03">
        <w:rPr>
          <w:sz w:val="22"/>
          <w:szCs w:val="22"/>
          <w:lang w:val="fr-FR"/>
        </w:rPr>
        <w:t xml:space="preserve">. En effet, des questions sont régulièrement soulevées dans les différents pôles thématiques et des activités de recherche sont nécessaires pour y répondre. Par ailleurs, valoriser les actions, les résultats et les connaissances produites à travers des publications ou présentations </w:t>
      </w:r>
      <w:r w:rsidR="00AF231F">
        <w:rPr>
          <w:sz w:val="22"/>
          <w:szCs w:val="22"/>
          <w:lang w:val="fr-FR"/>
        </w:rPr>
        <w:t>scientifiques, permet</w:t>
      </w:r>
      <w:r w:rsidR="00A83E03">
        <w:rPr>
          <w:sz w:val="22"/>
          <w:szCs w:val="22"/>
          <w:lang w:val="fr-FR"/>
        </w:rPr>
        <w:t xml:space="preserve"> non seulement de garantir la qualité du travail car il y aura une évaluation par les pairs, mais cela permet aussi de donner de la visibilité et de la notoriété au réseau</w:t>
      </w:r>
      <w:r>
        <w:rPr>
          <w:sz w:val="22"/>
          <w:szCs w:val="22"/>
          <w:lang w:val="fr-FR"/>
        </w:rPr>
        <w:t xml:space="preserve">. </w:t>
      </w:r>
      <w:r w:rsidR="00AF231F">
        <w:rPr>
          <w:sz w:val="22"/>
          <w:szCs w:val="22"/>
          <w:lang w:val="fr-FR"/>
        </w:rPr>
        <w:t>La recherche est aussi une porte d’entrée pour obtenir des financements à des projets répondant aux domaines stratégiques.</w:t>
      </w:r>
    </w:p>
    <w:p w14:paraId="04457D1F" w14:textId="2DF37A89" w:rsidR="00331F40" w:rsidRDefault="00331F40" w:rsidP="00DE3569">
      <w:pPr>
        <w:spacing w:after="60"/>
        <w:ind w:right="-142"/>
        <w:jc w:val="both"/>
        <w:outlineLvl w:val="0"/>
        <w:rPr>
          <w:sz w:val="22"/>
          <w:szCs w:val="22"/>
          <w:lang w:val="fr-FR"/>
        </w:rPr>
      </w:pPr>
      <w:r>
        <w:rPr>
          <w:sz w:val="22"/>
          <w:szCs w:val="22"/>
          <w:lang w:val="fr-FR"/>
        </w:rPr>
        <w:t>La stratégie consiste à :</w:t>
      </w:r>
    </w:p>
    <w:p w14:paraId="1C01E978" w14:textId="7D03D1D1" w:rsidR="004B1C1C" w:rsidRPr="00AF231F" w:rsidRDefault="00331F40" w:rsidP="00AF231F">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AF231F">
        <w:rPr>
          <w:rFonts w:ascii="Times New Roman" w:hAnsi="Times New Roman"/>
          <w:b/>
          <w:bCs/>
          <w:i/>
          <w:iCs/>
        </w:rPr>
        <w:t xml:space="preserve">Répondre à des questionnements soulevés dans </w:t>
      </w:r>
      <w:r w:rsidR="00AE4852" w:rsidRPr="00AF231F">
        <w:rPr>
          <w:rFonts w:ascii="Times New Roman" w:hAnsi="Times New Roman"/>
          <w:b/>
          <w:bCs/>
          <w:i/>
          <w:iCs/>
        </w:rPr>
        <w:t>le cadre des différents pôles thématiques</w:t>
      </w:r>
    </w:p>
    <w:p w14:paraId="169536BD" w14:textId="529219A7" w:rsidR="00AE4852" w:rsidRPr="00AF231F" w:rsidRDefault="00AE4852" w:rsidP="00AF231F">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AF231F">
        <w:rPr>
          <w:rFonts w:ascii="Times New Roman" w:hAnsi="Times New Roman"/>
          <w:b/>
          <w:bCs/>
          <w:i/>
          <w:iCs/>
        </w:rPr>
        <w:lastRenderedPageBreak/>
        <w:t xml:space="preserve">Capitaliser sur les travaux et les expériences dans le cadre du réseau SEGA One </w:t>
      </w:r>
      <w:proofErr w:type="spellStart"/>
      <w:r w:rsidRPr="00AF231F">
        <w:rPr>
          <w:rFonts w:ascii="Times New Roman" w:hAnsi="Times New Roman"/>
          <w:b/>
          <w:bCs/>
          <w:i/>
          <w:iCs/>
        </w:rPr>
        <w:t>Health</w:t>
      </w:r>
      <w:proofErr w:type="spellEnd"/>
      <w:r w:rsidRPr="00AF231F">
        <w:rPr>
          <w:rFonts w:ascii="Times New Roman" w:hAnsi="Times New Roman"/>
          <w:b/>
          <w:bCs/>
          <w:i/>
          <w:iCs/>
        </w:rPr>
        <w:t xml:space="preserve"> pour renforcer la visibilité internationale </w:t>
      </w:r>
      <w:r w:rsidR="00AF231F" w:rsidRPr="00AF231F">
        <w:rPr>
          <w:rFonts w:ascii="Times New Roman" w:hAnsi="Times New Roman"/>
          <w:b/>
          <w:bCs/>
          <w:i/>
          <w:iCs/>
        </w:rPr>
        <w:t xml:space="preserve">et la notoriété </w:t>
      </w:r>
      <w:r w:rsidRPr="00AF231F">
        <w:rPr>
          <w:rFonts w:ascii="Times New Roman" w:hAnsi="Times New Roman"/>
          <w:b/>
          <w:bCs/>
          <w:i/>
          <w:iCs/>
        </w:rPr>
        <w:t>au niveau scientifique</w:t>
      </w:r>
    </w:p>
    <w:p w14:paraId="06C21390" w14:textId="4029391D" w:rsidR="002427AD" w:rsidRPr="00AF231F" w:rsidRDefault="00AF231F" w:rsidP="00AF231F">
      <w:pPr>
        <w:pStyle w:val="Paragraphedeliste"/>
        <w:numPr>
          <w:ilvl w:val="0"/>
          <w:numId w:val="40"/>
        </w:numPr>
        <w:spacing w:after="120"/>
        <w:ind w:left="283" w:right="-142" w:hanging="215"/>
        <w:contextualSpacing w:val="0"/>
        <w:jc w:val="both"/>
        <w:outlineLvl w:val="0"/>
        <w:rPr>
          <w:rFonts w:ascii="Times New Roman" w:hAnsi="Times New Roman"/>
          <w:b/>
          <w:bCs/>
          <w:i/>
          <w:iCs/>
        </w:rPr>
      </w:pPr>
      <w:r w:rsidRPr="00AF231F">
        <w:rPr>
          <w:rFonts w:ascii="Times New Roman" w:hAnsi="Times New Roman"/>
          <w:b/>
          <w:bCs/>
          <w:i/>
          <w:iCs/>
        </w:rPr>
        <w:t>Monter et soumettre pour financement, des projets de recherche de qui répondent aux priorités définies dans les domaines stratégiques</w:t>
      </w:r>
      <w:r w:rsidR="00A3077A" w:rsidRPr="00AF231F">
        <w:rPr>
          <w:rFonts w:ascii="Times New Roman" w:hAnsi="Times New Roman"/>
          <w:b/>
          <w:bCs/>
          <w:i/>
          <w:iCs/>
        </w:rPr>
        <w:t xml:space="preserve">. </w:t>
      </w:r>
    </w:p>
    <w:p w14:paraId="3EF121DE" w14:textId="5B42B7A6" w:rsidR="005D48FE" w:rsidRDefault="005D48FE" w:rsidP="00C546E0">
      <w:pPr>
        <w:pStyle w:val="Paragraphedeliste"/>
        <w:numPr>
          <w:ilvl w:val="0"/>
          <w:numId w:val="37"/>
        </w:numPr>
        <w:tabs>
          <w:tab w:val="left" w:pos="426"/>
          <w:tab w:val="left" w:pos="567"/>
        </w:tabs>
        <w:spacing w:before="240" w:after="120"/>
        <w:ind w:left="0" w:right="-142" w:firstLine="0"/>
        <w:outlineLvl w:val="0"/>
        <w:rPr>
          <w:rFonts w:ascii="Times New Roman" w:eastAsiaTheme="minorEastAsia" w:hAnsi="Times New Roman"/>
          <w:b/>
          <w:color w:val="00B0F0"/>
          <w:sz w:val="24"/>
          <w:szCs w:val="24"/>
        </w:rPr>
      </w:pPr>
      <w:r>
        <w:rPr>
          <w:rFonts w:ascii="Times New Roman" w:eastAsiaTheme="minorEastAsia" w:hAnsi="Times New Roman"/>
          <w:b/>
          <w:color w:val="00B0F0"/>
          <w:sz w:val="24"/>
          <w:szCs w:val="24"/>
        </w:rPr>
        <w:t>Partenariat</w:t>
      </w:r>
    </w:p>
    <w:p w14:paraId="298C32BF" w14:textId="0663FE61" w:rsidR="005D48FE" w:rsidRDefault="00E8784F" w:rsidP="00E8784F">
      <w:pPr>
        <w:spacing w:after="60"/>
        <w:ind w:right="-142"/>
        <w:jc w:val="both"/>
        <w:outlineLvl w:val="0"/>
        <w:rPr>
          <w:color w:val="000000" w:themeColor="text1"/>
          <w:sz w:val="22"/>
          <w:szCs w:val="22"/>
          <w:lang w:val="fr-FR"/>
        </w:rPr>
      </w:pPr>
      <w:r w:rsidRPr="00E8784F">
        <w:rPr>
          <w:color w:val="000000" w:themeColor="text1"/>
          <w:sz w:val="22"/>
          <w:szCs w:val="22"/>
          <w:lang w:val="fr-FR"/>
        </w:rPr>
        <w:t xml:space="preserve">Le </w:t>
      </w:r>
      <w:r w:rsidRPr="00E8784F">
        <w:rPr>
          <w:sz w:val="22"/>
          <w:szCs w:val="22"/>
          <w:lang w:val="fr-FR"/>
        </w:rPr>
        <w:t>partenariat</w:t>
      </w:r>
      <w:r w:rsidRPr="00E8784F">
        <w:rPr>
          <w:color w:val="000000" w:themeColor="text1"/>
          <w:sz w:val="22"/>
          <w:szCs w:val="22"/>
          <w:lang w:val="fr-FR"/>
        </w:rPr>
        <w:t xml:space="preserve"> est important à la fois pour la mise en œuvre des activités, pour la notoriété du réseau SEGA One </w:t>
      </w:r>
      <w:proofErr w:type="spellStart"/>
      <w:r w:rsidRPr="00E8784F">
        <w:rPr>
          <w:color w:val="000000" w:themeColor="text1"/>
          <w:sz w:val="22"/>
          <w:szCs w:val="22"/>
          <w:lang w:val="fr-FR"/>
        </w:rPr>
        <w:t>Health</w:t>
      </w:r>
      <w:proofErr w:type="spellEnd"/>
      <w:r w:rsidRPr="00E8784F">
        <w:rPr>
          <w:color w:val="000000" w:themeColor="text1"/>
          <w:sz w:val="22"/>
          <w:szCs w:val="22"/>
          <w:lang w:val="fr-FR"/>
        </w:rPr>
        <w:t xml:space="preserve"> et pour faciliter l’obtention de financement.</w:t>
      </w:r>
      <w:r>
        <w:rPr>
          <w:color w:val="000000" w:themeColor="text1"/>
          <w:sz w:val="22"/>
          <w:szCs w:val="22"/>
          <w:lang w:val="fr-FR"/>
        </w:rPr>
        <w:t xml:space="preserve"> </w:t>
      </w:r>
      <w:r w:rsidR="005D48FE">
        <w:rPr>
          <w:color w:val="000000" w:themeColor="text1"/>
          <w:sz w:val="22"/>
          <w:szCs w:val="22"/>
          <w:lang w:val="fr-FR"/>
        </w:rPr>
        <w:t xml:space="preserve">On distingue </w:t>
      </w:r>
      <w:r w:rsidR="00746F8B">
        <w:rPr>
          <w:color w:val="000000" w:themeColor="text1"/>
          <w:sz w:val="22"/>
          <w:szCs w:val="22"/>
          <w:lang w:val="fr-FR"/>
        </w:rPr>
        <w:t>trois</w:t>
      </w:r>
      <w:r w:rsidR="005D48FE">
        <w:rPr>
          <w:color w:val="000000" w:themeColor="text1"/>
          <w:sz w:val="22"/>
          <w:szCs w:val="22"/>
          <w:lang w:val="fr-FR"/>
        </w:rPr>
        <w:t xml:space="preserve"> types de partenariats dans le cadre du réseau SEGA One </w:t>
      </w:r>
      <w:proofErr w:type="spellStart"/>
      <w:r w:rsidR="005D48FE">
        <w:rPr>
          <w:color w:val="000000" w:themeColor="text1"/>
          <w:sz w:val="22"/>
          <w:szCs w:val="22"/>
          <w:lang w:val="fr-FR"/>
        </w:rPr>
        <w:t>Health</w:t>
      </w:r>
      <w:proofErr w:type="spellEnd"/>
      <w:r w:rsidR="005D48FE">
        <w:rPr>
          <w:color w:val="000000" w:themeColor="text1"/>
          <w:sz w:val="22"/>
          <w:szCs w:val="22"/>
          <w:lang w:val="fr-FR"/>
        </w:rPr>
        <w:t> :</w:t>
      </w:r>
    </w:p>
    <w:p w14:paraId="25E10BE5" w14:textId="48C18552" w:rsidR="005D48FE" w:rsidRPr="00E8784F" w:rsidRDefault="005D48FE" w:rsidP="00E8784F">
      <w:pPr>
        <w:pStyle w:val="Paragraphedeliste"/>
        <w:numPr>
          <w:ilvl w:val="0"/>
          <w:numId w:val="46"/>
        </w:numPr>
        <w:spacing w:after="60"/>
        <w:ind w:left="567" w:right="-142" w:hanging="357"/>
        <w:contextualSpacing w:val="0"/>
        <w:jc w:val="both"/>
        <w:outlineLvl w:val="0"/>
        <w:rPr>
          <w:rFonts w:ascii="Times New Roman" w:hAnsi="Times New Roman"/>
        </w:rPr>
      </w:pPr>
      <w:r w:rsidRPr="00E8784F">
        <w:rPr>
          <w:rFonts w:ascii="Times New Roman" w:hAnsi="Times New Roman"/>
        </w:rPr>
        <w:t xml:space="preserve">Les partenariats opérationnels dont l’objectif est la facilitation de la mise en œuvre de certaines activités </w:t>
      </w:r>
      <w:r w:rsidR="00E8784F">
        <w:rPr>
          <w:rFonts w:ascii="Times New Roman" w:hAnsi="Times New Roman"/>
        </w:rPr>
        <w:t>et profiter des capacités et expertises d</w:t>
      </w:r>
      <w:r w:rsidRPr="00E8784F">
        <w:rPr>
          <w:rFonts w:ascii="Times New Roman" w:hAnsi="Times New Roman"/>
        </w:rPr>
        <w:t>es différentes institutions présentes au niveau régional (Institut Pasteur de Madagascar, PIROI, CIRAD, Institutions de formation…)</w:t>
      </w:r>
    </w:p>
    <w:p w14:paraId="34F13AD4" w14:textId="0E137669" w:rsidR="005D48FE" w:rsidRPr="00E8784F" w:rsidRDefault="005D48FE" w:rsidP="00E8784F">
      <w:pPr>
        <w:pStyle w:val="Paragraphedeliste"/>
        <w:numPr>
          <w:ilvl w:val="0"/>
          <w:numId w:val="46"/>
        </w:numPr>
        <w:spacing w:after="60"/>
        <w:ind w:left="567" w:right="-142" w:hanging="357"/>
        <w:contextualSpacing w:val="0"/>
        <w:jc w:val="both"/>
        <w:outlineLvl w:val="0"/>
        <w:rPr>
          <w:rFonts w:ascii="Times New Roman" w:hAnsi="Times New Roman"/>
        </w:rPr>
      </w:pPr>
      <w:r w:rsidRPr="00E8784F">
        <w:rPr>
          <w:rFonts w:ascii="Times New Roman" w:hAnsi="Times New Roman"/>
        </w:rPr>
        <w:t>Les partenariats institutionnels, principalement avec les organisations internationales telles que l’OIE, l’OMS, la FAO</w:t>
      </w:r>
      <w:r w:rsidR="004217E1">
        <w:rPr>
          <w:rFonts w:ascii="Times New Roman" w:hAnsi="Times New Roman"/>
        </w:rPr>
        <w:t xml:space="preserve">, </w:t>
      </w:r>
      <w:r w:rsidRPr="00E8784F">
        <w:rPr>
          <w:rFonts w:ascii="Times New Roman" w:hAnsi="Times New Roman"/>
        </w:rPr>
        <w:t>l’OIM</w:t>
      </w:r>
      <w:r w:rsidR="004217E1">
        <w:rPr>
          <w:rFonts w:ascii="Times New Roman" w:hAnsi="Times New Roman"/>
        </w:rPr>
        <w:t>, l’Union Africaine à travers son Centre de contrôle et de prévention des maladies (</w:t>
      </w:r>
      <w:proofErr w:type="spellStart"/>
      <w:r w:rsidR="004217E1">
        <w:rPr>
          <w:rFonts w:ascii="Times New Roman" w:hAnsi="Times New Roman"/>
        </w:rPr>
        <w:t>Africa</w:t>
      </w:r>
      <w:proofErr w:type="spellEnd"/>
      <w:r w:rsidR="004217E1">
        <w:rPr>
          <w:rFonts w:ascii="Times New Roman" w:hAnsi="Times New Roman"/>
        </w:rPr>
        <w:t>-CDC)</w:t>
      </w:r>
      <w:r w:rsidRPr="00E8784F">
        <w:rPr>
          <w:rFonts w:ascii="Times New Roman" w:hAnsi="Times New Roman"/>
        </w:rPr>
        <w:t xml:space="preserve">. Ces partenariats institutionnels </w:t>
      </w:r>
      <w:r w:rsidR="00746F8B" w:rsidRPr="00E8784F">
        <w:rPr>
          <w:rFonts w:ascii="Times New Roman" w:hAnsi="Times New Roman"/>
        </w:rPr>
        <w:t xml:space="preserve">contribuent à la fois à la facilitation de la mise en œuvre, </w:t>
      </w:r>
      <w:r w:rsidR="004217E1">
        <w:rPr>
          <w:rFonts w:ascii="Times New Roman" w:hAnsi="Times New Roman"/>
        </w:rPr>
        <w:t xml:space="preserve">à </w:t>
      </w:r>
      <w:r w:rsidR="00746F8B" w:rsidRPr="00E8784F">
        <w:rPr>
          <w:rFonts w:ascii="Times New Roman" w:hAnsi="Times New Roman"/>
        </w:rPr>
        <w:t>la reconnaissance internationale et à la notoriété du réseau</w:t>
      </w:r>
      <w:r w:rsidR="004217E1">
        <w:rPr>
          <w:rFonts w:ascii="Times New Roman" w:hAnsi="Times New Roman"/>
        </w:rPr>
        <w:t xml:space="preserve"> mais aussi à l’obtention de financement.</w:t>
      </w:r>
    </w:p>
    <w:p w14:paraId="6BD465AE" w14:textId="1BDB62AC" w:rsidR="00746F8B" w:rsidRPr="00E8784F" w:rsidRDefault="00746F8B" w:rsidP="00E8784F">
      <w:pPr>
        <w:pStyle w:val="Paragraphedeliste"/>
        <w:numPr>
          <w:ilvl w:val="0"/>
          <w:numId w:val="46"/>
        </w:numPr>
        <w:spacing w:after="60"/>
        <w:ind w:left="567" w:right="-142" w:hanging="357"/>
        <w:contextualSpacing w:val="0"/>
        <w:jc w:val="both"/>
        <w:outlineLvl w:val="0"/>
        <w:rPr>
          <w:rFonts w:ascii="Times New Roman" w:hAnsi="Times New Roman"/>
        </w:rPr>
      </w:pPr>
      <w:r w:rsidRPr="00E8784F">
        <w:rPr>
          <w:rFonts w:ascii="Times New Roman" w:hAnsi="Times New Roman"/>
        </w:rPr>
        <w:t>Les partenaires bailleurs qui soutiennent le réseau. A ce jour, il y a l’Agence Française de Développement et l’Union Européenne</w:t>
      </w:r>
    </w:p>
    <w:p w14:paraId="4A6525DE" w14:textId="2D856F7B" w:rsidR="00E8784F" w:rsidRPr="004217E1" w:rsidRDefault="00E8784F" w:rsidP="004217E1">
      <w:pPr>
        <w:spacing w:after="60"/>
        <w:ind w:right="-142"/>
        <w:jc w:val="both"/>
        <w:outlineLvl w:val="0"/>
        <w:rPr>
          <w:color w:val="000000" w:themeColor="text1"/>
          <w:sz w:val="22"/>
          <w:szCs w:val="22"/>
          <w:lang w:val="fr-FR"/>
        </w:rPr>
      </w:pPr>
      <w:r w:rsidRPr="004217E1">
        <w:rPr>
          <w:color w:val="000000" w:themeColor="text1"/>
          <w:sz w:val="22"/>
          <w:szCs w:val="22"/>
          <w:lang w:val="fr-FR"/>
        </w:rPr>
        <w:t xml:space="preserve">Ainsi, en plus des domaines stratégiques, </w:t>
      </w:r>
      <w:r w:rsidRPr="004217E1">
        <w:rPr>
          <w:b/>
          <w:bCs/>
          <w:i/>
          <w:iCs/>
          <w:color w:val="000000" w:themeColor="text1"/>
          <w:sz w:val="22"/>
          <w:szCs w:val="22"/>
          <w:lang w:val="fr-FR"/>
        </w:rPr>
        <w:t>la consolidation et le développement d</w:t>
      </w:r>
      <w:r w:rsidR="004217E1" w:rsidRPr="004217E1">
        <w:rPr>
          <w:b/>
          <w:bCs/>
          <w:i/>
          <w:iCs/>
          <w:color w:val="000000" w:themeColor="text1"/>
          <w:sz w:val="22"/>
          <w:szCs w:val="22"/>
          <w:lang w:val="fr-FR"/>
        </w:rPr>
        <w:t>es</w:t>
      </w:r>
      <w:r w:rsidRPr="004217E1">
        <w:rPr>
          <w:b/>
          <w:bCs/>
          <w:i/>
          <w:iCs/>
          <w:color w:val="000000" w:themeColor="text1"/>
          <w:sz w:val="22"/>
          <w:szCs w:val="22"/>
          <w:lang w:val="fr-FR"/>
        </w:rPr>
        <w:t xml:space="preserve"> partenariat</w:t>
      </w:r>
      <w:r w:rsidR="004217E1" w:rsidRPr="004217E1">
        <w:rPr>
          <w:b/>
          <w:bCs/>
          <w:i/>
          <w:iCs/>
          <w:color w:val="000000" w:themeColor="text1"/>
          <w:sz w:val="22"/>
          <w:szCs w:val="22"/>
          <w:lang w:val="fr-FR"/>
        </w:rPr>
        <w:t>s</w:t>
      </w:r>
      <w:r w:rsidRPr="004217E1">
        <w:rPr>
          <w:color w:val="000000" w:themeColor="text1"/>
          <w:sz w:val="22"/>
          <w:szCs w:val="22"/>
          <w:lang w:val="fr-FR"/>
        </w:rPr>
        <w:t xml:space="preserve"> constitue aussi une priorité dans cette politique régionale de santé.</w:t>
      </w:r>
    </w:p>
    <w:p w14:paraId="2E30413A" w14:textId="654FBC21" w:rsidR="002427AD" w:rsidRDefault="00DE3569" w:rsidP="00E8784F">
      <w:pPr>
        <w:pStyle w:val="Paragraphedeliste"/>
        <w:numPr>
          <w:ilvl w:val="0"/>
          <w:numId w:val="37"/>
        </w:numPr>
        <w:tabs>
          <w:tab w:val="left" w:pos="426"/>
          <w:tab w:val="left" w:pos="567"/>
        </w:tabs>
        <w:spacing w:before="240" w:after="120"/>
        <w:ind w:left="0" w:right="-142" w:firstLine="0"/>
        <w:contextualSpacing w:val="0"/>
        <w:outlineLvl w:val="0"/>
        <w:rPr>
          <w:rFonts w:ascii="Times New Roman" w:eastAsiaTheme="minorEastAsia" w:hAnsi="Times New Roman"/>
          <w:b/>
          <w:color w:val="00B0F0"/>
          <w:sz w:val="24"/>
          <w:szCs w:val="24"/>
        </w:rPr>
      </w:pPr>
      <w:r>
        <w:rPr>
          <w:rFonts w:ascii="Times New Roman" w:eastAsiaTheme="minorEastAsia" w:hAnsi="Times New Roman"/>
          <w:b/>
          <w:color w:val="00B0F0"/>
        </w:rPr>
        <w:t xml:space="preserve">Le dispositif de mise en </w:t>
      </w:r>
      <w:r w:rsidR="002E6A58">
        <w:rPr>
          <w:rFonts w:ascii="Times New Roman" w:eastAsiaTheme="minorEastAsia" w:hAnsi="Times New Roman"/>
          <w:b/>
          <w:color w:val="00B0F0"/>
        </w:rPr>
        <w:t>œuvre</w:t>
      </w:r>
    </w:p>
    <w:p w14:paraId="61CBE663" w14:textId="0E586A6B" w:rsidR="002427AD" w:rsidRPr="004217E1" w:rsidRDefault="002427AD" w:rsidP="004217E1">
      <w:pPr>
        <w:spacing w:after="60"/>
        <w:ind w:right="-142"/>
        <w:jc w:val="both"/>
        <w:outlineLvl w:val="0"/>
        <w:rPr>
          <w:color w:val="000000" w:themeColor="text1"/>
          <w:sz w:val="22"/>
          <w:szCs w:val="22"/>
          <w:lang w:val="fr-FR"/>
        </w:rPr>
      </w:pPr>
      <w:r w:rsidRPr="004217E1">
        <w:rPr>
          <w:color w:val="000000" w:themeColor="text1"/>
          <w:sz w:val="22"/>
          <w:szCs w:val="22"/>
          <w:lang w:val="fr-FR"/>
        </w:rPr>
        <w:t>Le</w:t>
      </w:r>
      <w:r w:rsidR="002E6A58" w:rsidRPr="004217E1">
        <w:rPr>
          <w:color w:val="000000" w:themeColor="text1"/>
          <w:sz w:val="22"/>
          <w:szCs w:val="22"/>
          <w:lang w:val="fr-FR"/>
        </w:rPr>
        <w:t xml:space="preserve">s instances du réseau SEGA One </w:t>
      </w:r>
      <w:proofErr w:type="spellStart"/>
      <w:r w:rsidR="002E6A58" w:rsidRPr="004217E1">
        <w:rPr>
          <w:color w:val="000000" w:themeColor="text1"/>
          <w:sz w:val="22"/>
          <w:szCs w:val="22"/>
          <w:lang w:val="fr-FR"/>
        </w:rPr>
        <w:t>Health</w:t>
      </w:r>
      <w:proofErr w:type="spellEnd"/>
      <w:r w:rsidR="002E6A58" w:rsidRPr="004217E1">
        <w:rPr>
          <w:color w:val="000000" w:themeColor="text1"/>
          <w:sz w:val="22"/>
          <w:szCs w:val="22"/>
          <w:lang w:val="fr-FR"/>
        </w:rPr>
        <w:t xml:space="preserve"> </w:t>
      </w:r>
      <w:r w:rsidR="00371F30" w:rsidRPr="004217E1">
        <w:rPr>
          <w:color w:val="000000" w:themeColor="text1"/>
          <w:sz w:val="22"/>
          <w:szCs w:val="22"/>
          <w:lang w:val="fr-FR"/>
        </w:rPr>
        <w:t>sont décrites dans sa charte. Il s’agit :</w:t>
      </w:r>
    </w:p>
    <w:p w14:paraId="70F732CE" w14:textId="049D3CB7" w:rsidR="00371F30" w:rsidRPr="00371F30" w:rsidRDefault="00371F30" w:rsidP="004217E1">
      <w:pPr>
        <w:pStyle w:val="Paragraphedeliste"/>
        <w:numPr>
          <w:ilvl w:val="0"/>
          <w:numId w:val="46"/>
        </w:numPr>
        <w:spacing w:after="60"/>
        <w:ind w:left="567" w:right="-142" w:hanging="357"/>
        <w:contextualSpacing w:val="0"/>
        <w:jc w:val="both"/>
        <w:outlineLvl w:val="0"/>
        <w:rPr>
          <w:rFonts w:ascii="Times New Roman" w:hAnsi="Times New Roman"/>
        </w:rPr>
      </w:pPr>
      <w:r w:rsidRPr="00371F30">
        <w:rPr>
          <w:rFonts w:ascii="Times New Roman" w:hAnsi="Times New Roman"/>
        </w:rPr>
        <w:t>De l’Unité de Veille Sanitaire de la COI</w:t>
      </w:r>
      <w:r>
        <w:rPr>
          <w:rFonts w:ascii="Times New Roman" w:hAnsi="Times New Roman"/>
        </w:rPr>
        <w:t xml:space="preserve"> (UVS-COI)</w:t>
      </w:r>
      <w:r w:rsidRPr="00371F30">
        <w:rPr>
          <w:rFonts w:ascii="Times New Roman" w:hAnsi="Times New Roman"/>
        </w:rPr>
        <w:t xml:space="preserve"> qui assure la coordination</w:t>
      </w:r>
    </w:p>
    <w:p w14:paraId="0ED5E7C4" w14:textId="5C675382" w:rsidR="00371F30" w:rsidRPr="00371F30" w:rsidRDefault="00371F30" w:rsidP="004217E1">
      <w:pPr>
        <w:pStyle w:val="Paragraphedeliste"/>
        <w:numPr>
          <w:ilvl w:val="0"/>
          <w:numId w:val="46"/>
        </w:numPr>
        <w:spacing w:after="60"/>
        <w:ind w:left="567" w:right="-142" w:hanging="357"/>
        <w:contextualSpacing w:val="0"/>
        <w:jc w:val="both"/>
        <w:outlineLvl w:val="0"/>
        <w:rPr>
          <w:rFonts w:ascii="Times New Roman" w:hAnsi="Times New Roman"/>
        </w:rPr>
      </w:pPr>
      <w:r w:rsidRPr="00371F30">
        <w:rPr>
          <w:rFonts w:ascii="Times New Roman" w:hAnsi="Times New Roman"/>
        </w:rPr>
        <w:t>Le comité technique régional, qui est la plateforme principale d’échanges et d’orientation technique, et un organe consultatif</w:t>
      </w:r>
    </w:p>
    <w:p w14:paraId="02FB9AF1" w14:textId="155EE1E3" w:rsidR="00371F30" w:rsidRPr="00371F30" w:rsidRDefault="00371F30" w:rsidP="004217E1">
      <w:pPr>
        <w:pStyle w:val="Paragraphedeliste"/>
        <w:numPr>
          <w:ilvl w:val="0"/>
          <w:numId w:val="46"/>
        </w:numPr>
        <w:spacing w:after="60"/>
        <w:ind w:left="567" w:right="-142" w:hanging="357"/>
        <w:contextualSpacing w:val="0"/>
        <w:jc w:val="both"/>
        <w:outlineLvl w:val="0"/>
        <w:rPr>
          <w:rFonts w:ascii="Times New Roman" w:hAnsi="Times New Roman"/>
        </w:rPr>
      </w:pPr>
      <w:r w:rsidRPr="00371F30">
        <w:rPr>
          <w:rFonts w:ascii="Times New Roman" w:hAnsi="Times New Roman"/>
        </w:rPr>
        <w:t>Le comité de pilotage, qui est l’organe de décision</w:t>
      </w:r>
    </w:p>
    <w:p w14:paraId="7FC00F79" w14:textId="1E58D41D" w:rsidR="002E6A58" w:rsidRPr="004217E1" w:rsidRDefault="00371F30" w:rsidP="004217E1">
      <w:pPr>
        <w:spacing w:after="60"/>
        <w:ind w:right="-142"/>
        <w:jc w:val="both"/>
        <w:outlineLvl w:val="0"/>
        <w:rPr>
          <w:color w:val="000000" w:themeColor="text1"/>
          <w:sz w:val="22"/>
          <w:szCs w:val="22"/>
          <w:lang w:val="fr-FR"/>
        </w:rPr>
      </w:pPr>
      <w:r w:rsidRPr="004217E1">
        <w:rPr>
          <w:color w:val="000000" w:themeColor="text1"/>
          <w:sz w:val="22"/>
          <w:szCs w:val="22"/>
          <w:lang w:val="fr-FR"/>
        </w:rPr>
        <w:t xml:space="preserve">L’UVS-COI est une entité à part entière du Secrétariat général de la COI, rattachée à la Direction. De ce fait, l’UVS-COI et le réseau SEGA-One </w:t>
      </w:r>
      <w:proofErr w:type="spellStart"/>
      <w:r w:rsidRPr="004217E1">
        <w:rPr>
          <w:color w:val="000000" w:themeColor="text1"/>
          <w:sz w:val="22"/>
          <w:szCs w:val="22"/>
          <w:lang w:val="fr-FR"/>
        </w:rPr>
        <w:t>Health</w:t>
      </w:r>
      <w:proofErr w:type="spellEnd"/>
      <w:r w:rsidRPr="004217E1">
        <w:rPr>
          <w:color w:val="000000" w:themeColor="text1"/>
          <w:sz w:val="22"/>
          <w:szCs w:val="22"/>
          <w:lang w:val="fr-FR"/>
        </w:rPr>
        <w:t xml:space="preserve"> sont soumis aux instances de la COI</w:t>
      </w:r>
      <w:r w:rsidR="005D48FE" w:rsidRPr="004217E1">
        <w:rPr>
          <w:color w:val="000000" w:themeColor="text1"/>
          <w:sz w:val="22"/>
          <w:szCs w:val="22"/>
          <w:lang w:val="fr-FR"/>
        </w:rPr>
        <w:t xml:space="preserve"> (Officiers Permanents de Liaison</w:t>
      </w:r>
      <w:r w:rsidR="00D0041F" w:rsidRPr="004217E1">
        <w:rPr>
          <w:color w:val="000000" w:themeColor="text1"/>
          <w:sz w:val="22"/>
          <w:szCs w:val="22"/>
          <w:lang w:val="fr-FR"/>
        </w:rPr>
        <w:t xml:space="preserve">, </w:t>
      </w:r>
      <w:r w:rsidR="005D48FE" w:rsidRPr="004217E1">
        <w:rPr>
          <w:color w:val="000000" w:themeColor="text1"/>
          <w:sz w:val="22"/>
          <w:szCs w:val="22"/>
          <w:lang w:val="fr-FR"/>
        </w:rPr>
        <w:t>Conseil des ministres).</w:t>
      </w:r>
    </w:p>
    <w:p w14:paraId="50CE1F98" w14:textId="09AB8BD5" w:rsidR="00105A50" w:rsidRPr="004217E1" w:rsidRDefault="00105A50" w:rsidP="004217E1">
      <w:pPr>
        <w:spacing w:after="60"/>
        <w:ind w:right="-142"/>
        <w:jc w:val="both"/>
        <w:outlineLvl w:val="0"/>
        <w:rPr>
          <w:color w:val="000000" w:themeColor="text1"/>
          <w:sz w:val="22"/>
          <w:szCs w:val="22"/>
          <w:lang w:val="fr-FR"/>
        </w:rPr>
      </w:pPr>
      <w:r w:rsidRPr="004217E1">
        <w:rPr>
          <w:color w:val="000000" w:themeColor="text1"/>
          <w:sz w:val="22"/>
          <w:szCs w:val="22"/>
          <w:lang w:val="fr-FR"/>
        </w:rPr>
        <w:t xml:space="preserve">On peut ajouter à ces instances le comité ministériel sectoriel, regroupant les ministres de la santé et ceux en charge de l’élevage dans les </w:t>
      </w:r>
      <w:r w:rsidR="004217E1" w:rsidRPr="004217E1">
        <w:rPr>
          <w:color w:val="000000" w:themeColor="text1"/>
          <w:sz w:val="22"/>
          <w:szCs w:val="22"/>
          <w:lang w:val="fr-FR"/>
        </w:rPr>
        <w:t>États</w:t>
      </w:r>
      <w:r w:rsidRPr="004217E1">
        <w:rPr>
          <w:color w:val="000000" w:themeColor="text1"/>
          <w:sz w:val="22"/>
          <w:szCs w:val="22"/>
          <w:lang w:val="fr-FR"/>
        </w:rPr>
        <w:t xml:space="preserve"> membres. Ce comité peut être convoqué par le Secrétariat Général, en tant que de besoin.</w:t>
      </w:r>
    </w:p>
    <w:p w14:paraId="7A1097B0" w14:textId="69982243" w:rsidR="00753F75" w:rsidRDefault="00753F75" w:rsidP="004217E1">
      <w:pPr>
        <w:spacing w:after="60"/>
        <w:ind w:right="-142"/>
        <w:jc w:val="both"/>
        <w:outlineLvl w:val="0"/>
        <w:rPr>
          <w:color w:val="000000" w:themeColor="text1"/>
          <w:sz w:val="22"/>
          <w:szCs w:val="22"/>
          <w:lang w:val="fr-FR"/>
        </w:rPr>
      </w:pPr>
      <w:r w:rsidRPr="004946B9">
        <w:rPr>
          <w:sz w:val="22"/>
          <w:szCs w:val="22"/>
        </w:rPr>
        <w:t>Conformément aux engagements tenus par les États membres de la COI dans cette charte du réseau SEGA One Health, le 34ème conseil des ministres de la COI a validé le principe de création d’un Fonds SEGA One Health en février 2020, en vue de la pérennisation de ce réseau.</w:t>
      </w:r>
    </w:p>
    <w:p w14:paraId="77523E43" w14:textId="128B0377" w:rsidR="00D0041F" w:rsidRPr="004217E1" w:rsidRDefault="00D0041F" w:rsidP="004217E1">
      <w:pPr>
        <w:spacing w:after="60"/>
        <w:ind w:right="-142"/>
        <w:jc w:val="both"/>
        <w:outlineLvl w:val="0"/>
        <w:rPr>
          <w:color w:val="000000" w:themeColor="text1"/>
          <w:sz w:val="22"/>
          <w:szCs w:val="22"/>
          <w:lang w:val="fr-FR"/>
        </w:rPr>
      </w:pPr>
      <w:r w:rsidRPr="004217E1">
        <w:rPr>
          <w:color w:val="000000" w:themeColor="text1"/>
          <w:sz w:val="22"/>
          <w:szCs w:val="22"/>
          <w:lang w:val="fr-FR"/>
        </w:rPr>
        <w:t xml:space="preserve">Le réseau SEGA One </w:t>
      </w:r>
      <w:proofErr w:type="spellStart"/>
      <w:r w:rsidRPr="004217E1">
        <w:rPr>
          <w:color w:val="000000" w:themeColor="text1"/>
          <w:sz w:val="22"/>
          <w:szCs w:val="22"/>
          <w:lang w:val="fr-FR"/>
        </w:rPr>
        <w:t>Health</w:t>
      </w:r>
      <w:proofErr w:type="spellEnd"/>
      <w:r w:rsidRPr="004217E1">
        <w:rPr>
          <w:color w:val="000000" w:themeColor="text1"/>
          <w:sz w:val="22"/>
          <w:szCs w:val="22"/>
          <w:lang w:val="fr-FR"/>
        </w:rPr>
        <w:t xml:space="preserve"> est en cours de pérennisation. Dans ce cadre, la structure actuelle de l’UVS-COI pourrait évoluer, mais elle restera toujours l’entité de coordination du réseau.</w:t>
      </w:r>
      <w:r w:rsidR="004217E1">
        <w:rPr>
          <w:color w:val="000000" w:themeColor="text1"/>
          <w:sz w:val="22"/>
          <w:szCs w:val="22"/>
          <w:lang w:val="fr-FR"/>
        </w:rPr>
        <w:t xml:space="preserve"> </w:t>
      </w:r>
      <w:r w:rsidR="004217E1" w:rsidRPr="00941F00">
        <w:rPr>
          <w:b/>
          <w:bCs/>
          <w:i/>
          <w:iCs/>
          <w:color w:val="000000" w:themeColor="text1"/>
          <w:sz w:val="22"/>
          <w:szCs w:val="22"/>
          <w:lang w:val="fr-FR"/>
        </w:rPr>
        <w:t xml:space="preserve">L’évolution de l’UVS-COI vers un Institut Régional de Santé, </w:t>
      </w:r>
      <w:r w:rsidR="00941F00" w:rsidRPr="00941F00">
        <w:rPr>
          <w:b/>
          <w:bCs/>
          <w:i/>
          <w:iCs/>
          <w:color w:val="000000" w:themeColor="text1"/>
          <w:sz w:val="22"/>
          <w:szCs w:val="22"/>
          <w:lang w:val="fr-FR"/>
        </w:rPr>
        <w:t xml:space="preserve">une entité pérenne </w:t>
      </w:r>
      <w:r w:rsidR="004217E1" w:rsidRPr="00941F00">
        <w:rPr>
          <w:b/>
          <w:bCs/>
          <w:i/>
          <w:iCs/>
          <w:color w:val="000000" w:themeColor="text1"/>
          <w:sz w:val="22"/>
          <w:szCs w:val="22"/>
          <w:lang w:val="fr-FR"/>
        </w:rPr>
        <w:t>au sein de la COI</w:t>
      </w:r>
      <w:r w:rsidR="004217E1">
        <w:rPr>
          <w:color w:val="000000" w:themeColor="text1"/>
          <w:sz w:val="22"/>
          <w:szCs w:val="22"/>
          <w:lang w:val="fr-FR"/>
        </w:rPr>
        <w:t xml:space="preserve"> fait aussi partie des priorités</w:t>
      </w:r>
    </w:p>
    <w:p w14:paraId="73E6FA5D" w14:textId="449840C1" w:rsidR="00371F30" w:rsidRPr="004217E1" w:rsidRDefault="00371F30" w:rsidP="004217E1">
      <w:pPr>
        <w:spacing w:after="60"/>
        <w:ind w:right="-142"/>
        <w:jc w:val="both"/>
        <w:outlineLvl w:val="0"/>
        <w:rPr>
          <w:color w:val="000000" w:themeColor="text1"/>
          <w:sz w:val="22"/>
          <w:szCs w:val="22"/>
          <w:lang w:val="fr-FR"/>
        </w:rPr>
      </w:pPr>
      <w:r w:rsidRPr="004217E1">
        <w:rPr>
          <w:color w:val="000000" w:themeColor="text1"/>
          <w:sz w:val="22"/>
          <w:szCs w:val="22"/>
          <w:lang w:val="fr-FR"/>
        </w:rPr>
        <w:t xml:space="preserve">Au niveau des </w:t>
      </w:r>
      <w:r w:rsidR="005D48FE" w:rsidRPr="004217E1">
        <w:rPr>
          <w:color w:val="000000" w:themeColor="text1"/>
          <w:sz w:val="22"/>
          <w:szCs w:val="22"/>
          <w:lang w:val="fr-FR"/>
        </w:rPr>
        <w:t>États</w:t>
      </w:r>
      <w:r w:rsidRPr="004217E1">
        <w:rPr>
          <w:color w:val="000000" w:themeColor="text1"/>
          <w:sz w:val="22"/>
          <w:szCs w:val="22"/>
          <w:lang w:val="fr-FR"/>
        </w:rPr>
        <w:t xml:space="preserve"> membres, le réseau dispose des Points focaux nationaux</w:t>
      </w:r>
      <w:r w:rsidR="00941F00">
        <w:rPr>
          <w:color w:val="000000" w:themeColor="text1"/>
          <w:sz w:val="22"/>
          <w:szCs w:val="22"/>
          <w:lang w:val="fr-FR"/>
        </w:rPr>
        <w:t xml:space="preserve"> (</w:t>
      </w:r>
      <w:r w:rsidRPr="004217E1">
        <w:rPr>
          <w:color w:val="000000" w:themeColor="text1"/>
          <w:sz w:val="22"/>
          <w:szCs w:val="22"/>
          <w:lang w:val="fr-FR"/>
        </w:rPr>
        <w:t>PFN</w:t>
      </w:r>
      <w:r w:rsidR="00941F00">
        <w:rPr>
          <w:color w:val="000000" w:themeColor="text1"/>
          <w:sz w:val="22"/>
          <w:szCs w:val="22"/>
          <w:lang w:val="fr-FR"/>
        </w:rPr>
        <w:t>) qui sont les principaux interlocuteurs de l’UVS-COI</w:t>
      </w:r>
      <w:r w:rsidRPr="004217E1">
        <w:rPr>
          <w:color w:val="000000" w:themeColor="text1"/>
          <w:sz w:val="22"/>
          <w:szCs w:val="22"/>
          <w:lang w:val="fr-FR"/>
        </w:rPr>
        <w:t xml:space="preserve">. Il y a un PFN </w:t>
      </w:r>
      <w:r w:rsidR="00941F00">
        <w:rPr>
          <w:color w:val="000000" w:themeColor="text1"/>
          <w:sz w:val="22"/>
          <w:szCs w:val="22"/>
          <w:lang w:val="fr-FR"/>
        </w:rPr>
        <w:t xml:space="preserve">et un PFN adjoint </w:t>
      </w:r>
      <w:r w:rsidRPr="004217E1">
        <w:rPr>
          <w:color w:val="000000" w:themeColor="text1"/>
          <w:sz w:val="22"/>
          <w:szCs w:val="22"/>
          <w:lang w:val="fr-FR"/>
        </w:rPr>
        <w:t>par secteur (santé humaine et santé animale).</w:t>
      </w:r>
    </w:p>
    <w:p w14:paraId="69294051" w14:textId="30239636" w:rsidR="00746F8B" w:rsidRPr="004217E1" w:rsidRDefault="005D48FE" w:rsidP="004217E1">
      <w:pPr>
        <w:spacing w:after="60"/>
        <w:ind w:right="-142"/>
        <w:jc w:val="both"/>
        <w:outlineLvl w:val="0"/>
        <w:rPr>
          <w:color w:val="000000" w:themeColor="text1"/>
          <w:sz w:val="22"/>
          <w:szCs w:val="22"/>
          <w:lang w:val="fr-FR"/>
        </w:rPr>
      </w:pPr>
      <w:r w:rsidRPr="004217E1">
        <w:rPr>
          <w:color w:val="000000" w:themeColor="text1"/>
          <w:sz w:val="22"/>
          <w:szCs w:val="22"/>
          <w:lang w:val="fr-FR"/>
        </w:rPr>
        <w:t xml:space="preserve">En pratique, le réseau SEGA One </w:t>
      </w:r>
      <w:proofErr w:type="spellStart"/>
      <w:r w:rsidRPr="004217E1">
        <w:rPr>
          <w:color w:val="000000" w:themeColor="text1"/>
          <w:sz w:val="22"/>
          <w:szCs w:val="22"/>
          <w:lang w:val="fr-FR"/>
        </w:rPr>
        <w:t>Health</w:t>
      </w:r>
      <w:proofErr w:type="spellEnd"/>
      <w:r w:rsidRPr="004217E1">
        <w:rPr>
          <w:color w:val="000000" w:themeColor="text1"/>
          <w:sz w:val="22"/>
          <w:szCs w:val="22"/>
          <w:lang w:val="fr-FR"/>
        </w:rPr>
        <w:t xml:space="preserve"> est constitué de plus de 300 membres issus de différents départements ministériels des États membres</w:t>
      </w:r>
      <w:r w:rsidR="00746F8B" w:rsidRPr="004217E1">
        <w:rPr>
          <w:color w:val="000000" w:themeColor="text1"/>
          <w:sz w:val="22"/>
          <w:szCs w:val="22"/>
          <w:lang w:val="fr-FR"/>
        </w:rPr>
        <w:t xml:space="preserve"> et des </w:t>
      </w:r>
      <w:r w:rsidR="00105A50" w:rsidRPr="004217E1">
        <w:rPr>
          <w:color w:val="000000" w:themeColor="text1"/>
          <w:sz w:val="22"/>
          <w:szCs w:val="22"/>
          <w:lang w:val="fr-FR"/>
        </w:rPr>
        <w:t>partenaires opérationnels.</w:t>
      </w:r>
      <w:r w:rsidR="00746F8B" w:rsidRPr="004217E1">
        <w:rPr>
          <w:color w:val="000000" w:themeColor="text1"/>
          <w:sz w:val="22"/>
          <w:szCs w:val="22"/>
          <w:lang w:val="fr-FR"/>
        </w:rPr>
        <w:t xml:space="preserve"> Le réseau est structuré en plusieurs sous-réseaux correspondant aux domaines stratégiques ou </w:t>
      </w:r>
      <w:r w:rsidR="00105A50" w:rsidRPr="004217E1">
        <w:rPr>
          <w:color w:val="000000" w:themeColor="text1"/>
          <w:sz w:val="22"/>
          <w:szCs w:val="22"/>
          <w:lang w:val="fr-FR"/>
        </w:rPr>
        <w:t>pôles thématiques</w:t>
      </w:r>
      <w:r w:rsidR="00746F8B" w:rsidRPr="004217E1">
        <w:rPr>
          <w:color w:val="000000" w:themeColor="text1"/>
          <w:sz w:val="22"/>
          <w:szCs w:val="22"/>
          <w:lang w:val="fr-FR"/>
        </w:rPr>
        <w:t xml:space="preserve"> d’excellence</w:t>
      </w:r>
      <w:r w:rsidR="00D0041F" w:rsidRPr="004217E1">
        <w:rPr>
          <w:color w:val="000000" w:themeColor="text1"/>
          <w:sz w:val="22"/>
          <w:szCs w:val="22"/>
          <w:lang w:val="fr-FR"/>
        </w:rPr>
        <w:t xml:space="preserve">. </w:t>
      </w:r>
      <w:r w:rsidR="00941F00">
        <w:rPr>
          <w:color w:val="000000" w:themeColor="text1"/>
          <w:sz w:val="22"/>
          <w:szCs w:val="22"/>
          <w:lang w:val="fr-FR"/>
        </w:rPr>
        <w:t>En plus des PFN, des</w:t>
      </w:r>
      <w:r w:rsidR="00D0041F" w:rsidRPr="004217E1">
        <w:rPr>
          <w:color w:val="000000" w:themeColor="text1"/>
          <w:sz w:val="22"/>
          <w:szCs w:val="22"/>
          <w:lang w:val="fr-FR"/>
        </w:rPr>
        <w:t xml:space="preserve"> responsable</w:t>
      </w:r>
      <w:r w:rsidR="00941F00">
        <w:rPr>
          <w:color w:val="000000" w:themeColor="text1"/>
          <w:sz w:val="22"/>
          <w:szCs w:val="22"/>
          <w:lang w:val="fr-FR"/>
        </w:rPr>
        <w:t>s</w:t>
      </w:r>
      <w:r w:rsidR="00D0041F" w:rsidRPr="004217E1">
        <w:rPr>
          <w:color w:val="000000" w:themeColor="text1"/>
          <w:sz w:val="22"/>
          <w:szCs w:val="22"/>
          <w:lang w:val="fr-FR"/>
        </w:rPr>
        <w:t xml:space="preserve"> thématique</w:t>
      </w:r>
      <w:r w:rsidR="00941F00">
        <w:rPr>
          <w:color w:val="000000" w:themeColor="text1"/>
          <w:sz w:val="22"/>
          <w:szCs w:val="22"/>
          <w:lang w:val="fr-FR"/>
        </w:rPr>
        <w:t>s</w:t>
      </w:r>
      <w:r w:rsidR="00D0041F" w:rsidRPr="004217E1">
        <w:rPr>
          <w:color w:val="000000" w:themeColor="text1"/>
          <w:sz w:val="22"/>
          <w:szCs w:val="22"/>
          <w:lang w:val="fr-FR"/>
        </w:rPr>
        <w:t xml:space="preserve"> </w:t>
      </w:r>
      <w:r w:rsidR="00941F00">
        <w:rPr>
          <w:color w:val="000000" w:themeColor="text1"/>
          <w:sz w:val="22"/>
          <w:szCs w:val="22"/>
          <w:lang w:val="fr-FR"/>
        </w:rPr>
        <w:t xml:space="preserve">seront désignés pour chaque </w:t>
      </w:r>
      <w:r w:rsidR="00D0041F" w:rsidRPr="004217E1">
        <w:rPr>
          <w:color w:val="000000" w:themeColor="text1"/>
          <w:sz w:val="22"/>
          <w:szCs w:val="22"/>
          <w:lang w:val="fr-FR"/>
        </w:rPr>
        <w:t>par pays.</w:t>
      </w:r>
    </w:p>
    <w:p w14:paraId="3B8F3C98" w14:textId="619154CC" w:rsidR="00105A50" w:rsidRDefault="00173931" w:rsidP="004217E1">
      <w:pPr>
        <w:spacing w:after="60"/>
        <w:ind w:right="-142"/>
        <w:jc w:val="both"/>
        <w:outlineLvl w:val="0"/>
        <w:rPr>
          <w:color w:val="000000" w:themeColor="text1"/>
          <w:sz w:val="22"/>
          <w:szCs w:val="22"/>
          <w:lang w:val="fr-FR"/>
        </w:rPr>
      </w:pPr>
      <w:r w:rsidRPr="004217E1">
        <w:rPr>
          <w:color w:val="000000" w:themeColor="text1"/>
          <w:sz w:val="22"/>
          <w:szCs w:val="22"/>
          <w:lang w:val="fr-FR"/>
        </w:rPr>
        <w:t xml:space="preserve">Le réseau SEGA One </w:t>
      </w:r>
      <w:proofErr w:type="spellStart"/>
      <w:r w:rsidRPr="004217E1">
        <w:rPr>
          <w:color w:val="000000" w:themeColor="text1"/>
          <w:sz w:val="22"/>
          <w:szCs w:val="22"/>
          <w:lang w:val="fr-FR"/>
        </w:rPr>
        <w:t>Health</w:t>
      </w:r>
      <w:proofErr w:type="spellEnd"/>
      <w:r w:rsidRPr="004217E1">
        <w:rPr>
          <w:color w:val="000000" w:themeColor="text1"/>
          <w:sz w:val="22"/>
          <w:szCs w:val="22"/>
          <w:lang w:val="fr-FR"/>
        </w:rPr>
        <w:t xml:space="preserve"> est soutenu par plusieurs projets dont les objectifs sont compatibles avec les domaines stratégiques </w:t>
      </w:r>
      <w:proofErr w:type="spellStart"/>
      <w:r w:rsidRPr="004217E1">
        <w:rPr>
          <w:color w:val="000000" w:themeColor="text1"/>
          <w:sz w:val="22"/>
          <w:szCs w:val="22"/>
          <w:lang w:val="fr-FR"/>
        </w:rPr>
        <w:t>sus-citées</w:t>
      </w:r>
      <w:proofErr w:type="spellEnd"/>
      <w:r w:rsidRPr="004217E1">
        <w:rPr>
          <w:color w:val="000000" w:themeColor="text1"/>
          <w:sz w:val="22"/>
          <w:szCs w:val="22"/>
          <w:lang w:val="fr-FR"/>
        </w:rPr>
        <w:t>. Actuellement, il y a le projet RSIE3 (financement AFD) et le projet RSIE4 (financement Union Européenn</w:t>
      </w:r>
      <w:r w:rsidR="0021083B">
        <w:rPr>
          <w:color w:val="000000" w:themeColor="text1"/>
          <w:sz w:val="22"/>
          <w:szCs w:val="22"/>
          <w:lang w:val="fr-FR"/>
        </w:rPr>
        <w:t>e</w:t>
      </w:r>
      <w:r w:rsidRPr="004217E1">
        <w:rPr>
          <w:color w:val="000000" w:themeColor="text1"/>
          <w:sz w:val="22"/>
          <w:szCs w:val="22"/>
          <w:lang w:val="fr-FR"/>
        </w:rPr>
        <w:t>).</w:t>
      </w:r>
    </w:p>
    <w:p w14:paraId="1F6EF32C" w14:textId="77777777" w:rsidR="002A3C2A" w:rsidRPr="004217E1" w:rsidRDefault="002A3C2A" w:rsidP="004217E1">
      <w:pPr>
        <w:spacing w:after="60"/>
        <w:ind w:right="-142"/>
        <w:jc w:val="both"/>
        <w:outlineLvl w:val="0"/>
        <w:rPr>
          <w:color w:val="000000" w:themeColor="text1"/>
          <w:sz w:val="22"/>
          <w:szCs w:val="22"/>
          <w:lang w:val="fr-FR"/>
        </w:rPr>
      </w:pPr>
    </w:p>
    <w:p w14:paraId="1ECB6C9A" w14:textId="761E3B4E" w:rsidR="00105A50" w:rsidRDefault="00105A50" w:rsidP="00105A50">
      <w:pPr>
        <w:pStyle w:val="Paragraphedeliste"/>
        <w:numPr>
          <w:ilvl w:val="0"/>
          <w:numId w:val="37"/>
        </w:numPr>
        <w:tabs>
          <w:tab w:val="left" w:pos="426"/>
          <w:tab w:val="left" w:pos="567"/>
        </w:tabs>
        <w:spacing w:before="240" w:after="120"/>
        <w:ind w:left="0" w:right="-142" w:firstLine="0"/>
        <w:outlineLvl w:val="0"/>
        <w:rPr>
          <w:rFonts w:ascii="Times New Roman" w:eastAsiaTheme="minorEastAsia" w:hAnsi="Times New Roman"/>
          <w:b/>
          <w:color w:val="00B0F0"/>
          <w:sz w:val="24"/>
          <w:szCs w:val="24"/>
        </w:rPr>
      </w:pPr>
      <w:r>
        <w:rPr>
          <w:rFonts w:ascii="Times New Roman" w:eastAsiaTheme="minorEastAsia" w:hAnsi="Times New Roman"/>
          <w:b/>
          <w:color w:val="00B0F0"/>
          <w:sz w:val="24"/>
          <w:szCs w:val="24"/>
        </w:rPr>
        <w:lastRenderedPageBreak/>
        <w:t>Suivi-évaluation</w:t>
      </w:r>
    </w:p>
    <w:p w14:paraId="6A0D643D" w14:textId="7F655799" w:rsidR="00105A50" w:rsidRDefault="00105A50" w:rsidP="0021083B">
      <w:pPr>
        <w:spacing w:after="60"/>
        <w:ind w:right="-142"/>
        <w:jc w:val="both"/>
        <w:outlineLvl w:val="0"/>
        <w:rPr>
          <w:sz w:val="22"/>
          <w:szCs w:val="22"/>
          <w:lang w:val="fr-FR"/>
        </w:rPr>
      </w:pPr>
      <w:r>
        <w:rPr>
          <w:sz w:val="22"/>
          <w:szCs w:val="22"/>
          <w:lang w:val="fr-FR"/>
        </w:rPr>
        <w:t xml:space="preserve">Le </w:t>
      </w:r>
      <w:r w:rsidRPr="0021083B">
        <w:rPr>
          <w:color w:val="000000" w:themeColor="text1"/>
          <w:sz w:val="22"/>
          <w:szCs w:val="22"/>
          <w:lang w:val="fr-FR"/>
        </w:rPr>
        <w:t>suivi</w:t>
      </w:r>
      <w:r>
        <w:rPr>
          <w:sz w:val="22"/>
          <w:szCs w:val="22"/>
          <w:lang w:val="fr-FR"/>
        </w:rPr>
        <w:t>-évaluation de la mise en œuvre de cette politique régionale de santé se fera à travers :</w:t>
      </w:r>
    </w:p>
    <w:p w14:paraId="6DDE75C0" w14:textId="478DED51" w:rsidR="00105A50" w:rsidRPr="00173931" w:rsidRDefault="00105A50" w:rsidP="0021083B">
      <w:pPr>
        <w:pStyle w:val="Paragraphedeliste"/>
        <w:numPr>
          <w:ilvl w:val="0"/>
          <w:numId w:val="46"/>
        </w:numPr>
        <w:spacing w:after="60"/>
        <w:ind w:left="567" w:right="-142" w:hanging="357"/>
        <w:contextualSpacing w:val="0"/>
        <w:jc w:val="both"/>
        <w:outlineLvl w:val="0"/>
        <w:rPr>
          <w:rFonts w:ascii="Times New Roman" w:hAnsi="Times New Roman"/>
        </w:rPr>
      </w:pPr>
      <w:r w:rsidRPr="00173931">
        <w:rPr>
          <w:rFonts w:ascii="Times New Roman" w:hAnsi="Times New Roman"/>
        </w:rPr>
        <w:t xml:space="preserve">Les réunions des instances du réseau SEGA One </w:t>
      </w:r>
      <w:proofErr w:type="spellStart"/>
      <w:r w:rsidRPr="00173931">
        <w:rPr>
          <w:rFonts w:ascii="Times New Roman" w:hAnsi="Times New Roman"/>
        </w:rPr>
        <w:t>Health</w:t>
      </w:r>
      <w:proofErr w:type="spellEnd"/>
      <w:r w:rsidRPr="00173931">
        <w:rPr>
          <w:rFonts w:ascii="Times New Roman" w:hAnsi="Times New Roman"/>
        </w:rPr>
        <w:t xml:space="preserve"> (comité technique régional et comité de pilotage)</w:t>
      </w:r>
    </w:p>
    <w:p w14:paraId="2AD61B83" w14:textId="2EE0CAA4" w:rsidR="00105A50" w:rsidRPr="00173931" w:rsidRDefault="00105A50" w:rsidP="0021083B">
      <w:pPr>
        <w:pStyle w:val="Paragraphedeliste"/>
        <w:numPr>
          <w:ilvl w:val="0"/>
          <w:numId w:val="46"/>
        </w:numPr>
        <w:spacing w:after="60"/>
        <w:ind w:left="567" w:right="-142" w:hanging="357"/>
        <w:contextualSpacing w:val="0"/>
        <w:jc w:val="both"/>
        <w:outlineLvl w:val="0"/>
        <w:rPr>
          <w:rFonts w:ascii="Times New Roman" w:hAnsi="Times New Roman"/>
        </w:rPr>
      </w:pPr>
      <w:r w:rsidRPr="00173931">
        <w:rPr>
          <w:rFonts w:ascii="Times New Roman" w:hAnsi="Times New Roman"/>
        </w:rPr>
        <w:t>Les réunions des instances de la COI (comité des OPL, conseil des ministres).</w:t>
      </w:r>
    </w:p>
    <w:p w14:paraId="00CAC468" w14:textId="656C5136" w:rsidR="00105A50" w:rsidRPr="00173931" w:rsidRDefault="00105A50" w:rsidP="0021083B">
      <w:pPr>
        <w:pStyle w:val="Paragraphedeliste"/>
        <w:numPr>
          <w:ilvl w:val="0"/>
          <w:numId w:val="46"/>
        </w:numPr>
        <w:spacing w:after="60"/>
        <w:ind w:left="567" w:right="-142" w:hanging="357"/>
        <w:contextualSpacing w:val="0"/>
        <w:jc w:val="both"/>
        <w:outlineLvl w:val="0"/>
        <w:rPr>
          <w:rFonts w:ascii="Times New Roman" w:hAnsi="Times New Roman"/>
        </w:rPr>
      </w:pPr>
      <w:r w:rsidRPr="00173931">
        <w:rPr>
          <w:rFonts w:ascii="Times New Roman" w:hAnsi="Times New Roman"/>
        </w:rPr>
        <w:t>Les réunions de suivi interne au niveau de la COI.</w:t>
      </w:r>
    </w:p>
    <w:p w14:paraId="07746953" w14:textId="145D2E2E" w:rsidR="00105A50" w:rsidRPr="00173931" w:rsidRDefault="00105A50" w:rsidP="0021083B">
      <w:pPr>
        <w:pStyle w:val="Paragraphedeliste"/>
        <w:numPr>
          <w:ilvl w:val="0"/>
          <w:numId w:val="46"/>
        </w:numPr>
        <w:spacing w:after="60"/>
        <w:ind w:left="567" w:right="-142" w:hanging="357"/>
        <w:contextualSpacing w:val="0"/>
        <w:jc w:val="both"/>
        <w:outlineLvl w:val="0"/>
        <w:rPr>
          <w:rFonts w:ascii="Times New Roman" w:hAnsi="Times New Roman"/>
        </w:rPr>
      </w:pPr>
      <w:r w:rsidRPr="00173931">
        <w:rPr>
          <w:rFonts w:ascii="Times New Roman" w:hAnsi="Times New Roman"/>
        </w:rPr>
        <w:t>Les audits internes de la COI</w:t>
      </w:r>
    </w:p>
    <w:p w14:paraId="55C14F76" w14:textId="42BE1A08" w:rsidR="00105A50" w:rsidRDefault="00105A50" w:rsidP="0021083B">
      <w:pPr>
        <w:pStyle w:val="Paragraphedeliste"/>
        <w:numPr>
          <w:ilvl w:val="0"/>
          <w:numId w:val="46"/>
        </w:numPr>
        <w:spacing w:after="60"/>
        <w:ind w:left="567" w:right="-142" w:hanging="357"/>
        <w:contextualSpacing w:val="0"/>
        <w:jc w:val="both"/>
        <w:outlineLvl w:val="0"/>
        <w:rPr>
          <w:rFonts w:ascii="Times New Roman" w:hAnsi="Times New Roman"/>
        </w:rPr>
      </w:pPr>
      <w:r w:rsidRPr="00173931">
        <w:rPr>
          <w:rFonts w:ascii="Times New Roman" w:hAnsi="Times New Roman"/>
        </w:rPr>
        <w:t>Les audits externes</w:t>
      </w:r>
    </w:p>
    <w:p w14:paraId="11F9815F" w14:textId="63D10D84" w:rsidR="0021083B" w:rsidRPr="00173931" w:rsidRDefault="0021083B" w:rsidP="0021083B">
      <w:pPr>
        <w:pStyle w:val="Paragraphedeliste"/>
        <w:numPr>
          <w:ilvl w:val="0"/>
          <w:numId w:val="46"/>
        </w:numPr>
        <w:spacing w:after="60"/>
        <w:ind w:left="567" w:right="-142" w:hanging="357"/>
        <w:contextualSpacing w:val="0"/>
        <w:jc w:val="both"/>
        <w:outlineLvl w:val="0"/>
        <w:rPr>
          <w:rFonts w:ascii="Times New Roman" w:hAnsi="Times New Roman"/>
        </w:rPr>
      </w:pPr>
      <w:r>
        <w:rPr>
          <w:rFonts w:ascii="Times New Roman" w:hAnsi="Times New Roman"/>
        </w:rPr>
        <w:t>Les réunions de suivi avec les bailleurs, en fonction de l’organisation des projets en cours.</w:t>
      </w:r>
    </w:p>
    <w:p w14:paraId="3C6A1E67" w14:textId="660067C1" w:rsidR="00105A50" w:rsidRDefault="00105A50" w:rsidP="0021083B">
      <w:pPr>
        <w:pStyle w:val="Paragraphedeliste"/>
        <w:numPr>
          <w:ilvl w:val="0"/>
          <w:numId w:val="46"/>
        </w:numPr>
        <w:spacing w:after="60"/>
        <w:ind w:left="567" w:right="-142" w:hanging="357"/>
        <w:contextualSpacing w:val="0"/>
        <w:jc w:val="both"/>
        <w:outlineLvl w:val="0"/>
        <w:rPr>
          <w:rFonts w:ascii="Times New Roman" w:hAnsi="Times New Roman"/>
        </w:rPr>
      </w:pPr>
      <w:r w:rsidRPr="00173931">
        <w:rPr>
          <w:rFonts w:ascii="Times New Roman" w:hAnsi="Times New Roman"/>
        </w:rPr>
        <w:t>Les différentes évaluations (mi-parcours, finale) des différents projets.</w:t>
      </w:r>
    </w:p>
    <w:p w14:paraId="3899390C" w14:textId="11EEE515" w:rsidR="0021083B" w:rsidRPr="00173931" w:rsidRDefault="0021083B" w:rsidP="0021083B">
      <w:pPr>
        <w:pStyle w:val="Paragraphedeliste"/>
        <w:numPr>
          <w:ilvl w:val="0"/>
          <w:numId w:val="46"/>
        </w:numPr>
        <w:spacing w:after="60"/>
        <w:ind w:left="567" w:right="-142" w:hanging="357"/>
        <w:contextualSpacing w:val="0"/>
        <w:jc w:val="both"/>
        <w:outlineLvl w:val="0"/>
        <w:rPr>
          <w:rFonts w:ascii="Times New Roman" w:hAnsi="Times New Roman"/>
        </w:rPr>
      </w:pPr>
      <w:r>
        <w:rPr>
          <w:rFonts w:ascii="Times New Roman" w:hAnsi="Times New Roman"/>
        </w:rPr>
        <w:t>Les réalisations et les avancées par rapport aux différentes priorités établies, ainsi que le</w:t>
      </w:r>
      <w:r w:rsidR="00D24079">
        <w:rPr>
          <w:rFonts w:ascii="Times New Roman" w:hAnsi="Times New Roman"/>
        </w:rPr>
        <w:t>ur</w:t>
      </w:r>
      <w:r>
        <w:rPr>
          <w:rFonts w:ascii="Times New Roman" w:hAnsi="Times New Roman"/>
        </w:rPr>
        <w:t>s</w:t>
      </w:r>
      <w:r w:rsidR="00D24079">
        <w:rPr>
          <w:rFonts w:ascii="Times New Roman" w:hAnsi="Times New Roman"/>
        </w:rPr>
        <w:t xml:space="preserve"> impacts sur la sécurité sanitaire dans la région seront traduits dans un</w:t>
      </w:r>
      <w:r w:rsidR="00446C07">
        <w:rPr>
          <w:rFonts w:ascii="Times New Roman" w:hAnsi="Times New Roman"/>
        </w:rPr>
        <w:t xml:space="preserve"> cadre logique.</w:t>
      </w:r>
    </w:p>
    <w:p w14:paraId="3F90089B" w14:textId="3C99A674" w:rsidR="00E251CE" w:rsidRPr="00E251CE" w:rsidRDefault="00E251CE" w:rsidP="00E251CE">
      <w:pPr>
        <w:spacing w:after="80"/>
        <w:rPr>
          <w:rFonts w:eastAsiaTheme="minorEastAsia"/>
          <w:b/>
          <w:color w:val="00B0F0"/>
        </w:rPr>
      </w:pPr>
    </w:p>
    <w:sectPr w:rsidR="00E251CE" w:rsidRPr="00E251CE" w:rsidSect="003521DD">
      <w:headerReference w:type="even" r:id="rId9"/>
      <w:headerReference w:type="default" r:id="rId10"/>
      <w:footerReference w:type="even" r:id="rId11"/>
      <w:footerReference w:type="default" r:id="rId12"/>
      <w:headerReference w:type="first" r:id="rId13"/>
      <w:footerReference w:type="first" r:id="rId14"/>
      <w:type w:val="continuous"/>
      <w:pgSz w:w="11906" w:h="16838"/>
      <w:pgMar w:top="1530" w:right="1134" w:bottom="1304" w:left="1134" w:header="612" w:footer="8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FE220" w14:textId="77777777" w:rsidR="00D21063" w:rsidRDefault="00D21063">
      <w:r>
        <w:separator/>
      </w:r>
    </w:p>
  </w:endnote>
  <w:endnote w:type="continuationSeparator" w:id="0">
    <w:p w14:paraId="1F462D32" w14:textId="77777777" w:rsidR="00D21063" w:rsidRDefault="00D2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BEF1" w14:textId="77777777" w:rsidR="00F23943" w:rsidRDefault="004E54E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550E004" w14:textId="77777777" w:rsidR="00F23943" w:rsidRDefault="00F2394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2F66" w14:textId="21EF7297" w:rsidR="00F23943" w:rsidRDefault="004E54E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A2872">
      <w:rPr>
        <w:rStyle w:val="Numrodepage"/>
        <w:noProof/>
      </w:rPr>
      <w:t>7</w:t>
    </w:r>
    <w:r>
      <w:rPr>
        <w:rStyle w:val="Numrodepage"/>
      </w:rPr>
      <w:fldChar w:fldCharType="end"/>
    </w:r>
  </w:p>
  <w:p w14:paraId="634F3ECF" w14:textId="77777777" w:rsidR="00F23943" w:rsidRDefault="004E54E1">
    <w:pPr>
      <w:pStyle w:val="Pieddepage"/>
      <w:spacing w:before="120"/>
      <w:ind w:right="360"/>
      <w:jc w:val="right"/>
    </w:pPr>
    <w:r>
      <w:rPr>
        <w:noProof/>
        <w:lang w:val="en-US"/>
      </w:rPr>
      <w:drawing>
        <wp:anchor distT="0" distB="0" distL="114300" distR="114300" simplePos="0" relativeHeight="251661312" behindDoc="0" locked="0" layoutInCell="1" allowOverlap="1" wp14:anchorId="5F02B963" wp14:editId="068EF764">
          <wp:simplePos x="0" y="0"/>
          <wp:positionH relativeFrom="column">
            <wp:posOffset>-140739</wp:posOffset>
          </wp:positionH>
          <wp:positionV relativeFrom="paragraph">
            <wp:posOffset>-61133</wp:posOffset>
          </wp:positionV>
          <wp:extent cx="1512000" cy="581630"/>
          <wp:effectExtent l="0" t="0" r="0" b="317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342" r="81231" b="16981"/>
                  <a:stretch/>
                </pic:blipFill>
                <pic:spPr bwMode="auto">
                  <a:xfrm>
                    <a:off x="0" y="0"/>
                    <a:ext cx="1512000" cy="581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0" locked="0" layoutInCell="1" allowOverlap="1" wp14:anchorId="35B56470" wp14:editId="0ADADD81">
          <wp:simplePos x="0" y="0"/>
          <wp:positionH relativeFrom="column">
            <wp:posOffset>-175053</wp:posOffset>
          </wp:positionH>
          <wp:positionV relativeFrom="paragraph">
            <wp:posOffset>-40640</wp:posOffset>
          </wp:positionV>
          <wp:extent cx="6864985" cy="5524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91657"/>
                  <a:stretch/>
                </pic:blipFill>
                <pic:spPr bwMode="auto">
                  <a:xfrm>
                    <a:off x="0" y="0"/>
                    <a:ext cx="6864985" cy="55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FFA8" w14:textId="77777777" w:rsidR="00FE4EE5" w:rsidRDefault="00FE4E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B25B" w14:textId="77777777" w:rsidR="00D21063" w:rsidRDefault="00D21063">
      <w:r>
        <w:separator/>
      </w:r>
    </w:p>
  </w:footnote>
  <w:footnote w:type="continuationSeparator" w:id="0">
    <w:p w14:paraId="41CA10E9" w14:textId="77777777" w:rsidR="00D21063" w:rsidRDefault="00D2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E215" w14:textId="5A323EC8" w:rsidR="00314835" w:rsidRDefault="00FE4EE5">
    <w:pPr>
      <w:pStyle w:val="En-tte"/>
    </w:pPr>
    <w:r>
      <w:rPr>
        <w:noProof/>
      </w:rPr>
      <w:pict w14:anchorId="549F5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736" o:spid="_x0000_s1027" type="#_x0000_t136" alt="" style="position:absolute;margin-left:0;margin-top:0;width:509.55pt;height:169.85pt;rotation:315;z-index:-2516459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5F93" w14:textId="3F8E49B2" w:rsidR="00F23943" w:rsidRDefault="002A3C2A">
    <w:pPr>
      <w:pStyle w:val="En-tte"/>
      <w:ind w:left="2977" w:right="-142"/>
      <w:jc w:val="right"/>
    </w:pPr>
    <w:r>
      <w:rPr>
        <w:noProof/>
        <w:lang w:val="en-US"/>
      </w:rPr>
      <mc:AlternateContent>
        <mc:Choice Requires="wps">
          <w:drawing>
            <wp:anchor distT="0" distB="0" distL="114300" distR="114300" simplePos="0" relativeHeight="251660288" behindDoc="0" locked="0" layoutInCell="1" allowOverlap="1" wp14:anchorId="67741FDF" wp14:editId="070186EB">
              <wp:simplePos x="0" y="0"/>
              <wp:positionH relativeFrom="column">
                <wp:posOffset>-32621</wp:posOffset>
              </wp:positionH>
              <wp:positionV relativeFrom="paragraph">
                <wp:posOffset>519106</wp:posOffset>
              </wp:positionV>
              <wp:extent cx="6253962" cy="0"/>
              <wp:effectExtent l="0" t="0" r="7620" b="12700"/>
              <wp:wrapNone/>
              <wp:docPr id="14" name="Connecteur droit 14"/>
              <wp:cNvGraphicFramePr/>
              <a:graphic xmlns:a="http://schemas.openxmlformats.org/drawingml/2006/main">
                <a:graphicData uri="http://schemas.microsoft.com/office/word/2010/wordprocessingShape">
                  <wps:wsp>
                    <wps:cNvCnPr/>
                    <wps:spPr>
                      <a:xfrm>
                        <a:off x="0" y="0"/>
                        <a:ext cx="6253962" cy="0"/>
                      </a:xfrm>
                      <a:prstGeom prst="line">
                        <a:avLst/>
                      </a:prstGeom>
                      <a:ln>
                        <a:solidFill>
                          <a:srgbClr val="00AC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079B7" id="Connecteur droit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40.85pt" to="489.9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" strokecolor="#00accd"/>
          </w:pict>
        </mc:Fallback>
      </mc:AlternateContent>
    </w:r>
    <w:r w:rsidR="00FE4EE5">
      <w:rPr>
        <w:noProof/>
      </w:rPr>
      <w:pict w14:anchorId="329D9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737" o:spid="_x0000_s1026" type="#_x0000_t136" alt="" style="position:absolute;left:0;text-align:left;margin-left:0;margin-top:0;width:509.55pt;height:169.85pt;rotation:315;z-index:-25164185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F8293E">
      <w:rPr>
        <w:noProof/>
        <w:lang w:val="en-US"/>
      </w:rPr>
      <w:drawing>
        <wp:anchor distT="0" distB="0" distL="114300" distR="114300" simplePos="0" relativeHeight="251659264" behindDoc="0" locked="0" layoutInCell="1" allowOverlap="1" wp14:anchorId="74DAA60A" wp14:editId="1332DBA3">
          <wp:simplePos x="0" y="0"/>
          <wp:positionH relativeFrom="column">
            <wp:posOffset>-121920</wp:posOffset>
          </wp:positionH>
          <wp:positionV relativeFrom="paragraph">
            <wp:posOffset>-23495</wp:posOffset>
          </wp:positionV>
          <wp:extent cx="1271905" cy="508423"/>
          <wp:effectExtent l="0" t="0" r="0" b="0"/>
          <wp:wrapNone/>
          <wp:docPr id="4" name="Image 4"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I Logo - Jpeg Landscape.jpg"/>
                  <pic:cNvPicPr/>
                </pic:nvPicPr>
                <pic:blipFill rotWithShape="1">
                  <a:blip r:embed="rId1">
                    <a:extLst>
                      <a:ext uri="{28A0092B-C50C-407E-A947-70E740481C1C}">
                        <a14:useLocalDpi xmlns:a14="http://schemas.microsoft.com/office/drawing/2010/main" val="0"/>
                      </a:ext>
                    </a:extLst>
                  </a:blip>
                  <a:srcRect l="6107" t="8966" r="4794" b="12575"/>
                  <a:stretch/>
                </pic:blipFill>
                <pic:spPr bwMode="auto">
                  <a:xfrm>
                    <a:off x="0" y="0"/>
                    <a:ext cx="1271905" cy="5084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4EE5">
      <w:t xml:space="preserve">3.4. </w:t>
    </w:r>
    <w:r w:rsidR="00FE4EE5">
      <w:t xml:space="preserve">– Annexe </w:t>
    </w:r>
    <w:r w:rsidR="00FE4EE5">
      <w:t>4</w:t>
    </w:r>
    <w:r w:rsidR="004E54E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D6F4" w14:textId="20AE81B3" w:rsidR="00314835" w:rsidRDefault="00FE4EE5">
    <w:pPr>
      <w:pStyle w:val="En-tte"/>
    </w:pPr>
    <w:r>
      <w:rPr>
        <w:noProof/>
      </w:rPr>
      <w:pict w14:anchorId="61B27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735" o:spid="_x0000_s1025" type="#_x0000_t136" alt="" style="position:absolute;margin-left:0;margin-top:0;width:509.55pt;height:169.85pt;rotation:315;z-index:-25165004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9C7FCE"/>
    <w:lvl w:ilvl="0">
      <w:start w:val="1"/>
      <w:numFmt w:val="bullet"/>
      <w:lvlText w:val=""/>
      <w:lvlJc w:val="left"/>
      <w:pPr>
        <w:tabs>
          <w:tab w:val="num" w:pos="2334"/>
        </w:tabs>
        <w:ind w:left="2334" w:firstLine="0"/>
      </w:pPr>
      <w:rPr>
        <w:rFonts w:ascii="Symbol" w:hAnsi="Symbol" w:hint="default"/>
      </w:rPr>
    </w:lvl>
    <w:lvl w:ilvl="1">
      <w:start w:val="1"/>
      <w:numFmt w:val="bullet"/>
      <w:lvlText w:val=""/>
      <w:lvlJc w:val="left"/>
      <w:pPr>
        <w:tabs>
          <w:tab w:val="num" w:pos="3054"/>
        </w:tabs>
        <w:ind w:left="3414" w:hanging="360"/>
      </w:pPr>
      <w:rPr>
        <w:rFonts w:ascii="Symbol" w:hAnsi="Symbol" w:hint="default"/>
      </w:rPr>
    </w:lvl>
    <w:lvl w:ilvl="2">
      <w:start w:val="1"/>
      <w:numFmt w:val="bullet"/>
      <w:lvlText w:val="o"/>
      <w:lvlJc w:val="left"/>
      <w:pPr>
        <w:tabs>
          <w:tab w:val="num" w:pos="3774"/>
        </w:tabs>
        <w:ind w:left="4134" w:hanging="360"/>
      </w:pPr>
      <w:rPr>
        <w:rFonts w:ascii="Courier New" w:hAnsi="Courier New" w:cs="Courier New" w:hint="default"/>
      </w:rPr>
    </w:lvl>
    <w:lvl w:ilvl="3">
      <w:start w:val="1"/>
      <w:numFmt w:val="bullet"/>
      <w:lvlText w:val=""/>
      <w:lvlJc w:val="left"/>
      <w:pPr>
        <w:tabs>
          <w:tab w:val="num" w:pos="4494"/>
        </w:tabs>
        <w:ind w:left="4854" w:hanging="360"/>
      </w:pPr>
      <w:rPr>
        <w:rFonts w:ascii="Wingdings" w:hAnsi="Wingdings" w:hint="default"/>
      </w:rPr>
    </w:lvl>
    <w:lvl w:ilvl="4">
      <w:start w:val="1"/>
      <w:numFmt w:val="bullet"/>
      <w:lvlText w:val=""/>
      <w:lvlJc w:val="left"/>
      <w:pPr>
        <w:tabs>
          <w:tab w:val="num" w:pos="5214"/>
        </w:tabs>
        <w:ind w:left="5574" w:hanging="360"/>
      </w:pPr>
      <w:rPr>
        <w:rFonts w:ascii="Wingdings" w:hAnsi="Wingdings" w:hint="default"/>
      </w:rPr>
    </w:lvl>
    <w:lvl w:ilvl="5">
      <w:start w:val="1"/>
      <w:numFmt w:val="bullet"/>
      <w:lvlText w:val=""/>
      <w:lvlJc w:val="left"/>
      <w:pPr>
        <w:tabs>
          <w:tab w:val="num" w:pos="5934"/>
        </w:tabs>
        <w:ind w:left="6294" w:hanging="360"/>
      </w:pPr>
      <w:rPr>
        <w:rFonts w:ascii="Symbol" w:hAnsi="Symbol" w:hint="default"/>
      </w:rPr>
    </w:lvl>
    <w:lvl w:ilvl="6">
      <w:start w:val="1"/>
      <w:numFmt w:val="bullet"/>
      <w:lvlText w:val="o"/>
      <w:lvlJc w:val="left"/>
      <w:pPr>
        <w:tabs>
          <w:tab w:val="num" w:pos="6654"/>
        </w:tabs>
        <w:ind w:left="7014" w:hanging="360"/>
      </w:pPr>
      <w:rPr>
        <w:rFonts w:ascii="Courier New" w:hAnsi="Courier New" w:cs="Courier New" w:hint="default"/>
      </w:rPr>
    </w:lvl>
    <w:lvl w:ilvl="7">
      <w:start w:val="1"/>
      <w:numFmt w:val="bullet"/>
      <w:lvlText w:val=""/>
      <w:lvlJc w:val="left"/>
      <w:pPr>
        <w:tabs>
          <w:tab w:val="num" w:pos="7374"/>
        </w:tabs>
        <w:ind w:left="7734" w:hanging="360"/>
      </w:pPr>
      <w:rPr>
        <w:rFonts w:ascii="Wingdings" w:hAnsi="Wingdings" w:hint="default"/>
      </w:rPr>
    </w:lvl>
    <w:lvl w:ilvl="8">
      <w:start w:val="1"/>
      <w:numFmt w:val="bullet"/>
      <w:lvlText w:val=""/>
      <w:lvlJc w:val="left"/>
      <w:pPr>
        <w:tabs>
          <w:tab w:val="num" w:pos="8094"/>
        </w:tabs>
        <w:ind w:left="8454" w:hanging="360"/>
      </w:pPr>
      <w:rPr>
        <w:rFonts w:ascii="Wingdings" w:hAnsi="Wingdings" w:hint="default"/>
      </w:rPr>
    </w:lvl>
  </w:abstractNum>
  <w:abstractNum w:abstractNumId="1" w15:restartNumberingAfterBreak="0">
    <w:nsid w:val="00625E68"/>
    <w:multiLevelType w:val="hybridMultilevel"/>
    <w:tmpl w:val="644AF042"/>
    <w:lvl w:ilvl="0" w:tplc="84008F40">
      <w:start w:val="1"/>
      <w:numFmt w:val="bullet"/>
      <w:lvlText w:val=""/>
      <w:lvlJc w:val="left"/>
      <w:pPr>
        <w:ind w:left="720" w:hanging="360"/>
      </w:pPr>
      <w:rPr>
        <w:rFonts w:ascii="Symbol" w:hAnsi="Symbol" w:hint="default"/>
        <w:color w:val="auto"/>
      </w:rPr>
    </w:lvl>
    <w:lvl w:ilvl="1" w:tplc="040C000D">
      <w:start w:val="1"/>
      <w:numFmt w:val="bullet"/>
      <w:lvlText w:val=""/>
      <w:lvlJc w:val="left"/>
      <w:pPr>
        <w:ind w:left="1440" w:hanging="360"/>
      </w:pPr>
      <w:rPr>
        <w:rFonts w:ascii="Wingdings" w:hAnsi="Wingdings" w:hint="default"/>
      </w:rPr>
    </w:lvl>
    <w:lvl w:ilvl="2" w:tplc="040C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C81EDF"/>
    <w:multiLevelType w:val="hybridMultilevel"/>
    <w:tmpl w:val="345E449C"/>
    <w:lvl w:ilvl="0" w:tplc="FAA64C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56928"/>
    <w:multiLevelType w:val="hybridMultilevel"/>
    <w:tmpl w:val="C5587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E14D2A"/>
    <w:multiLevelType w:val="hybridMultilevel"/>
    <w:tmpl w:val="20AEF416"/>
    <w:lvl w:ilvl="0" w:tplc="6FE0467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BD5756"/>
    <w:multiLevelType w:val="hybridMultilevel"/>
    <w:tmpl w:val="99A84E08"/>
    <w:lvl w:ilvl="0" w:tplc="12742C4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812F26"/>
    <w:multiLevelType w:val="hybridMultilevel"/>
    <w:tmpl w:val="F1DE6A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BD5F40"/>
    <w:multiLevelType w:val="hybridMultilevel"/>
    <w:tmpl w:val="F446D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193D9D"/>
    <w:multiLevelType w:val="hybridMultilevel"/>
    <w:tmpl w:val="6A0CE43A"/>
    <w:lvl w:ilvl="0" w:tplc="19DEC6AC">
      <w:start w:val="1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5F2217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D50E6C"/>
    <w:multiLevelType w:val="hybridMultilevel"/>
    <w:tmpl w:val="FA043872"/>
    <w:lvl w:ilvl="0" w:tplc="0046EF0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4A74FC"/>
    <w:multiLevelType w:val="hybridMultilevel"/>
    <w:tmpl w:val="A8B0FE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7749C7"/>
    <w:multiLevelType w:val="hybridMultilevel"/>
    <w:tmpl w:val="246EFAC4"/>
    <w:lvl w:ilvl="0" w:tplc="CBDE7BB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EB24B9"/>
    <w:multiLevelType w:val="multilevel"/>
    <w:tmpl w:val="2A9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DE20C6"/>
    <w:multiLevelType w:val="hybridMultilevel"/>
    <w:tmpl w:val="FC4CA814"/>
    <w:lvl w:ilvl="0" w:tplc="84008F40">
      <w:start w:val="1"/>
      <w:numFmt w:val="bullet"/>
      <w:lvlText w:val=""/>
      <w:lvlJc w:val="left"/>
      <w:pPr>
        <w:ind w:left="720" w:hanging="360"/>
      </w:pPr>
      <w:rPr>
        <w:rFonts w:ascii="Symbol" w:hAnsi="Symbol" w:hint="default"/>
        <w:color w:val="auto"/>
      </w:rPr>
    </w:lvl>
    <w:lvl w:ilvl="1" w:tplc="12742C42">
      <w:start w:val="1"/>
      <w:numFmt w:val="bullet"/>
      <w:lvlText w:val=""/>
      <w:lvlJc w:val="left"/>
      <w:pPr>
        <w:ind w:left="1440" w:hanging="360"/>
      </w:pPr>
      <w:rPr>
        <w:rFonts w:ascii="Symbol" w:hAnsi="Symbol" w:hint="default"/>
        <w:sz w:val="24"/>
      </w:rPr>
    </w:lvl>
    <w:lvl w:ilvl="2" w:tplc="040C000D">
      <w:start w:val="1"/>
      <w:numFmt w:val="bullet"/>
      <w:lvlText w:val=""/>
      <w:lvlJc w:val="left"/>
      <w:pPr>
        <w:ind w:left="72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F9311C"/>
    <w:multiLevelType w:val="hybridMultilevel"/>
    <w:tmpl w:val="59AC7BB6"/>
    <w:lvl w:ilvl="0" w:tplc="12742C42">
      <w:start w:val="1"/>
      <w:numFmt w:val="bullet"/>
      <w:lvlText w:val=""/>
      <w:lvlJc w:val="left"/>
      <w:pPr>
        <w:ind w:left="720" w:hanging="360"/>
      </w:pPr>
      <w:rPr>
        <w:rFonts w:ascii="Symbol" w:hAnsi="Symbol" w:hint="default"/>
        <w:sz w:val="24"/>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7632BB"/>
    <w:multiLevelType w:val="hybridMultilevel"/>
    <w:tmpl w:val="48BA949A"/>
    <w:lvl w:ilvl="0" w:tplc="8F32FFDC">
      <w:numFmt w:val="bullet"/>
      <w:lvlText w:val="-"/>
      <w:lvlJc w:val="left"/>
      <w:pPr>
        <w:ind w:left="218" w:hanging="360"/>
      </w:pPr>
      <w:rPr>
        <w:rFonts w:ascii="Times New Roman" w:eastAsia="Times New Roman" w:hAnsi="Times New Roman" w:cs="Times New Roman" w:hint="default"/>
      </w:rPr>
    </w:lvl>
    <w:lvl w:ilvl="1" w:tplc="040C0003" w:tentative="1">
      <w:start w:val="1"/>
      <w:numFmt w:val="bullet"/>
      <w:lvlText w:val="o"/>
      <w:lvlJc w:val="left"/>
      <w:pPr>
        <w:ind w:left="938" w:hanging="360"/>
      </w:pPr>
      <w:rPr>
        <w:rFonts w:ascii="Courier New" w:hAnsi="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7" w15:restartNumberingAfterBreak="0">
    <w:nsid w:val="27227008"/>
    <w:multiLevelType w:val="hybridMultilevel"/>
    <w:tmpl w:val="D5469098"/>
    <w:lvl w:ilvl="0" w:tplc="DEECA490">
      <w:numFmt w:val="bullet"/>
      <w:lvlText w:val="-"/>
      <w:lvlJc w:val="left"/>
      <w:pPr>
        <w:ind w:left="218" w:hanging="360"/>
      </w:pPr>
      <w:rPr>
        <w:rFonts w:ascii="Times New Roman" w:eastAsia="Times New Roman" w:hAnsi="Times New Roman" w:cs="Times New Roman" w:hint="default"/>
      </w:rPr>
    </w:lvl>
    <w:lvl w:ilvl="1" w:tplc="040C0003" w:tentative="1">
      <w:start w:val="1"/>
      <w:numFmt w:val="bullet"/>
      <w:lvlText w:val="o"/>
      <w:lvlJc w:val="left"/>
      <w:pPr>
        <w:ind w:left="938" w:hanging="360"/>
      </w:pPr>
      <w:rPr>
        <w:rFonts w:ascii="Courier New" w:hAnsi="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8" w15:restartNumberingAfterBreak="0">
    <w:nsid w:val="29351D4F"/>
    <w:multiLevelType w:val="hybridMultilevel"/>
    <w:tmpl w:val="E2B28802"/>
    <w:lvl w:ilvl="0" w:tplc="5984986C">
      <w:numFmt w:val="bullet"/>
      <w:lvlText w:val="-"/>
      <w:lvlJc w:val="left"/>
      <w:pPr>
        <w:ind w:left="405" w:hanging="360"/>
      </w:pPr>
      <w:rPr>
        <w:rFonts w:ascii="Calibri" w:eastAsia="Times New Roman"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9" w15:restartNumberingAfterBreak="0">
    <w:nsid w:val="2CBE24EE"/>
    <w:multiLevelType w:val="hybridMultilevel"/>
    <w:tmpl w:val="CAB287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D6C54E3"/>
    <w:multiLevelType w:val="hybridMultilevel"/>
    <w:tmpl w:val="C332F5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9143D3"/>
    <w:multiLevelType w:val="hybridMultilevel"/>
    <w:tmpl w:val="3A82D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DFE2EED"/>
    <w:multiLevelType w:val="hybridMultilevel"/>
    <w:tmpl w:val="9B36D25E"/>
    <w:lvl w:ilvl="0" w:tplc="2E12D5A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F7C60FC"/>
    <w:multiLevelType w:val="hybridMultilevel"/>
    <w:tmpl w:val="ED9C3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3E17A65"/>
    <w:multiLevelType w:val="hybridMultilevel"/>
    <w:tmpl w:val="739ECDF6"/>
    <w:lvl w:ilvl="0" w:tplc="12742C4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4514816"/>
    <w:multiLevelType w:val="hybridMultilevel"/>
    <w:tmpl w:val="A9C8EA22"/>
    <w:lvl w:ilvl="0" w:tplc="58620BDE">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4EE4EAF"/>
    <w:multiLevelType w:val="hybridMultilevel"/>
    <w:tmpl w:val="E05243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1AB03EC"/>
    <w:multiLevelType w:val="multilevel"/>
    <w:tmpl w:val="3C8E6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AA3045"/>
    <w:multiLevelType w:val="hybridMultilevel"/>
    <w:tmpl w:val="1B5853F0"/>
    <w:lvl w:ilvl="0" w:tplc="CBDE7BB4">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5E06FA1"/>
    <w:multiLevelType w:val="hybridMultilevel"/>
    <w:tmpl w:val="A6B605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7F24453"/>
    <w:multiLevelType w:val="hybridMultilevel"/>
    <w:tmpl w:val="DDFA6CF6"/>
    <w:lvl w:ilvl="0" w:tplc="C6F0A12E">
      <w:numFmt w:val="bullet"/>
      <w:lvlText w:val="-"/>
      <w:lvlJc w:val="left"/>
      <w:pPr>
        <w:ind w:left="720" w:hanging="360"/>
      </w:pPr>
      <w:rPr>
        <w:rFonts w:ascii="Cambria" w:eastAsia="Times New Roman" w:hAnsi="Cambri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8C914C0"/>
    <w:multiLevelType w:val="hybridMultilevel"/>
    <w:tmpl w:val="B9F0C9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A893487"/>
    <w:multiLevelType w:val="hybridMultilevel"/>
    <w:tmpl w:val="AB14A4B4"/>
    <w:lvl w:ilvl="0" w:tplc="12742C42">
      <w:start w:val="1"/>
      <w:numFmt w:val="bullet"/>
      <w:lvlText w:val=""/>
      <w:lvlJc w:val="left"/>
      <w:pPr>
        <w:ind w:left="144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E2812CB"/>
    <w:multiLevelType w:val="hybridMultilevel"/>
    <w:tmpl w:val="53F67C4A"/>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508F4D28"/>
    <w:multiLevelType w:val="hybridMultilevel"/>
    <w:tmpl w:val="82DEEF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0D70529"/>
    <w:multiLevelType w:val="hybridMultilevel"/>
    <w:tmpl w:val="25B85F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26F3DD1"/>
    <w:multiLevelType w:val="hybridMultilevel"/>
    <w:tmpl w:val="69ECE0E2"/>
    <w:lvl w:ilvl="0" w:tplc="040C0001">
      <w:start w:val="1"/>
      <w:numFmt w:val="bullet"/>
      <w:lvlText w:val=""/>
      <w:lvlJc w:val="left"/>
      <w:pPr>
        <w:ind w:left="1440" w:hanging="360"/>
      </w:pPr>
      <w:rPr>
        <w:rFonts w:ascii="Symbol" w:hAnsi="Symbol"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585D23A3"/>
    <w:multiLevelType w:val="hybridMultilevel"/>
    <w:tmpl w:val="C9FE8D2A"/>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D942FF"/>
    <w:multiLevelType w:val="hybridMultilevel"/>
    <w:tmpl w:val="F436552C"/>
    <w:lvl w:ilvl="0" w:tplc="DEECA49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364173"/>
    <w:multiLevelType w:val="hybridMultilevel"/>
    <w:tmpl w:val="71C4E856"/>
    <w:lvl w:ilvl="0" w:tplc="040C0001">
      <w:start w:val="1"/>
      <w:numFmt w:val="bullet"/>
      <w:lvlText w:val=""/>
      <w:lvlJc w:val="left"/>
      <w:pPr>
        <w:ind w:left="1440" w:hanging="360"/>
      </w:pPr>
      <w:rPr>
        <w:rFonts w:ascii="Symbol" w:hAnsi="Symbol" w:hint="default"/>
      </w:rPr>
    </w:lvl>
    <w:lvl w:ilvl="1" w:tplc="BFDC0FD0">
      <w:start w:val="1"/>
      <w:numFmt w:val="bullet"/>
      <w:lvlText w:val="-"/>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65013645"/>
    <w:multiLevelType w:val="hybridMultilevel"/>
    <w:tmpl w:val="714CF550"/>
    <w:lvl w:ilvl="0" w:tplc="12742C42">
      <w:start w:val="1"/>
      <w:numFmt w:val="bullet"/>
      <w:lvlText w:val=""/>
      <w:lvlJc w:val="left"/>
      <w:pPr>
        <w:ind w:left="788" w:hanging="360"/>
      </w:pPr>
      <w:rPr>
        <w:rFonts w:ascii="Symbol" w:hAnsi="Symbol" w:hint="default"/>
        <w:sz w:val="24"/>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41" w15:restartNumberingAfterBreak="0">
    <w:nsid w:val="6A551258"/>
    <w:multiLevelType w:val="hybridMultilevel"/>
    <w:tmpl w:val="A5F888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5B576D"/>
    <w:multiLevelType w:val="hybridMultilevel"/>
    <w:tmpl w:val="D366A37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2939E1"/>
    <w:multiLevelType w:val="hybridMultilevel"/>
    <w:tmpl w:val="75443982"/>
    <w:lvl w:ilvl="0" w:tplc="040C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9409B6"/>
    <w:multiLevelType w:val="hybridMultilevel"/>
    <w:tmpl w:val="0CF099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7144BA"/>
    <w:multiLevelType w:val="hybridMultilevel"/>
    <w:tmpl w:val="BD0863B2"/>
    <w:lvl w:ilvl="0" w:tplc="EBF0EB7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1138A6"/>
    <w:multiLevelType w:val="hybridMultilevel"/>
    <w:tmpl w:val="C332F5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6"/>
  </w:num>
  <w:num w:numId="2">
    <w:abstractNumId w:val="12"/>
  </w:num>
  <w:num w:numId="3">
    <w:abstractNumId w:val="18"/>
  </w:num>
  <w:num w:numId="4">
    <w:abstractNumId w:val="30"/>
  </w:num>
  <w:num w:numId="5">
    <w:abstractNumId w:val="45"/>
  </w:num>
  <w:num w:numId="6">
    <w:abstractNumId w:val="1"/>
  </w:num>
  <w:num w:numId="7">
    <w:abstractNumId w:val="7"/>
  </w:num>
  <w:num w:numId="8">
    <w:abstractNumId w:val="0"/>
  </w:num>
  <w:num w:numId="9">
    <w:abstractNumId w:val="33"/>
  </w:num>
  <w:num w:numId="10">
    <w:abstractNumId w:val="19"/>
  </w:num>
  <w:num w:numId="11">
    <w:abstractNumId w:val="15"/>
  </w:num>
  <w:num w:numId="12">
    <w:abstractNumId w:val="3"/>
  </w:num>
  <w:num w:numId="13">
    <w:abstractNumId w:val="2"/>
  </w:num>
  <w:num w:numId="14">
    <w:abstractNumId w:val="21"/>
  </w:num>
  <w:num w:numId="15">
    <w:abstractNumId w:val="44"/>
  </w:num>
  <w:num w:numId="16">
    <w:abstractNumId w:val="25"/>
  </w:num>
  <w:num w:numId="17">
    <w:abstractNumId w:val="28"/>
  </w:num>
  <w:num w:numId="18">
    <w:abstractNumId w:val="14"/>
  </w:num>
  <w:num w:numId="19">
    <w:abstractNumId w:val="40"/>
  </w:num>
  <w:num w:numId="20">
    <w:abstractNumId w:val="39"/>
  </w:num>
  <w:num w:numId="21">
    <w:abstractNumId w:val="36"/>
  </w:num>
  <w:num w:numId="22">
    <w:abstractNumId w:val="31"/>
  </w:num>
  <w:num w:numId="23">
    <w:abstractNumId w:val="42"/>
  </w:num>
  <w:num w:numId="24">
    <w:abstractNumId w:val="11"/>
  </w:num>
  <w:num w:numId="25">
    <w:abstractNumId w:val="6"/>
  </w:num>
  <w:num w:numId="26">
    <w:abstractNumId w:val="24"/>
  </w:num>
  <w:num w:numId="27">
    <w:abstractNumId w:val="34"/>
  </w:num>
  <w:num w:numId="28">
    <w:abstractNumId w:val="29"/>
  </w:num>
  <w:num w:numId="29">
    <w:abstractNumId w:val="32"/>
  </w:num>
  <w:num w:numId="30">
    <w:abstractNumId w:val="5"/>
  </w:num>
  <w:num w:numId="31">
    <w:abstractNumId w:val="41"/>
  </w:num>
  <w:num w:numId="32">
    <w:abstractNumId w:val="23"/>
  </w:num>
  <w:num w:numId="33">
    <w:abstractNumId w:val="8"/>
  </w:num>
  <w:num w:numId="34">
    <w:abstractNumId w:val="35"/>
  </w:num>
  <w:num w:numId="35">
    <w:abstractNumId w:val="27"/>
  </w:num>
  <w:num w:numId="36">
    <w:abstractNumId w:val="13"/>
  </w:num>
  <w:num w:numId="37">
    <w:abstractNumId w:val="20"/>
  </w:num>
  <w:num w:numId="38">
    <w:abstractNumId w:val="9"/>
  </w:num>
  <w:num w:numId="39">
    <w:abstractNumId w:val="22"/>
  </w:num>
  <w:num w:numId="40">
    <w:abstractNumId w:val="10"/>
  </w:num>
  <w:num w:numId="41">
    <w:abstractNumId w:val="43"/>
  </w:num>
  <w:num w:numId="42">
    <w:abstractNumId w:val="37"/>
  </w:num>
  <w:num w:numId="43">
    <w:abstractNumId w:val="17"/>
  </w:num>
  <w:num w:numId="44">
    <w:abstractNumId w:val="16"/>
  </w:num>
  <w:num w:numId="45">
    <w:abstractNumId w:val="46"/>
  </w:num>
  <w:num w:numId="46">
    <w:abstractNumId w:val="38"/>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43"/>
    <w:rsid w:val="00006A78"/>
    <w:rsid w:val="00012E23"/>
    <w:rsid w:val="00014795"/>
    <w:rsid w:val="00017684"/>
    <w:rsid w:val="000207F2"/>
    <w:rsid w:val="00022C64"/>
    <w:rsid w:val="00031231"/>
    <w:rsid w:val="00045846"/>
    <w:rsid w:val="00051F3E"/>
    <w:rsid w:val="00063570"/>
    <w:rsid w:val="000772C6"/>
    <w:rsid w:val="00087C7D"/>
    <w:rsid w:val="000A0365"/>
    <w:rsid w:val="000A2CDA"/>
    <w:rsid w:val="000A4283"/>
    <w:rsid w:val="000B4CBE"/>
    <w:rsid w:val="000C30C1"/>
    <w:rsid w:val="000E3282"/>
    <w:rsid w:val="000E7F4A"/>
    <w:rsid w:val="000F29A5"/>
    <w:rsid w:val="00101F98"/>
    <w:rsid w:val="00105A50"/>
    <w:rsid w:val="00107299"/>
    <w:rsid w:val="001126A9"/>
    <w:rsid w:val="00120E92"/>
    <w:rsid w:val="00122188"/>
    <w:rsid w:val="001236D4"/>
    <w:rsid w:val="00125C13"/>
    <w:rsid w:val="001501DF"/>
    <w:rsid w:val="00165364"/>
    <w:rsid w:val="0017326B"/>
    <w:rsid w:val="00173931"/>
    <w:rsid w:val="00180326"/>
    <w:rsid w:val="00181C09"/>
    <w:rsid w:val="001911C2"/>
    <w:rsid w:val="00194F65"/>
    <w:rsid w:val="00196C57"/>
    <w:rsid w:val="001A3AA5"/>
    <w:rsid w:val="001A5DBC"/>
    <w:rsid w:val="001B0E38"/>
    <w:rsid w:val="001B509D"/>
    <w:rsid w:val="001D0D6B"/>
    <w:rsid w:val="001D4B9E"/>
    <w:rsid w:val="001E1FB1"/>
    <w:rsid w:val="00200451"/>
    <w:rsid w:val="0021083B"/>
    <w:rsid w:val="00212F6C"/>
    <w:rsid w:val="002211B3"/>
    <w:rsid w:val="00225107"/>
    <w:rsid w:val="00225E8C"/>
    <w:rsid w:val="00234FA7"/>
    <w:rsid w:val="002427AD"/>
    <w:rsid w:val="002449ED"/>
    <w:rsid w:val="00253672"/>
    <w:rsid w:val="00254BD6"/>
    <w:rsid w:val="00270988"/>
    <w:rsid w:val="002774AC"/>
    <w:rsid w:val="00286995"/>
    <w:rsid w:val="002963D5"/>
    <w:rsid w:val="002A098E"/>
    <w:rsid w:val="002A3C2A"/>
    <w:rsid w:val="002A4447"/>
    <w:rsid w:val="002B3C81"/>
    <w:rsid w:val="002E13B3"/>
    <w:rsid w:val="002E46D6"/>
    <w:rsid w:val="002E6A58"/>
    <w:rsid w:val="00301686"/>
    <w:rsid w:val="00303987"/>
    <w:rsid w:val="00305C9A"/>
    <w:rsid w:val="00314835"/>
    <w:rsid w:val="00324DFB"/>
    <w:rsid w:val="00331F40"/>
    <w:rsid w:val="003334E5"/>
    <w:rsid w:val="00340FF1"/>
    <w:rsid w:val="00342C4B"/>
    <w:rsid w:val="0034537D"/>
    <w:rsid w:val="003521DD"/>
    <w:rsid w:val="00363F13"/>
    <w:rsid w:val="00364D86"/>
    <w:rsid w:val="00371F30"/>
    <w:rsid w:val="003865C6"/>
    <w:rsid w:val="00395001"/>
    <w:rsid w:val="003A5585"/>
    <w:rsid w:val="003A61F5"/>
    <w:rsid w:val="003B427C"/>
    <w:rsid w:val="003B6A1E"/>
    <w:rsid w:val="003C18A2"/>
    <w:rsid w:val="003D3CCD"/>
    <w:rsid w:val="003E27AA"/>
    <w:rsid w:val="003E3E66"/>
    <w:rsid w:val="003F0943"/>
    <w:rsid w:val="003F2970"/>
    <w:rsid w:val="003F4257"/>
    <w:rsid w:val="0040534B"/>
    <w:rsid w:val="004122AC"/>
    <w:rsid w:val="004217E1"/>
    <w:rsid w:val="00424B82"/>
    <w:rsid w:val="004327AD"/>
    <w:rsid w:val="004401A5"/>
    <w:rsid w:val="00440E2C"/>
    <w:rsid w:val="00442234"/>
    <w:rsid w:val="00446C07"/>
    <w:rsid w:val="00447ABE"/>
    <w:rsid w:val="0045127F"/>
    <w:rsid w:val="00456AD3"/>
    <w:rsid w:val="0046325F"/>
    <w:rsid w:val="00466420"/>
    <w:rsid w:val="00485E2D"/>
    <w:rsid w:val="00487B4E"/>
    <w:rsid w:val="004946B9"/>
    <w:rsid w:val="004B1C1C"/>
    <w:rsid w:val="004B67CC"/>
    <w:rsid w:val="004D0AE7"/>
    <w:rsid w:val="004D7708"/>
    <w:rsid w:val="004E54E1"/>
    <w:rsid w:val="004E70D6"/>
    <w:rsid w:val="004E735F"/>
    <w:rsid w:val="0050092B"/>
    <w:rsid w:val="00500CB9"/>
    <w:rsid w:val="005078D2"/>
    <w:rsid w:val="0051203B"/>
    <w:rsid w:val="00513BCB"/>
    <w:rsid w:val="005209C2"/>
    <w:rsid w:val="00527D4B"/>
    <w:rsid w:val="0056361B"/>
    <w:rsid w:val="00577AA6"/>
    <w:rsid w:val="005A2381"/>
    <w:rsid w:val="005A2497"/>
    <w:rsid w:val="005A2F7C"/>
    <w:rsid w:val="005B4E72"/>
    <w:rsid w:val="005C79C1"/>
    <w:rsid w:val="005D3B62"/>
    <w:rsid w:val="005D48FE"/>
    <w:rsid w:val="005E22AE"/>
    <w:rsid w:val="005E6520"/>
    <w:rsid w:val="005E75C8"/>
    <w:rsid w:val="005F17E8"/>
    <w:rsid w:val="005F513D"/>
    <w:rsid w:val="00610158"/>
    <w:rsid w:val="006618C3"/>
    <w:rsid w:val="00671838"/>
    <w:rsid w:val="00677540"/>
    <w:rsid w:val="00687B27"/>
    <w:rsid w:val="00695269"/>
    <w:rsid w:val="006A0B27"/>
    <w:rsid w:val="006A5E90"/>
    <w:rsid w:val="006A7034"/>
    <w:rsid w:val="006B7DEA"/>
    <w:rsid w:val="006D167F"/>
    <w:rsid w:val="006D50BB"/>
    <w:rsid w:val="006D7C78"/>
    <w:rsid w:val="006D7FB9"/>
    <w:rsid w:val="006F36AD"/>
    <w:rsid w:val="007108BB"/>
    <w:rsid w:val="00713401"/>
    <w:rsid w:val="007210D5"/>
    <w:rsid w:val="00726113"/>
    <w:rsid w:val="00726310"/>
    <w:rsid w:val="007270B0"/>
    <w:rsid w:val="007273DC"/>
    <w:rsid w:val="00735E1A"/>
    <w:rsid w:val="00746F8B"/>
    <w:rsid w:val="00753C45"/>
    <w:rsid w:val="00753F75"/>
    <w:rsid w:val="007623AB"/>
    <w:rsid w:val="00775E9A"/>
    <w:rsid w:val="007810CF"/>
    <w:rsid w:val="00792727"/>
    <w:rsid w:val="007A0204"/>
    <w:rsid w:val="007B59D1"/>
    <w:rsid w:val="007B70ED"/>
    <w:rsid w:val="007D51B3"/>
    <w:rsid w:val="007D704D"/>
    <w:rsid w:val="007E0530"/>
    <w:rsid w:val="00806BC2"/>
    <w:rsid w:val="00816029"/>
    <w:rsid w:val="00831F83"/>
    <w:rsid w:val="00850079"/>
    <w:rsid w:val="008513C8"/>
    <w:rsid w:val="00864461"/>
    <w:rsid w:val="00875730"/>
    <w:rsid w:val="00886971"/>
    <w:rsid w:val="00895EA3"/>
    <w:rsid w:val="008A2E1C"/>
    <w:rsid w:val="008D50C3"/>
    <w:rsid w:val="008F0987"/>
    <w:rsid w:val="008F3788"/>
    <w:rsid w:val="009017EB"/>
    <w:rsid w:val="00913FA4"/>
    <w:rsid w:val="00921A5E"/>
    <w:rsid w:val="00923171"/>
    <w:rsid w:val="00927C32"/>
    <w:rsid w:val="00931CFD"/>
    <w:rsid w:val="00941F00"/>
    <w:rsid w:val="00943993"/>
    <w:rsid w:val="00944670"/>
    <w:rsid w:val="00946C8B"/>
    <w:rsid w:val="00946FE4"/>
    <w:rsid w:val="009646B0"/>
    <w:rsid w:val="0097334A"/>
    <w:rsid w:val="00975E00"/>
    <w:rsid w:val="00980872"/>
    <w:rsid w:val="009879B7"/>
    <w:rsid w:val="009A0BC2"/>
    <w:rsid w:val="009A2872"/>
    <w:rsid w:val="009A5133"/>
    <w:rsid w:val="009A725D"/>
    <w:rsid w:val="009C11A3"/>
    <w:rsid w:val="009C1601"/>
    <w:rsid w:val="009C734E"/>
    <w:rsid w:val="009C7D36"/>
    <w:rsid w:val="009D0107"/>
    <w:rsid w:val="009E23A8"/>
    <w:rsid w:val="009E6DA0"/>
    <w:rsid w:val="009F14FB"/>
    <w:rsid w:val="009F5477"/>
    <w:rsid w:val="00A00C88"/>
    <w:rsid w:val="00A04971"/>
    <w:rsid w:val="00A10412"/>
    <w:rsid w:val="00A25960"/>
    <w:rsid w:val="00A3077A"/>
    <w:rsid w:val="00A32ED4"/>
    <w:rsid w:val="00A51E8C"/>
    <w:rsid w:val="00A60428"/>
    <w:rsid w:val="00A70A7B"/>
    <w:rsid w:val="00A763DE"/>
    <w:rsid w:val="00A83E03"/>
    <w:rsid w:val="00AD33F4"/>
    <w:rsid w:val="00AE4852"/>
    <w:rsid w:val="00AF22F1"/>
    <w:rsid w:val="00AF231F"/>
    <w:rsid w:val="00AF7ADC"/>
    <w:rsid w:val="00B01DA8"/>
    <w:rsid w:val="00B14023"/>
    <w:rsid w:val="00B46706"/>
    <w:rsid w:val="00B76F0B"/>
    <w:rsid w:val="00B76FD1"/>
    <w:rsid w:val="00B8439A"/>
    <w:rsid w:val="00B91721"/>
    <w:rsid w:val="00BA6FE6"/>
    <w:rsid w:val="00BC1A25"/>
    <w:rsid w:val="00BC4E0D"/>
    <w:rsid w:val="00BD1D16"/>
    <w:rsid w:val="00BD3F9B"/>
    <w:rsid w:val="00BD4917"/>
    <w:rsid w:val="00BD5BF2"/>
    <w:rsid w:val="00BD610C"/>
    <w:rsid w:val="00BD7972"/>
    <w:rsid w:val="00BF2DDF"/>
    <w:rsid w:val="00BF4EE3"/>
    <w:rsid w:val="00BF6465"/>
    <w:rsid w:val="00C30C36"/>
    <w:rsid w:val="00C32416"/>
    <w:rsid w:val="00C3255D"/>
    <w:rsid w:val="00C43F85"/>
    <w:rsid w:val="00C546E0"/>
    <w:rsid w:val="00C649C7"/>
    <w:rsid w:val="00C662E7"/>
    <w:rsid w:val="00C70588"/>
    <w:rsid w:val="00C75CF6"/>
    <w:rsid w:val="00C82585"/>
    <w:rsid w:val="00C842E7"/>
    <w:rsid w:val="00C84ECB"/>
    <w:rsid w:val="00C8753D"/>
    <w:rsid w:val="00C968B0"/>
    <w:rsid w:val="00CA5230"/>
    <w:rsid w:val="00CB69AC"/>
    <w:rsid w:val="00CC4388"/>
    <w:rsid w:val="00CC5E93"/>
    <w:rsid w:val="00CD6B42"/>
    <w:rsid w:val="00CE42A0"/>
    <w:rsid w:val="00D0041F"/>
    <w:rsid w:val="00D04431"/>
    <w:rsid w:val="00D12BAB"/>
    <w:rsid w:val="00D1583C"/>
    <w:rsid w:val="00D21063"/>
    <w:rsid w:val="00D24079"/>
    <w:rsid w:val="00D2646E"/>
    <w:rsid w:val="00D27902"/>
    <w:rsid w:val="00D31991"/>
    <w:rsid w:val="00D40A35"/>
    <w:rsid w:val="00D40F88"/>
    <w:rsid w:val="00D54A43"/>
    <w:rsid w:val="00D6069F"/>
    <w:rsid w:val="00D61F0D"/>
    <w:rsid w:val="00D71527"/>
    <w:rsid w:val="00D7530E"/>
    <w:rsid w:val="00D762F3"/>
    <w:rsid w:val="00D80C8E"/>
    <w:rsid w:val="00D8377A"/>
    <w:rsid w:val="00DB0D6F"/>
    <w:rsid w:val="00DB358C"/>
    <w:rsid w:val="00DD25FC"/>
    <w:rsid w:val="00DD36E2"/>
    <w:rsid w:val="00DE3569"/>
    <w:rsid w:val="00DE49E0"/>
    <w:rsid w:val="00DE5F3B"/>
    <w:rsid w:val="00E0735B"/>
    <w:rsid w:val="00E1012B"/>
    <w:rsid w:val="00E124D1"/>
    <w:rsid w:val="00E1343A"/>
    <w:rsid w:val="00E16798"/>
    <w:rsid w:val="00E2270D"/>
    <w:rsid w:val="00E251CE"/>
    <w:rsid w:val="00E403BE"/>
    <w:rsid w:val="00E506A8"/>
    <w:rsid w:val="00E55AAF"/>
    <w:rsid w:val="00E818C7"/>
    <w:rsid w:val="00E828EB"/>
    <w:rsid w:val="00E8784F"/>
    <w:rsid w:val="00E92A07"/>
    <w:rsid w:val="00E92F2B"/>
    <w:rsid w:val="00EB2D51"/>
    <w:rsid w:val="00ED2BE1"/>
    <w:rsid w:val="00ED2FE5"/>
    <w:rsid w:val="00EF4EC9"/>
    <w:rsid w:val="00F0436B"/>
    <w:rsid w:val="00F11B9D"/>
    <w:rsid w:val="00F23943"/>
    <w:rsid w:val="00F26034"/>
    <w:rsid w:val="00F262A9"/>
    <w:rsid w:val="00F31692"/>
    <w:rsid w:val="00F457EC"/>
    <w:rsid w:val="00F50BAB"/>
    <w:rsid w:val="00F52C81"/>
    <w:rsid w:val="00F541A6"/>
    <w:rsid w:val="00F62842"/>
    <w:rsid w:val="00F7161D"/>
    <w:rsid w:val="00F8293E"/>
    <w:rsid w:val="00F872AD"/>
    <w:rsid w:val="00FA2273"/>
    <w:rsid w:val="00FA4490"/>
    <w:rsid w:val="00FB797E"/>
    <w:rsid w:val="00FC402A"/>
    <w:rsid w:val="00FC46E5"/>
    <w:rsid w:val="00FD084B"/>
    <w:rsid w:val="00FD4990"/>
    <w:rsid w:val="00FD650F"/>
    <w:rsid w:val="00FE4EE5"/>
    <w:rsid w:val="00FE6508"/>
    <w:rsid w:val="00FE66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E6AB"/>
  <w15:docId w15:val="{B8037B8F-354B-480D-9655-8592A050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F1"/>
    <w:pPr>
      <w:spacing w:after="0"/>
    </w:pPr>
    <w:rPr>
      <w:rFonts w:ascii="Times New Roman" w:eastAsia="Times New Roman" w:hAnsi="Times New Roman"/>
      <w:sz w:val="24"/>
      <w:szCs w:val="24"/>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Pr>
      <w:rFonts w:ascii="Tahoma" w:eastAsia="Calibri" w:hAnsi="Tahoma" w:cs="Tahoma"/>
      <w:sz w:val="16"/>
      <w:szCs w:val="16"/>
      <w:lang w:val="fr-FR" w:eastAsia="en-US"/>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aragraphedeliste">
    <w:name w:val="List Paragraph"/>
    <w:basedOn w:val="Normal"/>
    <w:uiPriority w:val="34"/>
    <w:qFormat/>
    <w:pPr>
      <w:spacing w:after="80"/>
      <w:ind w:left="720"/>
      <w:contextualSpacing/>
    </w:pPr>
    <w:rPr>
      <w:rFonts w:ascii="Calibri" w:eastAsia="Calibri" w:hAnsi="Calibri"/>
      <w:sz w:val="22"/>
      <w:szCs w:val="22"/>
      <w:lang w:val="fr-FR" w:eastAsia="en-US"/>
    </w:rPr>
  </w:style>
  <w:style w:type="paragraph" w:styleId="En-tte">
    <w:name w:val="header"/>
    <w:basedOn w:val="Normal"/>
    <w:link w:val="En-tteCar"/>
    <w:uiPriority w:val="99"/>
    <w:unhideWhenUsed/>
    <w:pPr>
      <w:tabs>
        <w:tab w:val="center" w:pos="4536"/>
        <w:tab w:val="right" w:pos="9072"/>
      </w:tabs>
    </w:pPr>
    <w:rPr>
      <w:rFonts w:ascii="Calibri" w:eastAsia="Calibri" w:hAnsi="Calibri"/>
      <w:sz w:val="22"/>
      <w:szCs w:val="22"/>
      <w:lang w:val="fr-FR" w:eastAsia="en-US"/>
    </w:rPr>
  </w:style>
  <w:style w:type="character" w:customStyle="1" w:styleId="En-tteCar">
    <w:name w:val="En-tête Car"/>
    <w:basedOn w:val="Policepardfaut"/>
    <w:link w:val="En-tte"/>
    <w:uiPriority w:val="99"/>
    <w:rPr>
      <w:sz w:val="22"/>
      <w:szCs w:val="22"/>
      <w:lang w:eastAsia="en-US"/>
    </w:rPr>
  </w:style>
  <w:style w:type="paragraph" w:styleId="Pieddepage">
    <w:name w:val="footer"/>
    <w:basedOn w:val="Normal"/>
    <w:link w:val="PieddepageCar"/>
    <w:uiPriority w:val="99"/>
    <w:unhideWhenUsed/>
    <w:pPr>
      <w:tabs>
        <w:tab w:val="center" w:pos="4536"/>
        <w:tab w:val="right" w:pos="9072"/>
      </w:tabs>
    </w:pPr>
    <w:rPr>
      <w:rFonts w:ascii="Calibri" w:eastAsia="Calibri" w:hAnsi="Calibri"/>
      <w:sz w:val="22"/>
      <w:szCs w:val="22"/>
      <w:lang w:val="fr-FR" w:eastAsia="en-US"/>
    </w:rPr>
  </w:style>
  <w:style w:type="character" w:customStyle="1" w:styleId="PieddepageCar">
    <w:name w:val="Pied de page Car"/>
    <w:basedOn w:val="Policepardfaut"/>
    <w:link w:val="Pieddepage"/>
    <w:uiPriority w:val="99"/>
    <w:rPr>
      <w:sz w:val="22"/>
      <w:szCs w:val="22"/>
      <w:lang w:eastAsia="en-US"/>
    </w:rPr>
  </w:style>
  <w:style w:type="paragraph" w:styleId="Sansinterligne">
    <w:name w:val="No Spacing"/>
    <w:uiPriority w:val="1"/>
    <w:qFormat/>
    <w:rPr>
      <w:sz w:val="22"/>
      <w:szCs w:val="22"/>
      <w:lang w:eastAsia="en-US"/>
    </w:rPr>
  </w:style>
  <w:style w:type="character" w:styleId="Lienhypertexte">
    <w:name w:val="Hyperlink"/>
    <w:basedOn w:val="Policepardfaut"/>
    <w:uiPriority w:val="99"/>
    <w:unhideWhenUsed/>
    <w:rPr>
      <w:color w:val="0000FF" w:themeColor="hyperlink"/>
      <w:u w:val="single"/>
    </w:rPr>
  </w:style>
  <w:style w:type="paragraph" w:styleId="Explorateurdedocuments">
    <w:name w:val="Document Map"/>
    <w:basedOn w:val="Normal"/>
    <w:link w:val="ExplorateurdedocumentsCar"/>
    <w:uiPriority w:val="99"/>
    <w:semiHidden/>
    <w:unhideWhenUsed/>
    <w:rPr>
      <w:rFonts w:eastAsia="Calibri"/>
      <w:lang w:val="fr-FR" w:eastAsia="en-US"/>
    </w:rPr>
  </w:style>
  <w:style w:type="character" w:customStyle="1" w:styleId="ExplorateurdedocumentsCar">
    <w:name w:val="Explorateur de documents Car"/>
    <w:basedOn w:val="Policepardfaut"/>
    <w:link w:val="Explorateurdedocuments"/>
    <w:uiPriority w:val="99"/>
    <w:semiHidden/>
    <w:rPr>
      <w:rFonts w:ascii="Times New Roman" w:hAnsi="Times New Roman"/>
      <w:sz w:val="24"/>
      <w:szCs w:val="24"/>
      <w:lang w:eastAsia="en-US"/>
    </w:rPr>
  </w:style>
  <w:style w:type="table" w:customStyle="1" w:styleId="TableauGrille5Fonc-Accentuation11">
    <w:name w:val="Tableau Grille 5 Foncé - Accentuation 11"/>
    <w:basedOn w:val="TableauNormal"/>
    <w:uiPriority w:val="50"/>
    <w:pPr>
      <w:spacing w:after="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Numrodepage">
    <w:name w:val="page number"/>
    <w:basedOn w:val="Policepardfaut"/>
    <w:uiPriority w:val="99"/>
    <w:semiHidden/>
    <w:unhideWhenUsed/>
  </w:style>
  <w:style w:type="table" w:customStyle="1" w:styleId="TableauListe6Couleur1">
    <w:name w:val="Tableau Liste 6 Couleur1"/>
    <w:basedOn w:val="TableauNormal"/>
    <w:uiPriority w:val="51"/>
    <w:pPr>
      <w:spacing w:after="0"/>
    </w:pPr>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after="80"/>
    </w:pPr>
    <w:rPr>
      <w:rFonts w:ascii="Calibri" w:eastAsia="Calibri" w:hAnsi="Calibri"/>
      <w:sz w:val="20"/>
      <w:szCs w:val="20"/>
      <w:lang w:val="fr-FR" w:eastAsia="en-US"/>
    </w:rPr>
  </w:style>
  <w:style w:type="character" w:customStyle="1" w:styleId="CommentaireCar">
    <w:name w:val="Commentaire Car"/>
    <w:basedOn w:val="Policepardfaut"/>
    <w:link w:val="Commentaire"/>
    <w:uiPriority w:val="99"/>
    <w:semiHidden/>
    <w:rPr>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eastAsia="en-US"/>
    </w:rPr>
  </w:style>
  <w:style w:type="paragraph" w:styleId="Titre">
    <w:name w:val="Title"/>
    <w:basedOn w:val="Normal"/>
    <w:link w:val="TitreCar"/>
    <w:qFormat/>
    <w:rsid w:val="00014795"/>
    <w:pPr>
      <w:jc w:val="center"/>
    </w:pPr>
    <w:rPr>
      <w:rFonts w:ascii="Arial" w:hAnsi="Arial"/>
      <w:b/>
      <w:sz w:val="20"/>
      <w:szCs w:val="20"/>
      <w:lang w:val="fr-FR"/>
    </w:rPr>
  </w:style>
  <w:style w:type="character" w:customStyle="1" w:styleId="TitreCar">
    <w:name w:val="Titre Car"/>
    <w:basedOn w:val="Policepardfaut"/>
    <w:link w:val="Titre"/>
    <w:rsid w:val="00014795"/>
    <w:rPr>
      <w:rFonts w:ascii="Arial" w:eastAsia="Times New Roman" w:hAnsi="Arial"/>
      <w:b/>
    </w:rPr>
  </w:style>
  <w:style w:type="paragraph" w:styleId="Rvision">
    <w:name w:val="Revision"/>
    <w:hidden/>
    <w:uiPriority w:val="99"/>
    <w:semiHidden/>
    <w:rsid w:val="00107299"/>
    <w:pPr>
      <w:spacing w:after="0"/>
    </w:pPr>
    <w:rPr>
      <w:sz w:val="22"/>
      <w:szCs w:val="22"/>
      <w:lang w:eastAsia="en-US"/>
    </w:rPr>
  </w:style>
  <w:style w:type="character" w:styleId="Lienhypertextesuivivisit">
    <w:name w:val="FollowedHyperlink"/>
    <w:basedOn w:val="Policepardfaut"/>
    <w:uiPriority w:val="99"/>
    <w:semiHidden/>
    <w:unhideWhenUsed/>
    <w:rsid w:val="003A5585"/>
    <w:rPr>
      <w:color w:val="800080" w:themeColor="followedHyperlink"/>
      <w:u w:val="single"/>
    </w:rPr>
  </w:style>
  <w:style w:type="table" w:styleId="Tableausimple2">
    <w:name w:val="Plain Table 2"/>
    <w:basedOn w:val="TableauNormal"/>
    <w:uiPriority w:val="42"/>
    <w:rsid w:val="000207F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340F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7024">
      <w:bodyDiv w:val="1"/>
      <w:marLeft w:val="0"/>
      <w:marRight w:val="0"/>
      <w:marTop w:val="0"/>
      <w:marBottom w:val="0"/>
      <w:divBdr>
        <w:top w:val="none" w:sz="0" w:space="0" w:color="auto"/>
        <w:left w:val="none" w:sz="0" w:space="0" w:color="auto"/>
        <w:bottom w:val="none" w:sz="0" w:space="0" w:color="auto"/>
        <w:right w:val="none" w:sz="0" w:space="0" w:color="auto"/>
      </w:divBdr>
    </w:div>
    <w:div w:id="125970700">
      <w:bodyDiv w:val="1"/>
      <w:marLeft w:val="0"/>
      <w:marRight w:val="0"/>
      <w:marTop w:val="0"/>
      <w:marBottom w:val="0"/>
      <w:divBdr>
        <w:top w:val="none" w:sz="0" w:space="0" w:color="auto"/>
        <w:left w:val="none" w:sz="0" w:space="0" w:color="auto"/>
        <w:bottom w:val="none" w:sz="0" w:space="0" w:color="auto"/>
        <w:right w:val="none" w:sz="0" w:space="0" w:color="auto"/>
      </w:divBdr>
    </w:div>
    <w:div w:id="233784546">
      <w:bodyDiv w:val="1"/>
      <w:marLeft w:val="0"/>
      <w:marRight w:val="0"/>
      <w:marTop w:val="0"/>
      <w:marBottom w:val="0"/>
      <w:divBdr>
        <w:top w:val="none" w:sz="0" w:space="0" w:color="auto"/>
        <w:left w:val="none" w:sz="0" w:space="0" w:color="auto"/>
        <w:bottom w:val="none" w:sz="0" w:space="0" w:color="auto"/>
        <w:right w:val="none" w:sz="0" w:space="0" w:color="auto"/>
      </w:divBdr>
    </w:div>
    <w:div w:id="268050635">
      <w:bodyDiv w:val="1"/>
      <w:marLeft w:val="0"/>
      <w:marRight w:val="0"/>
      <w:marTop w:val="0"/>
      <w:marBottom w:val="0"/>
      <w:divBdr>
        <w:top w:val="none" w:sz="0" w:space="0" w:color="auto"/>
        <w:left w:val="none" w:sz="0" w:space="0" w:color="auto"/>
        <w:bottom w:val="none" w:sz="0" w:space="0" w:color="auto"/>
        <w:right w:val="none" w:sz="0" w:space="0" w:color="auto"/>
      </w:divBdr>
    </w:div>
    <w:div w:id="466313183">
      <w:bodyDiv w:val="1"/>
      <w:marLeft w:val="0"/>
      <w:marRight w:val="0"/>
      <w:marTop w:val="0"/>
      <w:marBottom w:val="0"/>
      <w:divBdr>
        <w:top w:val="none" w:sz="0" w:space="0" w:color="auto"/>
        <w:left w:val="none" w:sz="0" w:space="0" w:color="auto"/>
        <w:bottom w:val="none" w:sz="0" w:space="0" w:color="auto"/>
        <w:right w:val="none" w:sz="0" w:space="0" w:color="auto"/>
      </w:divBdr>
    </w:div>
    <w:div w:id="490104284">
      <w:bodyDiv w:val="1"/>
      <w:marLeft w:val="0"/>
      <w:marRight w:val="0"/>
      <w:marTop w:val="0"/>
      <w:marBottom w:val="0"/>
      <w:divBdr>
        <w:top w:val="none" w:sz="0" w:space="0" w:color="auto"/>
        <w:left w:val="none" w:sz="0" w:space="0" w:color="auto"/>
        <w:bottom w:val="none" w:sz="0" w:space="0" w:color="auto"/>
        <w:right w:val="none" w:sz="0" w:space="0" w:color="auto"/>
      </w:divBdr>
    </w:div>
    <w:div w:id="577130888">
      <w:bodyDiv w:val="1"/>
      <w:marLeft w:val="0"/>
      <w:marRight w:val="0"/>
      <w:marTop w:val="0"/>
      <w:marBottom w:val="0"/>
      <w:divBdr>
        <w:top w:val="none" w:sz="0" w:space="0" w:color="auto"/>
        <w:left w:val="none" w:sz="0" w:space="0" w:color="auto"/>
        <w:bottom w:val="none" w:sz="0" w:space="0" w:color="auto"/>
        <w:right w:val="none" w:sz="0" w:space="0" w:color="auto"/>
      </w:divBdr>
    </w:div>
    <w:div w:id="589772930">
      <w:bodyDiv w:val="1"/>
      <w:marLeft w:val="0"/>
      <w:marRight w:val="0"/>
      <w:marTop w:val="0"/>
      <w:marBottom w:val="0"/>
      <w:divBdr>
        <w:top w:val="none" w:sz="0" w:space="0" w:color="auto"/>
        <w:left w:val="none" w:sz="0" w:space="0" w:color="auto"/>
        <w:bottom w:val="none" w:sz="0" w:space="0" w:color="auto"/>
        <w:right w:val="none" w:sz="0" w:space="0" w:color="auto"/>
      </w:divBdr>
    </w:div>
    <w:div w:id="815299466">
      <w:bodyDiv w:val="1"/>
      <w:marLeft w:val="0"/>
      <w:marRight w:val="0"/>
      <w:marTop w:val="0"/>
      <w:marBottom w:val="0"/>
      <w:divBdr>
        <w:top w:val="none" w:sz="0" w:space="0" w:color="auto"/>
        <w:left w:val="none" w:sz="0" w:space="0" w:color="auto"/>
        <w:bottom w:val="none" w:sz="0" w:space="0" w:color="auto"/>
        <w:right w:val="none" w:sz="0" w:space="0" w:color="auto"/>
      </w:divBdr>
    </w:div>
    <w:div w:id="974796729">
      <w:bodyDiv w:val="1"/>
      <w:marLeft w:val="0"/>
      <w:marRight w:val="0"/>
      <w:marTop w:val="0"/>
      <w:marBottom w:val="0"/>
      <w:divBdr>
        <w:top w:val="none" w:sz="0" w:space="0" w:color="auto"/>
        <w:left w:val="none" w:sz="0" w:space="0" w:color="auto"/>
        <w:bottom w:val="none" w:sz="0" w:space="0" w:color="auto"/>
        <w:right w:val="none" w:sz="0" w:space="0" w:color="auto"/>
      </w:divBdr>
    </w:div>
    <w:div w:id="995912063">
      <w:bodyDiv w:val="1"/>
      <w:marLeft w:val="0"/>
      <w:marRight w:val="0"/>
      <w:marTop w:val="0"/>
      <w:marBottom w:val="0"/>
      <w:divBdr>
        <w:top w:val="none" w:sz="0" w:space="0" w:color="auto"/>
        <w:left w:val="none" w:sz="0" w:space="0" w:color="auto"/>
        <w:bottom w:val="none" w:sz="0" w:space="0" w:color="auto"/>
        <w:right w:val="none" w:sz="0" w:space="0" w:color="auto"/>
      </w:divBdr>
    </w:div>
    <w:div w:id="1048183089">
      <w:bodyDiv w:val="1"/>
      <w:marLeft w:val="0"/>
      <w:marRight w:val="0"/>
      <w:marTop w:val="0"/>
      <w:marBottom w:val="0"/>
      <w:divBdr>
        <w:top w:val="none" w:sz="0" w:space="0" w:color="auto"/>
        <w:left w:val="none" w:sz="0" w:space="0" w:color="auto"/>
        <w:bottom w:val="none" w:sz="0" w:space="0" w:color="auto"/>
        <w:right w:val="none" w:sz="0" w:space="0" w:color="auto"/>
      </w:divBdr>
    </w:div>
    <w:div w:id="1184398346">
      <w:bodyDiv w:val="1"/>
      <w:marLeft w:val="0"/>
      <w:marRight w:val="0"/>
      <w:marTop w:val="0"/>
      <w:marBottom w:val="0"/>
      <w:divBdr>
        <w:top w:val="none" w:sz="0" w:space="0" w:color="auto"/>
        <w:left w:val="none" w:sz="0" w:space="0" w:color="auto"/>
        <w:bottom w:val="none" w:sz="0" w:space="0" w:color="auto"/>
        <w:right w:val="none" w:sz="0" w:space="0" w:color="auto"/>
      </w:divBdr>
    </w:div>
    <w:div w:id="1656058663">
      <w:bodyDiv w:val="1"/>
      <w:marLeft w:val="0"/>
      <w:marRight w:val="0"/>
      <w:marTop w:val="0"/>
      <w:marBottom w:val="0"/>
      <w:divBdr>
        <w:top w:val="none" w:sz="0" w:space="0" w:color="auto"/>
        <w:left w:val="none" w:sz="0" w:space="0" w:color="auto"/>
        <w:bottom w:val="none" w:sz="0" w:space="0" w:color="auto"/>
        <w:right w:val="none" w:sz="0" w:space="0" w:color="auto"/>
      </w:divBdr>
    </w:div>
    <w:div w:id="1698115665">
      <w:bodyDiv w:val="1"/>
      <w:marLeft w:val="0"/>
      <w:marRight w:val="0"/>
      <w:marTop w:val="0"/>
      <w:marBottom w:val="0"/>
      <w:divBdr>
        <w:top w:val="none" w:sz="0" w:space="0" w:color="auto"/>
        <w:left w:val="none" w:sz="0" w:space="0" w:color="auto"/>
        <w:bottom w:val="none" w:sz="0" w:space="0" w:color="auto"/>
        <w:right w:val="none" w:sz="0" w:space="0" w:color="auto"/>
      </w:divBdr>
    </w:div>
    <w:div w:id="1705011587">
      <w:bodyDiv w:val="1"/>
      <w:marLeft w:val="0"/>
      <w:marRight w:val="0"/>
      <w:marTop w:val="0"/>
      <w:marBottom w:val="0"/>
      <w:divBdr>
        <w:top w:val="none" w:sz="0" w:space="0" w:color="auto"/>
        <w:left w:val="none" w:sz="0" w:space="0" w:color="auto"/>
        <w:bottom w:val="none" w:sz="0" w:space="0" w:color="auto"/>
        <w:right w:val="none" w:sz="0" w:space="0" w:color="auto"/>
      </w:divBdr>
    </w:div>
    <w:div w:id="1926331604">
      <w:bodyDiv w:val="1"/>
      <w:marLeft w:val="0"/>
      <w:marRight w:val="0"/>
      <w:marTop w:val="0"/>
      <w:marBottom w:val="0"/>
      <w:divBdr>
        <w:top w:val="none" w:sz="0" w:space="0" w:color="auto"/>
        <w:left w:val="none" w:sz="0" w:space="0" w:color="auto"/>
        <w:bottom w:val="none" w:sz="0" w:space="0" w:color="auto"/>
        <w:right w:val="none" w:sz="0" w:space="0" w:color="auto"/>
      </w:divBdr>
    </w:div>
    <w:div w:id="1930919281">
      <w:bodyDiv w:val="1"/>
      <w:marLeft w:val="0"/>
      <w:marRight w:val="0"/>
      <w:marTop w:val="0"/>
      <w:marBottom w:val="0"/>
      <w:divBdr>
        <w:top w:val="none" w:sz="0" w:space="0" w:color="auto"/>
        <w:left w:val="none" w:sz="0" w:space="0" w:color="auto"/>
        <w:bottom w:val="none" w:sz="0" w:space="0" w:color="auto"/>
        <w:right w:val="none" w:sz="0" w:space="0" w:color="auto"/>
      </w:divBdr>
    </w:div>
    <w:div w:id="2004970610">
      <w:bodyDiv w:val="1"/>
      <w:marLeft w:val="0"/>
      <w:marRight w:val="0"/>
      <w:marTop w:val="0"/>
      <w:marBottom w:val="0"/>
      <w:divBdr>
        <w:top w:val="none" w:sz="0" w:space="0" w:color="auto"/>
        <w:left w:val="none" w:sz="0" w:space="0" w:color="auto"/>
        <w:bottom w:val="none" w:sz="0" w:space="0" w:color="auto"/>
        <w:right w:val="none" w:sz="0" w:space="0" w:color="auto"/>
      </w:divBdr>
    </w:div>
    <w:div w:id="2044666110">
      <w:bodyDiv w:val="1"/>
      <w:marLeft w:val="0"/>
      <w:marRight w:val="0"/>
      <w:marTop w:val="0"/>
      <w:marBottom w:val="0"/>
      <w:divBdr>
        <w:top w:val="none" w:sz="0" w:space="0" w:color="auto"/>
        <w:left w:val="none" w:sz="0" w:space="0" w:color="auto"/>
        <w:bottom w:val="none" w:sz="0" w:space="0" w:color="auto"/>
        <w:right w:val="none" w:sz="0" w:space="0" w:color="auto"/>
      </w:divBdr>
    </w:div>
    <w:div w:id="2050256090">
      <w:bodyDiv w:val="1"/>
      <w:marLeft w:val="0"/>
      <w:marRight w:val="0"/>
      <w:marTop w:val="0"/>
      <w:marBottom w:val="0"/>
      <w:divBdr>
        <w:top w:val="none" w:sz="0" w:space="0" w:color="auto"/>
        <w:left w:val="none" w:sz="0" w:space="0" w:color="auto"/>
        <w:bottom w:val="none" w:sz="0" w:space="0" w:color="auto"/>
        <w:right w:val="none" w:sz="0" w:space="0" w:color="auto"/>
      </w:divBdr>
    </w:div>
    <w:div w:id="2081514284">
      <w:bodyDiv w:val="1"/>
      <w:marLeft w:val="0"/>
      <w:marRight w:val="0"/>
      <w:marTop w:val="0"/>
      <w:marBottom w:val="0"/>
      <w:divBdr>
        <w:top w:val="none" w:sz="0" w:space="0" w:color="auto"/>
        <w:left w:val="none" w:sz="0" w:space="0" w:color="auto"/>
        <w:bottom w:val="none" w:sz="0" w:space="0" w:color="auto"/>
        <w:right w:val="none" w:sz="0" w:space="0" w:color="auto"/>
      </w:divBdr>
    </w:div>
    <w:div w:id="2093433689">
      <w:bodyDiv w:val="1"/>
      <w:marLeft w:val="0"/>
      <w:marRight w:val="0"/>
      <w:marTop w:val="0"/>
      <w:marBottom w:val="0"/>
      <w:divBdr>
        <w:top w:val="none" w:sz="0" w:space="0" w:color="auto"/>
        <w:left w:val="none" w:sz="0" w:space="0" w:color="auto"/>
        <w:bottom w:val="none" w:sz="0" w:space="0" w:color="auto"/>
        <w:right w:val="none" w:sz="0" w:space="0" w:color="auto"/>
      </w:divBdr>
    </w:div>
    <w:div w:id="21092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F99CB-C4FD-4382-AD8D-680C42E0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2822</Words>
  <Characters>15521</Characters>
  <Application>Microsoft Office Word</Application>
  <DocSecurity>4</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COI</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Comptable RSIE</dc:creator>
  <cp:lastModifiedBy>Gilles RIBOUET</cp:lastModifiedBy>
  <cp:revision>2</cp:revision>
  <cp:lastPrinted>2021-12-27T13:36:00Z</cp:lastPrinted>
  <dcterms:created xsi:type="dcterms:W3CDTF">2022-01-21T12:39:00Z</dcterms:created>
  <dcterms:modified xsi:type="dcterms:W3CDTF">2022-01-21T12:39:00Z</dcterms:modified>
</cp:coreProperties>
</file>