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BEBB3DC" w:rsidR="00EC22CC" w:rsidRDefault="0018252D" w:rsidP="00854EEA">
            <w:pPr>
              <w:jc w:val="center"/>
              <w:rPr>
                <w:rFonts w:ascii="Verdana" w:hAnsi="Verdana"/>
                <w:b/>
                <w:bCs/>
                <w:sz w:val="20"/>
                <w:szCs w:val="20"/>
              </w:rPr>
            </w:pPr>
            <w:r>
              <w:rPr>
                <w:rFonts w:ascii="Verdana" w:hAnsi="Verdana"/>
                <w:b/>
                <w:bCs/>
              </w:rPr>
              <w:t>[</w:t>
            </w:r>
            <w:r w:rsidR="00E61522">
              <w:rPr>
                <w:rFonts w:ascii="Verdana" w:hAnsi="Verdana"/>
                <w:b/>
                <w:bCs/>
              </w:rPr>
              <w:t>Environnement et climat</w:t>
            </w:r>
            <w:r>
              <w:rPr>
                <w:rFonts w:ascii="Verdana" w:hAnsi="Verdana"/>
                <w:b/>
                <w:bCs/>
              </w:rPr>
              <w:t>]</w:t>
            </w:r>
          </w:p>
        </w:tc>
      </w:tr>
      <w:tr w:rsidR="00EC22CC" w14:paraId="7F1B63D2" w14:textId="77777777" w:rsidTr="002A0933">
        <w:tc>
          <w:tcPr>
            <w:tcW w:w="7225" w:type="dxa"/>
          </w:tcPr>
          <w:p w14:paraId="056D9B10" w14:textId="3D30FF7C" w:rsidR="00EC22CC" w:rsidRPr="002A096E" w:rsidRDefault="00140841" w:rsidP="002A096E">
            <w:pPr>
              <w:rPr>
                <w:rFonts w:ascii="Verdana" w:hAnsi="Verdana"/>
                <w:sz w:val="20"/>
                <w:szCs w:val="20"/>
              </w:rPr>
            </w:pPr>
            <w:r>
              <w:rPr>
                <w:rFonts w:ascii="Verdana" w:hAnsi="Verdana"/>
                <w:sz w:val="20"/>
                <w:szCs w:val="20"/>
              </w:rPr>
              <w:t>Comité des OPL préparatoire au 36</w:t>
            </w:r>
            <w:r w:rsidRPr="00140841">
              <w:rPr>
                <w:rFonts w:ascii="Verdana" w:hAnsi="Verdana"/>
                <w:sz w:val="20"/>
                <w:szCs w:val="20"/>
                <w:vertAlign w:val="superscript"/>
              </w:rPr>
              <w:t>e</w:t>
            </w:r>
            <w:r>
              <w:rPr>
                <w:rFonts w:ascii="Verdana" w:hAnsi="Verdana"/>
                <w:sz w:val="20"/>
                <w:szCs w:val="20"/>
              </w:rPr>
              <w:t xml:space="preserve"> Conseil | </w:t>
            </w:r>
            <w:r w:rsidR="008D5AE4">
              <w:rPr>
                <w:rFonts w:ascii="Verdana" w:hAnsi="Verdana"/>
                <w:sz w:val="20"/>
                <w:szCs w:val="20"/>
              </w:rPr>
              <w:t>8-9</w:t>
            </w:r>
            <w:r>
              <w:rPr>
                <w:rFonts w:ascii="Verdana" w:hAnsi="Verdana"/>
                <w:sz w:val="20"/>
                <w:szCs w:val="20"/>
              </w:rPr>
              <w:t xml:space="preserve"> fé</w:t>
            </w:r>
            <w:r w:rsidR="008D5AE4">
              <w:rPr>
                <w:rFonts w:ascii="Verdana" w:hAnsi="Verdana"/>
                <w:sz w:val="20"/>
                <w:szCs w:val="20"/>
              </w:rPr>
              <w:t>vrier 2022</w:t>
            </w:r>
          </w:p>
        </w:tc>
        <w:tc>
          <w:tcPr>
            <w:tcW w:w="1837" w:type="dxa"/>
          </w:tcPr>
          <w:p w14:paraId="58E25D1F" w14:textId="403E560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D5AE4">
              <w:rPr>
                <w:rFonts w:ascii="Verdana" w:hAnsi="Verdana"/>
                <w:sz w:val="20"/>
                <w:szCs w:val="20"/>
              </w:rPr>
              <w:t>3.4</w:t>
            </w:r>
          </w:p>
        </w:tc>
      </w:tr>
      <w:tr w:rsidR="00EC22CC" w14:paraId="537D1DE5" w14:textId="77777777" w:rsidTr="002A0933">
        <w:tc>
          <w:tcPr>
            <w:tcW w:w="7225" w:type="dxa"/>
          </w:tcPr>
          <w:p w14:paraId="43DEF09E" w14:textId="1BC5FF2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E61522" w:rsidRPr="00140841">
              <w:rPr>
                <w:rFonts w:ascii="Verdana" w:hAnsi="Verdana"/>
                <w:sz w:val="20"/>
                <w:szCs w:val="20"/>
              </w:rPr>
              <w:t>Gina Bonne</w:t>
            </w:r>
            <w:r w:rsidR="0018252D" w:rsidRPr="00140841">
              <w:rPr>
                <w:rFonts w:ascii="Verdana" w:hAnsi="Verdana"/>
                <w:sz w:val="20"/>
                <w:szCs w:val="20"/>
              </w:rPr>
              <w:t xml:space="preserve">, </w:t>
            </w:r>
            <w:r w:rsidR="00E61522">
              <w:rPr>
                <w:rFonts w:ascii="Verdana" w:hAnsi="Verdana"/>
                <w:sz w:val="20"/>
                <w:szCs w:val="20"/>
              </w:rPr>
              <w:t>Chargée de mission</w:t>
            </w:r>
            <w:r w:rsidR="0018252D">
              <w:rPr>
                <w:rFonts w:ascii="Verdana" w:hAnsi="Verdana"/>
                <w:sz w:val="20"/>
                <w:szCs w:val="20"/>
              </w:rPr>
              <w:t>]</w:t>
            </w:r>
          </w:p>
        </w:tc>
        <w:tc>
          <w:tcPr>
            <w:tcW w:w="1837" w:type="dxa"/>
          </w:tcPr>
          <w:p w14:paraId="5AC1AFAB" w14:textId="0B09DC51" w:rsidR="00EC22CC" w:rsidRPr="002A0933" w:rsidRDefault="004607F7" w:rsidP="00854EEA">
            <w:pPr>
              <w:jc w:val="center"/>
              <w:rPr>
                <w:rFonts w:ascii="Verdana" w:hAnsi="Verdana"/>
                <w:sz w:val="20"/>
                <w:szCs w:val="20"/>
              </w:rPr>
            </w:pPr>
            <w:r w:rsidRPr="00BE5742">
              <w:rPr>
                <w:rFonts w:ascii="Verdana" w:hAnsi="Verdana"/>
                <w:sz w:val="20"/>
                <w:szCs w:val="20"/>
              </w:rPr>
              <w:t xml:space="preserve">Décision </w:t>
            </w:r>
          </w:p>
        </w:tc>
      </w:tr>
      <w:tr w:rsidR="00A90305" w14:paraId="6896DB30" w14:textId="77777777" w:rsidTr="009F5233">
        <w:tc>
          <w:tcPr>
            <w:tcW w:w="9062" w:type="dxa"/>
            <w:gridSpan w:val="2"/>
          </w:tcPr>
          <w:p w14:paraId="0495241B" w14:textId="46843366" w:rsidR="00A90305" w:rsidRDefault="00A90305" w:rsidP="00A90305">
            <w:pPr>
              <w:rPr>
                <w:rFonts w:ascii="Verdana" w:hAnsi="Verdana"/>
                <w:sz w:val="20"/>
                <w:szCs w:val="20"/>
              </w:rPr>
            </w:pPr>
            <w:r>
              <w:rPr>
                <w:rFonts w:ascii="Verdana" w:hAnsi="Verdana"/>
                <w:i/>
                <w:iCs/>
                <w:sz w:val="20"/>
                <w:szCs w:val="20"/>
              </w:rPr>
              <w:t xml:space="preserve">Version du </w:t>
            </w:r>
            <w:r w:rsidR="00140841">
              <w:rPr>
                <w:rFonts w:ascii="Verdana" w:hAnsi="Verdana"/>
                <w:i/>
                <w:iCs/>
                <w:sz w:val="20"/>
                <w:szCs w:val="20"/>
              </w:rPr>
              <w:t>04</w:t>
            </w:r>
            <w:r w:rsidR="008D5AE4">
              <w:rPr>
                <w:rFonts w:ascii="Verdana" w:hAnsi="Verdana"/>
                <w:i/>
                <w:iCs/>
                <w:sz w:val="20"/>
                <w:szCs w:val="20"/>
              </w:rPr>
              <w:t xml:space="preserve"> f</w:t>
            </w:r>
            <w:r w:rsidR="00140841">
              <w:rPr>
                <w:rFonts w:ascii="Verdana" w:hAnsi="Verdana"/>
                <w:i/>
                <w:iCs/>
                <w:sz w:val="20"/>
                <w:szCs w:val="20"/>
              </w:rPr>
              <w:t>é</w:t>
            </w:r>
            <w:r w:rsidR="008D5AE4">
              <w:rPr>
                <w:rFonts w:ascii="Verdana" w:hAnsi="Verdana"/>
                <w:i/>
                <w:iCs/>
                <w:sz w:val="20"/>
                <w:szCs w:val="20"/>
              </w:rPr>
              <w:t>vrier 2022</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8491364" w14:textId="0A0DF82D" w:rsidR="0021326E" w:rsidRDefault="003F4158" w:rsidP="00140841">
      <w:pPr>
        <w:pStyle w:val="Paragraphe"/>
        <w:ind w:left="0"/>
      </w:pPr>
      <w:r>
        <w:t xml:space="preserve">Cette fiche </w:t>
      </w:r>
      <w:r w:rsidR="00140841">
        <w:t>présente</w:t>
      </w:r>
      <w:r w:rsidR="00E17417">
        <w:t xml:space="preserve"> l’avancement de quelques</w:t>
      </w:r>
      <w:r w:rsidR="00140841">
        <w:t xml:space="preserve"> </w:t>
      </w:r>
      <w:r w:rsidR="00E17417">
        <w:t>activités structurant</w:t>
      </w:r>
      <w:r w:rsidR="00140841">
        <w:t>es pour</w:t>
      </w:r>
      <w:r w:rsidR="00E17417">
        <w:t xml:space="preserve"> mieux structurer </w:t>
      </w:r>
      <w:r w:rsidR="00140841">
        <w:t>l</w:t>
      </w:r>
      <w:r w:rsidR="00E17417">
        <w:t xml:space="preserve">es activités </w:t>
      </w:r>
      <w:r w:rsidR="00140841">
        <w:t xml:space="preserve">de la COI </w:t>
      </w:r>
      <w:r w:rsidR="00E17417">
        <w:t xml:space="preserve">dans le domaine de l’environnement et </w:t>
      </w:r>
      <w:r w:rsidR="00140841">
        <w:t>du</w:t>
      </w:r>
      <w:r w:rsidR="00E17417">
        <w:t xml:space="preserve"> climat, </w:t>
      </w:r>
      <w:r w:rsidR="00492E12">
        <w:t>permettre une meilleure participation des institu</w:t>
      </w:r>
      <w:r w:rsidR="00140841">
        <w:t>t</w:t>
      </w:r>
      <w:r w:rsidR="00492E12">
        <w:t>ions nationa</w:t>
      </w:r>
      <w:r w:rsidR="00140841">
        <w:t>les</w:t>
      </w:r>
      <w:r w:rsidR="00492E12">
        <w:t xml:space="preserve"> dans la réalisation et </w:t>
      </w:r>
      <w:r w:rsidR="00140841">
        <w:t xml:space="preserve">le </w:t>
      </w:r>
      <w:r w:rsidR="00492E12">
        <w:t xml:space="preserve">suivi des activités, une meilleure articulation entre les programmes nationaux et régionaux   dans le but d’apporter plus d’efficacité. </w:t>
      </w:r>
      <w:r w:rsidR="0021326E">
        <w:t xml:space="preserve">La fiche propose : </w:t>
      </w:r>
    </w:p>
    <w:p w14:paraId="48B92909" w14:textId="673C2311" w:rsidR="00B85753" w:rsidRDefault="0021326E" w:rsidP="00F302F5">
      <w:pPr>
        <w:pStyle w:val="Paragraphe"/>
        <w:numPr>
          <w:ilvl w:val="0"/>
          <w:numId w:val="15"/>
        </w:numPr>
      </w:pPr>
      <w:r>
        <w:t>Un résumé</w:t>
      </w:r>
      <w:r w:rsidR="00492E12">
        <w:t xml:space="preserve"> sur l</w:t>
      </w:r>
      <w:r>
        <w:t xml:space="preserve">a réflexion en cours sur l’opportunité de la mise en place d’une agence régionale de la biodiversité </w:t>
      </w:r>
      <w:r w:rsidR="00882A0F">
        <w:t xml:space="preserve">pour accompagner nos Etats dans la mise en œuvre des actions </w:t>
      </w:r>
      <w:r w:rsidR="00140841">
        <w:t>en lien avec le</w:t>
      </w:r>
      <w:r w:rsidR="00882A0F">
        <w:t xml:space="preserve"> Cadre </w:t>
      </w:r>
      <w:r w:rsidR="00140841">
        <w:t>m</w:t>
      </w:r>
      <w:r w:rsidR="00882A0F">
        <w:t>ondial de la biodiversité post</w:t>
      </w:r>
      <w:r w:rsidR="00140841">
        <w:t>-</w:t>
      </w:r>
      <w:r w:rsidR="00882A0F">
        <w:t xml:space="preserve">2020 en cours de révision. </w:t>
      </w:r>
    </w:p>
    <w:p w14:paraId="3CDA6B7F" w14:textId="13FFE337" w:rsidR="0021326E" w:rsidRDefault="00B85753" w:rsidP="00B85753">
      <w:pPr>
        <w:pStyle w:val="Paragraphe"/>
        <w:numPr>
          <w:ilvl w:val="0"/>
          <w:numId w:val="15"/>
        </w:numPr>
      </w:pPr>
      <w:r>
        <w:t>L</w:t>
      </w:r>
      <w:r w:rsidRPr="006667DE">
        <w:t xml:space="preserve">e renouvellement des protocoles d’accord </w:t>
      </w:r>
      <w:r w:rsidR="00960E1D" w:rsidRPr="006667DE">
        <w:t>(</w:t>
      </w:r>
      <w:proofErr w:type="spellStart"/>
      <w:r w:rsidR="00960E1D" w:rsidRPr="006667DE">
        <w:t>MoU</w:t>
      </w:r>
      <w:proofErr w:type="spellEnd"/>
      <w:r w:rsidRPr="006667DE">
        <w:t xml:space="preserve">) entre la COI et </w:t>
      </w:r>
      <w:r w:rsidR="00140841">
        <w:t>le Programme des Nations unies pour l’environnement</w:t>
      </w:r>
      <w:r w:rsidRPr="006667DE">
        <w:t xml:space="preserve"> au titre de la Convention de Nairobi </w:t>
      </w:r>
      <w:r w:rsidR="00960E1D" w:rsidRPr="006667DE">
        <w:t>et</w:t>
      </w:r>
      <w:r w:rsidR="00F302F5">
        <w:t xml:space="preserve"> aussi </w:t>
      </w:r>
      <w:r w:rsidR="00F302F5" w:rsidRPr="006667DE">
        <w:t>entre</w:t>
      </w:r>
      <w:r w:rsidRPr="006667DE">
        <w:t xml:space="preserve"> la COI et l’Association </w:t>
      </w:r>
      <w:r w:rsidR="00121F9B">
        <w:t>de</w:t>
      </w:r>
      <w:r w:rsidR="00140841">
        <w:t>s</w:t>
      </w:r>
      <w:r w:rsidR="00121F9B">
        <w:t xml:space="preserve"> Science</w:t>
      </w:r>
      <w:r w:rsidR="00140841">
        <w:t>s marins</w:t>
      </w:r>
      <w:r w:rsidR="00960E1D">
        <w:t xml:space="preserve"> </w:t>
      </w:r>
      <w:r w:rsidR="00F302F5">
        <w:t>du</w:t>
      </w:r>
      <w:r w:rsidRPr="006667DE">
        <w:t xml:space="preserve"> Sud-</w:t>
      </w:r>
      <w:r w:rsidR="00140841">
        <w:t>O</w:t>
      </w:r>
      <w:r w:rsidRPr="006667DE">
        <w:t xml:space="preserve">uest de </w:t>
      </w:r>
      <w:r w:rsidR="00F302F5" w:rsidRPr="006667DE">
        <w:t>l’</w:t>
      </w:r>
      <w:r w:rsidR="00140841">
        <w:t xml:space="preserve">océan </w:t>
      </w:r>
      <w:r w:rsidR="00F302F5" w:rsidRPr="006667DE">
        <w:t>Indien</w:t>
      </w:r>
      <w:r w:rsidR="00140841">
        <w:t xml:space="preserve"> (</w:t>
      </w:r>
      <w:r w:rsidRPr="006667DE">
        <w:t>WIOMSA</w:t>
      </w:r>
      <w:r w:rsidR="00140841">
        <w:t>)</w:t>
      </w:r>
    </w:p>
    <w:p w14:paraId="7174B9B5" w14:textId="475ED143" w:rsidR="00121F9B" w:rsidRDefault="00121F9B" w:rsidP="00F302F5">
      <w:pPr>
        <w:pStyle w:val="Paragraphe"/>
        <w:numPr>
          <w:ilvl w:val="0"/>
          <w:numId w:val="15"/>
        </w:numPr>
      </w:pPr>
      <w:r>
        <w:t xml:space="preserve">Un aperçu sur </w:t>
      </w:r>
      <w:r w:rsidR="00882A0F">
        <w:t>la mise en œuvre du plan d’action int</w:t>
      </w:r>
      <w:r w:rsidR="00140841">
        <w:t>égré sur le</w:t>
      </w:r>
      <w:r w:rsidR="00882A0F">
        <w:t xml:space="preserve"> changement climatique et la réduction des risques de catastrophe</w:t>
      </w:r>
      <w:r w:rsidR="00140841">
        <w:t xml:space="preserve"> avec u</w:t>
      </w:r>
      <w:r w:rsidR="00F302F5">
        <w:t>ne attention</w:t>
      </w:r>
      <w:r w:rsidR="008C69E2">
        <w:t xml:space="preserve"> particulière sur le </w:t>
      </w:r>
      <w:r w:rsidR="00140841">
        <w:t>projet</w:t>
      </w:r>
      <w:r>
        <w:t xml:space="preserve"> </w:t>
      </w:r>
      <w:r w:rsidR="000B18C2">
        <w:t>HYDROMET</w:t>
      </w:r>
      <w:r w:rsidR="0007588D">
        <w:t>.</w:t>
      </w:r>
      <w:r w:rsidR="000B18C2">
        <w:t xml:space="preserve"> </w:t>
      </w:r>
    </w:p>
    <w:p w14:paraId="684046EA" w14:textId="7663AA7F" w:rsidR="00B85753" w:rsidRDefault="00E17417" w:rsidP="00F302F5">
      <w:pPr>
        <w:pStyle w:val="Titrepartie"/>
        <w:numPr>
          <w:ilvl w:val="0"/>
          <w:numId w:val="0"/>
        </w:numPr>
        <w:ind w:left="360"/>
      </w:pPr>
      <w:r w:rsidRPr="00F302F5">
        <w:rPr>
          <w:b w:val="0"/>
          <w:bCs w:val="0"/>
        </w:rPr>
        <w:t xml:space="preserve"> </w:t>
      </w:r>
    </w:p>
    <w:p w14:paraId="68009DDB" w14:textId="06AAE9C2" w:rsidR="0008468B" w:rsidRPr="0008468B" w:rsidRDefault="00955BB3" w:rsidP="00A70123">
      <w:pPr>
        <w:pStyle w:val="Titrepartie"/>
      </w:pPr>
      <w:r w:rsidRPr="0008468B">
        <w:t>Etat d’avancement</w:t>
      </w:r>
    </w:p>
    <w:p w14:paraId="51ED1DAF" w14:textId="77777777" w:rsidR="00554318" w:rsidRDefault="00554318" w:rsidP="00554318"/>
    <w:p w14:paraId="034B86DC" w14:textId="50772410" w:rsidR="00557921" w:rsidRPr="00E61522" w:rsidRDefault="00557921" w:rsidP="00140841">
      <w:pPr>
        <w:pStyle w:val="Sous-partie2"/>
      </w:pPr>
      <w:r w:rsidRPr="00E61522">
        <w:t xml:space="preserve">Agence </w:t>
      </w:r>
      <w:r w:rsidR="00140841">
        <w:t>régionale de la biodiversité</w:t>
      </w:r>
    </w:p>
    <w:p w14:paraId="41768572" w14:textId="1F43828A" w:rsidR="00554318" w:rsidRPr="004B4919" w:rsidRDefault="00554318" w:rsidP="00140841">
      <w:pPr>
        <w:ind w:left="0"/>
        <w:jc w:val="both"/>
        <w:rPr>
          <w:rFonts w:ascii="Verdana" w:hAnsi="Verdana"/>
          <w:sz w:val="20"/>
          <w:szCs w:val="20"/>
        </w:rPr>
      </w:pPr>
      <w:r w:rsidRPr="004B4919">
        <w:rPr>
          <w:rFonts w:ascii="Verdana" w:hAnsi="Verdana"/>
          <w:sz w:val="20"/>
          <w:szCs w:val="20"/>
        </w:rPr>
        <w:t xml:space="preserve">Les Etats membres de la COI se sont engagés à suivre le Plan stratégique pour la diversité biologique 2011-2020 et les Objectifs </w:t>
      </w:r>
      <w:r w:rsidR="008D5AE4" w:rsidRPr="004B4919">
        <w:rPr>
          <w:rFonts w:ascii="Verdana" w:hAnsi="Verdana"/>
          <w:sz w:val="20"/>
          <w:szCs w:val="20"/>
        </w:rPr>
        <w:t>d’Aichi. Les</w:t>
      </w:r>
      <w:r w:rsidR="0007588D" w:rsidRPr="004B4919">
        <w:rPr>
          <w:rFonts w:ascii="Verdana" w:hAnsi="Verdana"/>
          <w:sz w:val="20"/>
          <w:szCs w:val="20"/>
        </w:rPr>
        <w:t xml:space="preserve"> Etats participe</w:t>
      </w:r>
      <w:r w:rsidR="008D5AE4" w:rsidRPr="004B4919">
        <w:rPr>
          <w:rFonts w:ascii="Verdana" w:hAnsi="Verdana"/>
          <w:sz w:val="20"/>
          <w:szCs w:val="20"/>
        </w:rPr>
        <w:t>nt</w:t>
      </w:r>
      <w:r w:rsidR="0007588D" w:rsidRPr="004B4919">
        <w:rPr>
          <w:rFonts w:ascii="Verdana" w:hAnsi="Verdana"/>
          <w:sz w:val="20"/>
          <w:szCs w:val="20"/>
        </w:rPr>
        <w:t xml:space="preserve"> également dans les processus au niveau international po</w:t>
      </w:r>
      <w:r w:rsidR="00EC1070" w:rsidRPr="004B4919">
        <w:rPr>
          <w:rFonts w:ascii="Verdana" w:hAnsi="Verdana"/>
          <w:sz w:val="20"/>
          <w:szCs w:val="20"/>
        </w:rPr>
        <w:t>ur l’</w:t>
      </w:r>
      <w:r w:rsidR="0007588D" w:rsidRPr="004B4919">
        <w:rPr>
          <w:rFonts w:ascii="Verdana" w:hAnsi="Verdana"/>
          <w:sz w:val="20"/>
          <w:szCs w:val="20"/>
        </w:rPr>
        <w:t>a</w:t>
      </w:r>
      <w:r w:rsidR="00EC1070" w:rsidRPr="004B4919">
        <w:rPr>
          <w:rFonts w:ascii="Verdana" w:hAnsi="Verdana"/>
          <w:sz w:val="20"/>
          <w:szCs w:val="20"/>
        </w:rPr>
        <w:t xml:space="preserve">doption du </w:t>
      </w:r>
      <w:r w:rsidR="0007588D" w:rsidRPr="004B4919">
        <w:rPr>
          <w:rFonts w:ascii="Verdana" w:hAnsi="Verdana"/>
          <w:sz w:val="20"/>
          <w:szCs w:val="20"/>
        </w:rPr>
        <w:t xml:space="preserve">Cadre </w:t>
      </w:r>
      <w:r w:rsidR="00140841">
        <w:rPr>
          <w:rFonts w:ascii="Verdana" w:hAnsi="Verdana"/>
          <w:sz w:val="20"/>
          <w:szCs w:val="20"/>
        </w:rPr>
        <w:t>m</w:t>
      </w:r>
      <w:r w:rsidR="0007588D" w:rsidRPr="004B4919">
        <w:rPr>
          <w:rFonts w:ascii="Verdana" w:hAnsi="Verdana"/>
          <w:sz w:val="20"/>
          <w:szCs w:val="20"/>
        </w:rPr>
        <w:t>ondial</w:t>
      </w:r>
      <w:r w:rsidR="00EC1070" w:rsidRPr="004B4919">
        <w:rPr>
          <w:rFonts w:ascii="Verdana" w:hAnsi="Verdana"/>
          <w:sz w:val="20"/>
          <w:szCs w:val="20"/>
        </w:rPr>
        <w:t xml:space="preserve"> </w:t>
      </w:r>
      <w:r w:rsidR="0007588D" w:rsidRPr="004B4919">
        <w:rPr>
          <w:rFonts w:ascii="Verdana" w:hAnsi="Verdana"/>
          <w:sz w:val="20"/>
          <w:szCs w:val="20"/>
        </w:rPr>
        <w:t>sur la biodiversité après 2020</w:t>
      </w:r>
      <w:r w:rsidR="008D5AE4" w:rsidRPr="004B4919">
        <w:rPr>
          <w:rFonts w:ascii="Verdana" w:hAnsi="Verdana"/>
          <w:sz w:val="20"/>
          <w:szCs w:val="20"/>
        </w:rPr>
        <w:t>.</w:t>
      </w:r>
    </w:p>
    <w:p w14:paraId="7AEA316A" w14:textId="7830B5A3" w:rsidR="00554318" w:rsidRPr="004B4919" w:rsidRDefault="00554318" w:rsidP="00140841">
      <w:pPr>
        <w:ind w:left="0"/>
        <w:jc w:val="both"/>
        <w:rPr>
          <w:rFonts w:ascii="Verdana" w:hAnsi="Verdana"/>
          <w:sz w:val="20"/>
          <w:szCs w:val="20"/>
        </w:rPr>
      </w:pPr>
      <w:r w:rsidRPr="004B4919">
        <w:rPr>
          <w:rFonts w:ascii="Verdana" w:hAnsi="Verdana"/>
          <w:sz w:val="20"/>
          <w:szCs w:val="20"/>
        </w:rPr>
        <w:t>Suivant la Décision 10</w:t>
      </w:r>
      <w:r w:rsidR="00140841">
        <w:rPr>
          <w:rFonts w:ascii="Verdana" w:hAnsi="Verdana"/>
          <w:sz w:val="20"/>
          <w:szCs w:val="20"/>
        </w:rPr>
        <w:t>.</w:t>
      </w:r>
      <w:r w:rsidR="00960E1D" w:rsidRPr="004B4919">
        <w:rPr>
          <w:rFonts w:ascii="Verdana" w:hAnsi="Verdana"/>
          <w:sz w:val="20"/>
          <w:szCs w:val="20"/>
        </w:rPr>
        <w:t xml:space="preserve">d </w:t>
      </w:r>
      <w:r w:rsidRPr="004B4919">
        <w:rPr>
          <w:rFonts w:ascii="Verdana" w:hAnsi="Verdana"/>
          <w:sz w:val="20"/>
          <w:szCs w:val="20"/>
        </w:rPr>
        <w:t>du 3</w:t>
      </w:r>
      <w:r w:rsidR="00960E1D" w:rsidRPr="004B4919">
        <w:rPr>
          <w:rFonts w:ascii="Verdana" w:hAnsi="Verdana"/>
          <w:sz w:val="20"/>
          <w:szCs w:val="20"/>
        </w:rPr>
        <w:t>3</w:t>
      </w:r>
      <w:r w:rsidRPr="004B4919">
        <w:rPr>
          <w:rFonts w:ascii="Verdana" w:hAnsi="Verdana"/>
          <w:sz w:val="20"/>
          <w:szCs w:val="20"/>
          <w:vertAlign w:val="superscript"/>
        </w:rPr>
        <w:t>eme</w:t>
      </w:r>
      <w:r w:rsidRPr="004B4919">
        <w:rPr>
          <w:rFonts w:ascii="Verdana" w:hAnsi="Verdana"/>
          <w:sz w:val="20"/>
          <w:szCs w:val="20"/>
        </w:rPr>
        <w:t xml:space="preserve"> Conseil des </w:t>
      </w:r>
      <w:r w:rsidR="00317F29" w:rsidRPr="004B4919">
        <w:rPr>
          <w:rFonts w:ascii="Verdana" w:hAnsi="Verdana"/>
          <w:sz w:val="20"/>
          <w:szCs w:val="20"/>
        </w:rPr>
        <w:t>ministres, et</w:t>
      </w:r>
      <w:r w:rsidR="002936D5" w:rsidRPr="004B4919">
        <w:rPr>
          <w:rFonts w:ascii="Verdana" w:hAnsi="Verdana"/>
          <w:sz w:val="20"/>
          <w:szCs w:val="20"/>
        </w:rPr>
        <w:t xml:space="preserve"> en </w:t>
      </w:r>
      <w:r w:rsidR="007911E3" w:rsidRPr="004B4919">
        <w:rPr>
          <w:rFonts w:ascii="Verdana" w:hAnsi="Verdana"/>
          <w:sz w:val="20"/>
          <w:szCs w:val="20"/>
        </w:rPr>
        <w:t xml:space="preserve">conformité avec la </w:t>
      </w:r>
      <w:r w:rsidR="00317F29" w:rsidRPr="004B4919">
        <w:rPr>
          <w:rFonts w:ascii="Verdana" w:hAnsi="Verdana"/>
          <w:sz w:val="20"/>
          <w:szCs w:val="20"/>
        </w:rPr>
        <w:t>décision 13</w:t>
      </w:r>
      <w:r w:rsidR="007911E3" w:rsidRPr="004B4919">
        <w:rPr>
          <w:rFonts w:ascii="Verdana" w:hAnsi="Verdana"/>
          <w:sz w:val="20"/>
          <w:szCs w:val="20"/>
        </w:rPr>
        <w:t xml:space="preserve">c du COPIL 01/2020 ainsi que la </w:t>
      </w:r>
      <w:r w:rsidR="00317F29" w:rsidRPr="004B4919">
        <w:rPr>
          <w:rFonts w:ascii="Verdana" w:hAnsi="Verdana"/>
          <w:sz w:val="20"/>
          <w:szCs w:val="20"/>
        </w:rPr>
        <w:t>décision du</w:t>
      </w:r>
      <w:r w:rsidR="007911E3" w:rsidRPr="004B4919">
        <w:rPr>
          <w:rFonts w:ascii="Verdana" w:hAnsi="Verdana"/>
          <w:sz w:val="20"/>
          <w:szCs w:val="20"/>
        </w:rPr>
        <w:t xml:space="preserve"> conseil extraordinaire d</w:t>
      </w:r>
      <w:r w:rsidR="00140841">
        <w:rPr>
          <w:rFonts w:ascii="Verdana" w:hAnsi="Verdana"/>
          <w:sz w:val="20"/>
          <w:szCs w:val="20"/>
        </w:rPr>
        <w:t>e</w:t>
      </w:r>
      <w:r w:rsidR="007911E3" w:rsidRPr="004B4919">
        <w:rPr>
          <w:rFonts w:ascii="Verdana" w:hAnsi="Verdana"/>
          <w:sz w:val="20"/>
          <w:szCs w:val="20"/>
        </w:rPr>
        <w:t xml:space="preserve"> novembre </w:t>
      </w:r>
      <w:r w:rsidR="00317F29" w:rsidRPr="004B4919">
        <w:rPr>
          <w:rFonts w:ascii="Verdana" w:hAnsi="Verdana"/>
          <w:sz w:val="20"/>
          <w:szCs w:val="20"/>
        </w:rPr>
        <w:t>2021</w:t>
      </w:r>
      <w:r w:rsidR="00140841">
        <w:rPr>
          <w:rFonts w:ascii="Verdana" w:hAnsi="Verdana"/>
          <w:sz w:val="20"/>
          <w:szCs w:val="20"/>
        </w:rPr>
        <w:t>,</w:t>
      </w:r>
      <w:r w:rsidR="00317F29" w:rsidRPr="004B4919">
        <w:rPr>
          <w:rFonts w:ascii="Verdana" w:hAnsi="Verdana"/>
          <w:sz w:val="20"/>
          <w:szCs w:val="20"/>
        </w:rPr>
        <w:t xml:space="preserve"> le</w:t>
      </w:r>
      <w:r w:rsidRPr="004B4919">
        <w:rPr>
          <w:rFonts w:ascii="Verdana" w:hAnsi="Verdana"/>
          <w:sz w:val="20"/>
          <w:szCs w:val="20"/>
        </w:rPr>
        <w:t xml:space="preserve"> Secrétariat général </w:t>
      </w:r>
      <w:r w:rsidR="007911E3" w:rsidRPr="004B4919">
        <w:rPr>
          <w:rFonts w:ascii="Verdana" w:hAnsi="Verdana"/>
          <w:sz w:val="20"/>
          <w:szCs w:val="20"/>
        </w:rPr>
        <w:t xml:space="preserve">a mis en place </w:t>
      </w:r>
      <w:r w:rsidRPr="004B4919">
        <w:rPr>
          <w:rFonts w:ascii="Verdana" w:hAnsi="Verdana"/>
          <w:sz w:val="20"/>
          <w:szCs w:val="20"/>
        </w:rPr>
        <w:t xml:space="preserve">un groupe de travail composé des représentants des Etats membres de la COI pour évaluer l’opportunité </w:t>
      </w:r>
      <w:r w:rsidR="00140841" w:rsidRPr="004B4919">
        <w:rPr>
          <w:rFonts w:ascii="Verdana" w:hAnsi="Verdana"/>
          <w:sz w:val="20"/>
          <w:szCs w:val="20"/>
        </w:rPr>
        <w:t xml:space="preserve">de création d’une agence régionale de la Biodiversité </w:t>
      </w:r>
      <w:r w:rsidRPr="004B4919">
        <w:rPr>
          <w:rFonts w:ascii="Verdana" w:hAnsi="Verdana"/>
          <w:sz w:val="20"/>
          <w:szCs w:val="20"/>
        </w:rPr>
        <w:t>et</w:t>
      </w:r>
      <w:r w:rsidR="00140841">
        <w:rPr>
          <w:rFonts w:ascii="Verdana" w:hAnsi="Verdana"/>
          <w:sz w:val="20"/>
          <w:szCs w:val="20"/>
        </w:rPr>
        <w:t>, le cas échéant, convenir des modalités.</w:t>
      </w:r>
      <w:r w:rsidRPr="004B4919">
        <w:rPr>
          <w:rFonts w:ascii="Verdana" w:hAnsi="Verdana"/>
          <w:sz w:val="20"/>
          <w:szCs w:val="20"/>
        </w:rPr>
        <w:t xml:space="preserve"> </w:t>
      </w:r>
    </w:p>
    <w:p w14:paraId="16F84774" w14:textId="6E37AB84" w:rsidR="00A374E7" w:rsidRPr="004B4919" w:rsidRDefault="00554318" w:rsidP="00140841">
      <w:pPr>
        <w:ind w:left="0"/>
        <w:jc w:val="both"/>
        <w:rPr>
          <w:rFonts w:ascii="Verdana" w:hAnsi="Verdana"/>
          <w:sz w:val="20"/>
          <w:szCs w:val="20"/>
        </w:rPr>
      </w:pPr>
      <w:r w:rsidRPr="004B4919">
        <w:rPr>
          <w:rFonts w:ascii="Verdana" w:hAnsi="Verdana"/>
          <w:sz w:val="20"/>
          <w:szCs w:val="20"/>
        </w:rPr>
        <w:t xml:space="preserve">Une première réunion </w:t>
      </w:r>
      <w:r w:rsidR="00140841">
        <w:rPr>
          <w:rFonts w:ascii="Verdana" w:hAnsi="Verdana"/>
          <w:sz w:val="20"/>
          <w:szCs w:val="20"/>
        </w:rPr>
        <w:t>des</w:t>
      </w:r>
      <w:r w:rsidRPr="004B4919">
        <w:rPr>
          <w:rFonts w:ascii="Verdana" w:hAnsi="Verdana"/>
          <w:sz w:val="20"/>
          <w:szCs w:val="20"/>
        </w:rPr>
        <w:t xml:space="preserve"> correspondants nationaux de ce groupe de travail a été organisée </w:t>
      </w:r>
      <w:r w:rsidR="004B4919" w:rsidRPr="004B4919">
        <w:rPr>
          <w:rFonts w:ascii="Verdana" w:hAnsi="Verdana"/>
          <w:sz w:val="20"/>
          <w:szCs w:val="20"/>
        </w:rPr>
        <w:t xml:space="preserve">en </w:t>
      </w:r>
      <w:r w:rsidRPr="004B4919">
        <w:rPr>
          <w:rFonts w:ascii="Verdana" w:hAnsi="Verdana"/>
          <w:sz w:val="20"/>
          <w:szCs w:val="20"/>
        </w:rPr>
        <w:t>début</w:t>
      </w:r>
      <w:r w:rsidR="004B4919" w:rsidRPr="004B4919">
        <w:rPr>
          <w:rFonts w:ascii="Verdana" w:hAnsi="Verdana"/>
          <w:sz w:val="20"/>
          <w:szCs w:val="20"/>
        </w:rPr>
        <w:t xml:space="preserve"> </w:t>
      </w:r>
      <w:r w:rsidR="00B62278" w:rsidRPr="004B4919">
        <w:rPr>
          <w:rFonts w:ascii="Verdana" w:hAnsi="Verdana"/>
          <w:sz w:val="20"/>
          <w:szCs w:val="20"/>
        </w:rPr>
        <w:t>de janvier</w:t>
      </w:r>
      <w:r w:rsidR="00317F29" w:rsidRPr="004B4919">
        <w:rPr>
          <w:rFonts w:ascii="Verdana" w:hAnsi="Verdana"/>
          <w:sz w:val="20"/>
          <w:szCs w:val="20"/>
        </w:rPr>
        <w:t xml:space="preserve"> 202</w:t>
      </w:r>
      <w:r w:rsidR="00431B2B" w:rsidRPr="004B4919">
        <w:rPr>
          <w:rFonts w:ascii="Verdana" w:hAnsi="Verdana"/>
          <w:sz w:val="20"/>
          <w:szCs w:val="20"/>
        </w:rPr>
        <w:t>2</w:t>
      </w:r>
      <w:r w:rsidR="00317F29" w:rsidRPr="004B4919">
        <w:rPr>
          <w:rFonts w:ascii="Verdana" w:hAnsi="Verdana"/>
          <w:sz w:val="20"/>
          <w:szCs w:val="20"/>
        </w:rPr>
        <w:t xml:space="preserve">. </w:t>
      </w:r>
      <w:r w:rsidR="00431B2B" w:rsidRPr="004B4919">
        <w:rPr>
          <w:rFonts w:ascii="Verdana" w:hAnsi="Verdana"/>
          <w:sz w:val="20"/>
          <w:szCs w:val="20"/>
        </w:rPr>
        <w:t xml:space="preserve">Cette </w:t>
      </w:r>
      <w:r w:rsidR="00A374E7" w:rsidRPr="004B4919">
        <w:rPr>
          <w:rFonts w:ascii="Verdana" w:hAnsi="Verdana"/>
          <w:sz w:val="20"/>
          <w:szCs w:val="20"/>
        </w:rPr>
        <w:t xml:space="preserve">première </w:t>
      </w:r>
      <w:r w:rsidR="00431B2B" w:rsidRPr="004B4919">
        <w:rPr>
          <w:rFonts w:ascii="Verdana" w:hAnsi="Verdana"/>
          <w:sz w:val="20"/>
          <w:szCs w:val="20"/>
        </w:rPr>
        <w:t>rencontre avait pour but de passer en revue le</w:t>
      </w:r>
      <w:r w:rsidR="00140841">
        <w:rPr>
          <w:rFonts w:ascii="Verdana" w:hAnsi="Verdana"/>
          <w:sz w:val="20"/>
          <w:szCs w:val="20"/>
        </w:rPr>
        <w:t>s</w:t>
      </w:r>
      <w:r w:rsidR="00431B2B" w:rsidRPr="004B4919">
        <w:rPr>
          <w:rFonts w:ascii="Verdana" w:hAnsi="Verdana"/>
          <w:sz w:val="20"/>
          <w:szCs w:val="20"/>
        </w:rPr>
        <w:t xml:space="preserve"> terme</w:t>
      </w:r>
      <w:r w:rsidR="00140841">
        <w:rPr>
          <w:rFonts w:ascii="Verdana" w:hAnsi="Verdana"/>
          <w:sz w:val="20"/>
          <w:szCs w:val="20"/>
        </w:rPr>
        <w:t>s</w:t>
      </w:r>
      <w:r w:rsidR="00431B2B" w:rsidRPr="004B4919">
        <w:rPr>
          <w:rFonts w:ascii="Verdana" w:hAnsi="Verdana"/>
          <w:sz w:val="20"/>
          <w:szCs w:val="20"/>
        </w:rPr>
        <w:t xml:space="preserve"> de référence du groupe de travail</w:t>
      </w:r>
      <w:r w:rsidR="00A374E7" w:rsidRPr="004B4919">
        <w:rPr>
          <w:rFonts w:ascii="Verdana" w:hAnsi="Verdana"/>
          <w:sz w:val="20"/>
          <w:szCs w:val="20"/>
        </w:rPr>
        <w:t xml:space="preserve"> et aussi de </w:t>
      </w:r>
      <w:r w:rsidR="00431B2B" w:rsidRPr="004B4919">
        <w:rPr>
          <w:rFonts w:ascii="Verdana" w:hAnsi="Verdana"/>
          <w:sz w:val="20"/>
          <w:szCs w:val="20"/>
        </w:rPr>
        <w:t>se mettre d’accord sur l</w:t>
      </w:r>
      <w:r w:rsidR="00140841">
        <w:rPr>
          <w:rFonts w:ascii="Verdana" w:hAnsi="Verdana"/>
          <w:sz w:val="20"/>
          <w:szCs w:val="20"/>
        </w:rPr>
        <w:t>es</w:t>
      </w:r>
      <w:r w:rsidR="00431B2B" w:rsidRPr="004B4919">
        <w:rPr>
          <w:rFonts w:ascii="Verdana" w:hAnsi="Verdana"/>
          <w:sz w:val="20"/>
          <w:szCs w:val="20"/>
        </w:rPr>
        <w:t xml:space="preserve"> </w:t>
      </w:r>
      <w:r w:rsidR="00A374E7" w:rsidRPr="004B4919">
        <w:rPr>
          <w:rFonts w:ascii="Verdana" w:hAnsi="Verdana"/>
          <w:sz w:val="20"/>
          <w:szCs w:val="20"/>
        </w:rPr>
        <w:t>modalité</w:t>
      </w:r>
      <w:r w:rsidR="00140841">
        <w:rPr>
          <w:rFonts w:ascii="Verdana" w:hAnsi="Verdana"/>
          <w:sz w:val="20"/>
          <w:szCs w:val="20"/>
        </w:rPr>
        <w:t>s</w:t>
      </w:r>
      <w:r w:rsidR="00431B2B" w:rsidRPr="004B4919">
        <w:rPr>
          <w:rFonts w:ascii="Verdana" w:hAnsi="Verdana"/>
          <w:sz w:val="20"/>
          <w:szCs w:val="20"/>
        </w:rPr>
        <w:t xml:space="preserve"> d</w:t>
      </w:r>
      <w:r w:rsidR="00140841">
        <w:rPr>
          <w:rFonts w:ascii="Verdana" w:hAnsi="Verdana"/>
          <w:sz w:val="20"/>
          <w:szCs w:val="20"/>
        </w:rPr>
        <w:t>e</w:t>
      </w:r>
      <w:r w:rsidR="00431B2B" w:rsidRPr="004B4919">
        <w:rPr>
          <w:rFonts w:ascii="Verdana" w:hAnsi="Verdana"/>
          <w:sz w:val="20"/>
          <w:szCs w:val="20"/>
        </w:rPr>
        <w:t xml:space="preserve"> </w:t>
      </w:r>
      <w:r w:rsidR="00A374E7" w:rsidRPr="004B4919">
        <w:rPr>
          <w:rFonts w:ascii="Verdana" w:hAnsi="Verdana"/>
          <w:sz w:val="20"/>
          <w:szCs w:val="20"/>
        </w:rPr>
        <w:t xml:space="preserve">travail du groupe. </w:t>
      </w:r>
    </w:p>
    <w:p w14:paraId="4068A91E" w14:textId="0510E358" w:rsidR="004B4919" w:rsidRDefault="00554318" w:rsidP="00140841">
      <w:pPr>
        <w:ind w:left="0"/>
        <w:jc w:val="both"/>
        <w:rPr>
          <w:rFonts w:ascii="Verdana" w:hAnsi="Verdana"/>
          <w:sz w:val="20"/>
          <w:szCs w:val="20"/>
        </w:rPr>
      </w:pPr>
      <w:r w:rsidRPr="004B4919">
        <w:rPr>
          <w:rFonts w:ascii="Verdana" w:hAnsi="Verdana"/>
          <w:sz w:val="20"/>
          <w:szCs w:val="20"/>
        </w:rPr>
        <w:t>Il en ressort : i°) un intérêt fort des parties sur la démarche</w:t>
      </w:r>
      <w:r w:rsidR="00C541D8" w:rsidRPr="004B4919">
        <w:rPr>
          <w:rFonts w:ascii="Verdana" w:hAnsi="Verdana"/>
          <w:sz w:val="20"/>
          <w:szCs w:val="20"/>
        </w:rPr>
        <w:t xml:space="preserve"> pour la mise en place d’un mécanisme régional sur la </w:t>
      </w:r>
      <w:r w:rsidR="004B4919" w:rsidRPr="004B4919">
        <w:rPr>
          <w:rFonts w:ascii="Verdana" w:hAnsi="Verdana"/>
          <w:sz w:val="20"/>
          <w:szCs w:val="20"/>
        </w:rPr>
        <w:t>biodiversité ;</w:t>
      </w:r>
      <w:r w:rsidRPr="004B4919">
        <w:rPr>
          <w:rFonts w:ascii="Verdana" w:hAnsi="Verdana"/>
          <w:sz w:val="20"/>
          <w:szCs w:val="20"/>
        </w:rPr>
        <w:t xml:space="preserve"> ii°) la volonté d’une approche pragmatique</w:t>
      </w:r>
      <w:r w:rsidR="00140841">
        <w:rPr>
          <w:rFonts w:ascii="Verdana" w:hAnsi="Verdana"/>
          <w:sz w:val="20"/>
          <w:szCs w:val="20"/>
        </w:rPr>
        <w:t xml:space="preserve"> et </w:t>
      </w:r>
      <w:r w:rsidRPr="004B4919">
        <w:rPr>
          <w:rFonts w:ascii="Verdana" w:hAnsi="Verdana"/>
          <w:sz w:val="20"/>
          <w:szCs w:val="20"/>
        </w:rPr>
        <w:t xml:space="preserve">progressive centrée sur la réalisation d’actions </w:t>
      </w:r>
      <w:r w:rsidR="00F20FDE" w:rsidRPr="004B4919">
        <w:rPr>
          <w:rFonts w:ascii="Verdana" w:hAnsi="Verdana"/>
          <w:sz w:val="20"/>
          <w:szCs w:val="20"/>
        </w:rPr>
        <w:t>concrètes ;</w:t>
      </w:r>
      <w:r w:rsidRPr="004B4919">
        <w:rPr>
          <w:rFonts w:ascii="Verdana" w:hAnsi="Verdana"/>
          <w:sz w:val="20"/>
          <w:szCs w:val="20"/>
        </w:rPr>
        <w:t xml:space="preserve"> iii°) </w:t>
      </w:r>
      <w:r w:rsidR="00C541D8" w:rsidRPr="004B4919">
        <w:rPr>
          <w:rFonts w:ascii="Verdana" w:hAnsi="Verdana"/>
          <w:sz w:val="20"/>
          <w:szCs w:val="20"/>
        </w:rPr>
        <w:t xml:space="preserve">assurer les ressources spécifiques (humaines et financières) adéquates </w:t>
      </w:r>
      <w:r w:rsidR="00F20FDE" w:rsidRPr="004B4919">
        <w:rPr>
          <w:rFonts w:ascii="Verdana" w:hAnsi="Verdana"/>
          <w:sz w:val="20"/>
          <w:szCs w:val="20"/>
        </w:rPr>
        <w:t>pour concrétiser</w:t>
      </w:r>
      <w:r w:rsidR="00C541D8" w:rsidRPr="004B4919">
        <w:rPr>
          <w:rFonts w:ascii="Verdana" w:hAnsi="Verdana"/>
          <w:sz w:val="20"/>
          <w:szCs w:val="20"/>
        </w:rPr>
        <w:t xml:space="preserve"> le proje</w:t>
      </w:r>
      <w:r w:rsidR="00F60483" w:rsidRPr="004B4919">
        <w:rPr>
          <w:rFonts w:ascii="Verdana" w:hAnsi="Verdana"/>
          <w:sz w:val="20"/>
          <w:szCs w:val="20"/>
        </w:rPr>
        <w:t xml:space="preserve">t, </w:t>
      </w:r>
      <w:r w:rsidR="00901F8B" w:rsidRPr="004B4919">
        <w:rPr>
          <w:rFonts w:ascii="Verdana" w:hAnsi="Verdana"/>
          <w:sz w:val="20"/>
          <w:szCs w:val="20"/>
        </w:rPr>
        <w:t xml:space="preserve">iv) définir un projet couvrant les besoins en milieux marins et </w:t>
      </w:r>
      <w:r w:rsidR="00FC64C5" w:rsidRPr="004B4919">
        <w:rPr>
          <w:rFonts w:ascii="Verdana" w:hAnsi="Verdana"/>
          <w:sz w:val="20"/>
          <w:szCs w:val="20"/>
        </w:rPr>
        <w:t>terrestres iv.</w:t>
      </w:r>
      <w:r w:rsidR="00F60483" w:rsidRPr="004B4919">
        <w:rPr>
          <w:rFonts w:ascii="Verdana" w:hAnsi="Verdana"/>
          <w:sz w:val="20"/>
          <w:szCs w:val="20"/>
        </w:rPr>
        <w:t xml:space="preserve"> </w:t>
      </w:r>
      <w:r w:rsidR="00C541D8" w:rsidRPr="004B4919">
        <w:rPr>
          <w:rFonts w:ascii="Verdana" w:hAnsi="Verdana"/>
          <w:sz w:val="20"/>
          <w:szCs w:val="20"/>
        </w:rPr>
        <w:t xml:space="preserve"> </w:t>
      </w:r>
      <w:r w:rsidR="00F60483" w:rsidRPr="004B4919">
        <w:rPr>
          <w:rFonts w:ascii="Verdana" w:hAnsi="Verdana"/>
          <w:sz w:val="20"/>
          <w:szCs w:val="20"/>
        </w:rPr>
        <w:t xml:space="preserve">Les Seychelles ont confirmé </w:t>
      </w:r>
      <w:r w:rsidR="00F60483" w:rsidRPr="004B4919">
        <w:rPr>
          <w:rFonts w:ascii="Verdana" w:hAnsi="Verdana"/>
          <w:sz w:val="20"/>
          <w:szCs w:val="20"/>
        </w:rPr>
        <w:lastRenderedPageBreak/>
        <w:t>leur intérêt à être au cœur de cette démarche, un temps de travail collectif en présentiel est envisagé en fin de premier semestre 2022.</w:t>
      </w:r>
      <w:r w:rsidR="007F6397" w:rsidRPr="004B4919">
        <w:rPr>
          <w:rFonts w:ascii="Verdana" w:hAnsi="Verdana"/>
          <w:sz w:val="20"/>
          <w:szCs w:val="20"/>
        </w:rPr>
        <w:t xml:space="preserve"> </w:t>
      </w:r>
    </w:p>
    <w:p w14:paraId="75E5873A" w14:textId="3ACEEC00" w:rsidR="00F60483" w:rsidRPr="004B4919" w:rsidRDefault="00901F8B" w:rsidP="00140841">
      <w:pPr>
        <w:ind w:left="0"/>
        <w:jc w:val="both"/>
        <w:rPr>
          <w:rFonts w:ascii="Verdana" w:hAnsi="Verdana"/>
          <w:sz w:val="20"/>
          <w:szCs w:val="20"/>
        </w:rPr>
      </w:pPr>
      <w:r w:rsidRPr="004B4919">
        <w:rPr>
          <w:rFonts w:ascii="Verdana" w:hAnsi="Verdana"/>
          <w:sz w:val="20"/>
          <w:szCs w:val="20"/>
        </w:rPr>
        <w:t xml:space="preserve">A la suite </w:t>
      </w:r>
      <w:r w:rsidR="00FC64C5" w:rsidRPr="004B4919">
        <w:rPr>
          <w:rFonts w:ascii="Verdana" w:hAnsi="Verdana"/>
          <w:sz w:val="20"/>
          <w:szCs w:val="20"/>
        </w:rPr>
        <w:t>de cette</w:t>
      </w:r>
      <w:r w:rsidR="007F6397" w:rsidRPr="004B4919">
        <w:rPr>
          <w:rFonts w:ascii="Verdana" w:hAnsi="Verdana"/>
          <w:sz w:val="20"/>
          <w:szCs w:val="20"/>
        </w:rPr>
        <w:t xml:space="preserve"> première rencontre, le</w:t>
      </w:r>
      <w:r w:rsidR="00140841">
        <w:rPr>
          <w:rFonts w:ascii="Verdana" w:hAnsi="Verdana"/>
          <w:sz w:val="20"/>
          <w:szCs w:val="20"/>
        </w:rPr>
        <w:t>s</w:t>
      </w:r>
      <w:r w:rsidR="007F6397" w:rsidRPr="004B4919">
        <w:rPr>
          <w:rFonts w:ascii="Verdana" w:hAnsi="Verdana"/>
          <w:sz w:val="20"/>
          <w:szCs w:val="20"/>
        </w:rPr>
        <w:t xml:space="preserve"> terme</w:t>
      </w:r>
      <w:r w:rsidR="00140841">
        <w:rPr>
          <w:rFonts w:ascii="Verdana" w:hAnsi="Verdana"/>
          <w:sz w:val="20"/>
          <w:szCs w:val="20"/>
        </w:rPr>
        <w:t>s</w:t>
      </w:r>
      <w:r w:rsidR="007F6397" w:rsidRPr="004B4919">
        <w:rPr>
          <w:rFonts w:ascii="Verdana" w:hAnsi="Verdana"/>
          <w:sz w:val="20"/>
          <w:szCs w:val="20"/>
        </w:rPr>
        <w:t xml:space="preserve"> de référence de ce groupe de travail </w:t>
      </w:r>
      <w:r w:rsidR="00140841">
        <w:rPr>
          <w:rFonts w:ascii="Verdana" w:hAnsi="Verdana"/>
          <w:sz w:val="20"/>
          <w:szCs w:val="20"/>
        </w:rPr>
        <w:t>ont</w:t>
      </w:r>
      <w:r w:rsidR="007F6397" w:rsidRPr="004B4919">
        <w:rPr>
          <w:rFonts w:ascii="Verdana" w:hAnsi="Verdana"/>
          <w:sz w:val="20"/>
          <w:szCs w:val="20"/>
        </w:rPr>
        <w:t xml:space="preserve"> été légèrement modifié</w:t>
      </w:r>
      <w:r w:rsidR="00140841">
        <w:rPr>
          <w:rFonts w:ascii="Verdana" w:hAnsi="Verdana"/>
          <w:sz w:val="20"/>
          <w:szCs w:val="20"/>
        </w:rPr>
        <w:t>s</w:t>
      </w:r>
      <w:r w:rsidR="007F6397" w:rsidRPr="004B4919">
        <w:rPr>
          <w:rFonts w:ascii="Verdana" w:hAnsi="Verdana"/>
          <w:sz w:val="20"/>
          <w:szCs w:val="20"/>
        </w:rPr>
        <w:t xml:space="preserve"> pour prendre en compte les commentaires des pays (CF. Annexe 1) </w:t>
      </w:r>
      <w:r w:rsidR="0035308B" w:rsidRPr="004B4919">
        <w:rPr>
          <w:rFonts w:ascii="Verdana" w:hAnsi="Verdana"/>
          <w:sz w:val="20"/>
          <w:szCs w:val="20"/>
        </w:rPr>
        <w:t xml:space="preserve">Les participants ont également mis l’accent sur la nécessité </w:t>
      </w:r>
      <w:r w:rsidRPr="004B4919">
        <w:rPr>
          <w:rFonts w:ascii="Verdana" w:hAnsi="Verdana"/>
          <w:sz w:val="20"/>
          <w:szCs w:val="20"/>
        </w:rPr>
        <w:t>de veiller</w:t>
      </w:r>
      <w:r w:rsidR="0035308B" w:rsidRPr="004B4919">
        <w:rPr>
          <w:rFonts w:ascii="Verdana" w:hAnsi="Verdana"/>
          <w:sz w:val="20"/>
          <w:szCs w:val="20"/>
        </w:rPr>
        <w:t xml:space="preserve"> </w:t>
      </w:r>
      <w:r w:rsidR="00140841">
        <w:rPr>
          <w:rFonts w:ascii="Verdana" w:hAnsi="Verdana"/>
          <w:sz w:val="20"/>
          <w:szCs w:val="20"/>
        </w:rPr>
        <w:t>(</w:t>
      </w:r>
      <w:r w:rsidR="0035308B" w:rsidRPr="004B4919">
        <w:rPr>
          <w:rFonts w:ascii="Verdana" w:hAnsi="Verdana"/>
          <w:sz w:val="20"/>
          <w:szCs w:val="20"/>
        </w:rPr>
        <w:t>i)</w:t>
      </w:r>
      <w:r w:rsidR="00140841">
        <w:rPr>
          <w:rFonts w:ascii="Verdana" w:hAnsi="Verdana"/>
          <w:sz w:val="20"/>
          <w:szCs w:val="20"/>
        </w:rPr>
        <w:t xml:space="preserve"> à éviter les risques de duplication</w:t>
      </w:r>
      <w:r w:rsidR="007F6397" w:rsidRPr="004B4919">
        <w:rPr>
          <w:rFonts w:ascii="Verdana" w:hAnsi="Verdana"/>
          <w:sz w:val="20"/>
          <w:szCs w:val="20"/>
        </w:rPr>
        <w:t xml:space="preserve"> ou </w:t>
      </w:r>
      <w:r w:rsidR="00140841">
        <w:rPr>
          <w:rFonts w:ascii="Verdana" w:hAnsi="Verdana"/>
          <w:sz w:val="20"/>
          <w:szCs w:val="20"/>
        </w:rPr>
        <w:t>de substitution</w:t>
      </w:r>
      <w:r w:rsidR="007F6397" w:rsidRPr="004B4919">
        <w:rPr>
          <w:rFonts w:ascii="Verdana" w:hAnsi="Verdana"/>
          <w:sz w:val="20"/>
          <w:szCs w:val="20"/>
        </w:rPr>
        <w:t xml:space="preserve"> aux acteurs déjà en présence </w:t>
      </w:r>
      <w:r w:rsidR="00140841">
        <w:rPr>
          <w:rFonts w:ascii="Verdana" w:hAnsi="Verdana"/>
          <w:sz w:val="20"/>
          <w:szCs w:val="20"/>
        </w:rPr>
        <w:t xml:space="preserve">en adoptant une approche </w:t>
      </w:r>
      <w:r w:rsidR="006B172B">
        <w:rPr>
          <w:rFonts w:ascii="Verdana" w:hAnsi="Verdana"/>
          <w:sz w:val="20"/>
          <w:szCs w:val="20"/>
        </w:rPr>
        <w:t>complémentaire ou de soutien</w:t>
      </w:r>
      <w:r w:rsidR="007F6397" w:rsidRPr="004B4919">
        <w:rPr>
          <w:rFonts w:ascii="Verdana" w:hAnsi="Verdana"/>
          <w:sz w:val="20"/>
          <w:szCs w:val="20"/>
        </w:rPr>
        <w:t xml:space="preserve"> ; </w:t>
      </w:r>
      <w:r w:rsidR="00F20FDE" w:rsidRPr="004B4919">
        <w:rPr>
          <w:rFonts w:ascii="Verdana" w:hAnsi="Verdana"/>
          <w:sz w:val="20"/>
          <w:szCs w:val="20"/>
        </w:rPr>
        <w:t xml:space="preserve">et </w:t>
      </w:r>
      <w:r w:rsidR="007F6397" w:rsidRPr="004B4919">
        <w:rPr>
          <w:rFonts w:ascii="Verdana" w:hAnsi="Verdana"/>
          <w:sz w:val="20"/>
          <w:szCs w:val="20"/>
        </w:rPr>
        <w:t xml:space="preserve">; </w:t>
      </w:r>
      <w:r w:rsidR="00140841">
        <w:rPr>
          <w:rFonts w:ascii="Verdana" w:hAnsi="Verdana"/>
          <w:sz w:val="20"/>
          <w:szCs w:val="20"/>
        </w:rPr>
        <w:t>(i</w:t>
      </w:r>
      <w:r w:rsidR="0035308B" w:rsidRPr="004B4919">
        <w:rPr>
          <w:rFonts w:ascii="Verdana" w:hAnsi="Verdana"/>
          <w:sz w:val="20"/>
          <w:szCs w:val="20"/>
        </w:rPr>
        <w:t>i</w:t>
      </w:r>
      <w:r w:rsidR="007F6397" w:rsidRPr="004B4919">
        <w:rPr>
          <w:rFonts w:ascii="Verdana" w:hAnsi="Verdana"/>
          <w:sz w:val="20"/>
          <w:szCs w:val="20"/>
        </w:rPr>
        <w:t xml:space="preserve">) </w:t>
      </w:r>
      <w:r w:rsidR="00140841">
        <w:rPr>
          <w:rFonts w:ascii="Verdana" w:hAnsi="Verdana"/>
          <w:sz w:val="20"/>
          <w:szCs w:val="20"/>
        </w:rPr>
        <w:t xml:space="preserve">à </w:t>
      </w:r>
      <w:r w:rsidR="007F6397" w:rsidRPr="004B4919">
        <w:rPr>
          <w:rFonts w:ascii="Verdana" w:hAnsi="Verdana"/>
          <w:sz w:val="20"/>
          <w:szCs w:val="20"/>
        </w:rPr>
        <w:t xml:space="preserve">la bonne articulation de la démarche avec les projets en cours </w:t>
      </w:r>
      <w:r w:rsidR="006B172B">
        <w:rPr>
          <w:rFonts w:ascii="Verdana" w:hAnsi="Verdana"/>
          <w:sz w:val="20"/>
          <w:szCs w:val="20"/>
        </w:rPr>
        <w:t>(</w:t>
      </w:r>
      <w:r w:rsidR="007F6397" w:rsidRPr="004B4919">
        <w:rPr>
          <w:rFonts w:ascii="Verdana" w:hAnsi="Verdana"/>
          <w:sz w:val="20"/>
          <w:szCs w:val="20"/>
        </w:rPr>
        <w:t>renforcer la transversalité</w:t>
      </w:r>
      <w:r w:rsidR="006B172B">
        <w:rPr>
          <w:rFonts w:ascii="Verdana" w:hAnsi="Verdana"/>
          <w:sz w:val="20"/>
          <w:szCs w:val="20"/>
        </w:rPr>
        <w:t>).</w:t>
      </w:r>
      <w:r w:rsidR="007F6397" w:rsidRPr="004B4919">
        <w:rPr>
          <w:rFonts w:ascii="Verdana" w:hAnsi="Verdana"/>
          <w:sz w:val="20"/>
          <w:szCs w:val="20"/>
        </w:rPr>
        <w:t> </w:t>
      </w:r>
    </w:p>
    <w:p w14:paraId="366E7912" w14:textId="57EBC694" w:rsidR="00F60483" w:rsidRDefault="00F60483" w:rsidP="006B172B">
      <w:pPr>
        <w:ind w:left="0"/>
        <w:jc w:val="both"/>
        <w:rPr>
          <w:rFonts w:ascii="Verdana" w:hAnsi="Verdana"/>
          <w:sz w:val="20"/>
          <w:szCs w:val="20"/>
        </w:rPr>
      </w:pPr>
      <w:r w:rsidRPr="004B4919">
        <w:rPr>
          <w:rFonts w:ascii="Verdana" w:hAnsi="Verdana"/>
          <w:sz w:val="20"/>
          <w:szCs w:val="20"/>
        </w:rPr>
        <w:t xml:space="preserve">Vu la non-disponibilité de l’Union des Comores et Madagascar à cette réunion, il a été convenu d’entamer des consultations en bilatéral avec </w:t>
      </w:r>
      <w:r w:rsidR="006B172B">
        <w:rPr>
          <w:rFonts w:ascii="Verdana" w:hAnsi="Verdana"/>
          <w:sz w:val="20"/>
          <w:szCs w:val="20"/>
        </w:rPr>
        <w:t>ces deux Etats membres</w:t>
      </w:r>
      <w:r w:rsidRPr="004B4919">
        <w:rPr>
          <w:rFonts w:ascii="Verdana" w:hAnsi="Verdana"/>
          <w:sz w:val="20"/>
          <w:szCs w:val="20"/>
        </w:rPr>
        <w:t xml:space="preserve"> et de continuer les entretiens bilatéraux avec chaque pays en </w:t>
      </w:r>
      <w:r w:rsidR="007F6397" w:rsidRPr="004B4919">
        <w:rPr>
          <w:rFonts w:ascii="Verdana" w:hAnsi="Verdana"/>
          <w:sz w:val="20"/>
          <w:szCs w:val="20"/>
        </w:rPr>
        <w:t>préparation</w:t>
      </w:r>
      <w:r w:rsidRPr="004B4919">
        <w:rPr>
          <w:rFonts w:ascii="Verdana" w:hAnsi="Verdana"/>
          <w:sz w:val="20"/>
          <w:szCs w:val="20"/>
        </w:rPr>
        <w:t xml:space="preserve"> pour la prochaine rencontre du groupe de travail. </w:t>
      </w:r>
      <w:r w:rsidR="007F6397" w:rsidRPr="004B4919">
        <w:rPr>
          <w:rFonts w:ascii="Verdana" w:hAnsi="Verdana"/>
          <w:sz w:val="20"/>
          <w:szCs w:val="20"/>
        </w:rPr>
        <w:t>Les échanges en bilatéra</w:t>
      </w:r>
      <w:r w:rsidR="006B172B">
        <w:rPr>
          <w:rFonts w:ascii="Verdana" w:hAnsi="Verdana"/>
          <w:sz w:val="20"/>
          <w:szCs w:val="20"/>
        </w:rPr>
        <w:t>ux</w:t>
      </w:r>
      <w:r w:rsidR="007F6397" w:rsidRPr="004B4919">
        <w:rPr>
          <w:rFonts w:ascii="Verdana" w:hAnsi="Verdana"/>
          <w:sz w:val="20"/>
          <w:szCs w:val="20"/>
        </w:rPr>
        <w:t xml:space="preserve"> sont en cours</w:t>
      </w:r>
      <w:r w:rsidR="006B172B">
        <w:rPr>
          <w:rFonts w:ascii="Verdana" w:hAnsi="Verdana"/>
          <w:sz w:val="20"/>
          <w:szCs w:val="20"/>
        </w:rPr>
        <w:t xml:space="preserve">. </w:t>
      </w:r>
    </w:p>
    <w:p w14:paraId="0B2DFB9B" w14:textId="77777777" w:rsidR="006B172B" w:rsidRPr="004B4919" w:rsidRDefault="006B172B" w:rsidP="006B172B">
      <w:pPr>
        <w:ind w:left="0"/>
        <w:jc w:val="both"/>
        <w:rPr>
          <w:rFonts w:ascii="Verdana" w:hAnsi="Verdana"/>
          <w:sz w:val="20"/>
          <w:szCs w:val="20"/>
        </w:rPr>
      </w:pPr>
    </w:p>
    <w:p w14:paraId="0C7CD289" w14:textId="38CFA7E9" w:rsidR="006B172B" w:rsidRDefault="00DA4E16" w:rsidP="009D4F63">
      <w:pPr>
        <w:pStyle w:val="Sous-partie2"/>
      </w:pPr>
      <w:r>
        <w:t xml:space="preserve">Renouvellement des Protocoles de collaboration </w:t>
      </w:r>
    </w:p>
    <w:p w14:paraId="5AEC3AF3" w14:textId="77777777" w:rsidR="006B172B" w:rsidRDefault="00F92D0A" w:rsidP="006B172B">
      <w:pPr>
        <w:pStyle w:val="Paragraphe"/>
        <w:spacing w:after="120"/>
        <w:ind w:left="0"/>
      </w:pPr>
      <w:r w:rsidRPr="006B172B">
        <w:t>Le Secr</w:t>
      </w:r>
      <w:r w:rsidR="006B172B">
        <w:t>é</w:t>
      </w:r>
      <w:r w:rsidRPr="006B172B">
        <w:t xml:space="preserve">tariat de la COI avait établi en 2012 </w:t>
      </w:r>
      <w:r w:rsidR="003939B3" w:rsidRPr="006B172B">
        <w:t>de</w:t>
      </w:r>
      <w:r w:rsidR="000A7519" w:rsidRPr="006B172B">
        <w:t>s</w:t>
      </w:r>
      <w:r w:rsidR="003939B3" w:rsidRPr="006B172B">
        <w:t xml:space="preserve"> accords</w:t>
      </w:r>
      <w:r w:rsidRPr="006B172B">
        <w:t xml:space="preserve"> de collaboration avec </w:t>
      </w:r>
      <w:r w:rsidR="000A7519" w:rsidRPr="006B172B">
        <w:t>deux</w:t>
      </w:r>
      <w:r w:rsidR="006B172B">
        <w:t xml:space="preserve"> </w:t>
      </w:r>
      <w:r>
        <w:rPr>
          <w:color w:val="auto"/>
        </w:rPr>
        <w:t xml:space="preserve">acteurs clé impliqués dans </w:t>
      </w:r>
      <w:r w:rsidR="003939B3">
        <w:rPr>
          <w:color w:val="auto"/>
        </w:rPr>
        <w:t>la protection de</w:t>
      </w:r>
      <w:r w:rsidR="006B172B">
        <w:t xml:space="preserve">s </w:t>
      </w:r>
      <w:r w:rsidR="003939B3">
        <w:rPr>
          <w:color w:val="auto"/>
        </w:rPr>
        <w:t>écosystème</w:t>
      </w:r>
      <w:r w:rsidR="006B172B">
        <w:t>s</w:t>
      </w:r>
      <w:r w:rsidR="003939B3">
        <w:rPr>
          <w:color w:val="auto"/>
        </w:rPr>
        <w:t xml:space="preserve"> marin</w:t>
      </w:r>
      <w:r w:rsidR="006B172B">
        <w:t>s</w:t>
      </w:r>
      <w:r w:rsidR="003939B3">
        <w:rPr>
          <w:color w:val="auto"/>
        </w:rPr>
        <w:t xml:space="preserve"> et côtier</w:t>
      </w:r>
      <w:r w:rsidR="006B172B">
        <w:t>s</w:t>
      </w:r>
      <w:r w:rsidR="00C12728">
        <w:rPr>
          <w:color w:val="auto"/>
        </w:rPr>
        <w:t xml:space="preserve"> dans la</w:t>
      </w:r>
      <w:r w:rsidR="006B172B">
        <w:t xml:space="preserve"> </w:t>
      </w:r>
      <w:r w:rsidR="000A7519">
        <w:t xml:space="preserve">région, le PNUE au titre de la Convention de Nairobi et </w:t>
      </w:r>
      <w:r w:rsidR="006B172B">
        <w:t xml:space="preserve">la WIOMSA. </w:t>
      </w:r>
      <w:r w:rsidR="000A7519">
        <w:rPr>
          <w:color w:val="auto"/>
        </w:rPr>
        <w:t xml:space="preserve">Dans le cadre </w:t>
      </w:r>
      <w:r w:rsidR="006B172B">
        <w:t>c</w:t>
      </w:r>
      <w:r w:rsidR="000A7519">
        <w:rPr>
          <w:color w:val="auto"/>
        </w:rPr>
        <w:t xml:space="preserve">es </w:t>
      </w:r>
      <w:r w:rsidR="008140C2">
        <w:rPr>
          <w:color w:val="auto"/>
        </w:rPr>
        <w:t>Accord,</w:t>
      </w:r>
      <w:r w:rsidR="000A7519">
        <w:rPr>
          <w:color w:val="auto"/>
        </w:rPr>
        <w:t xml:space="preserve"> la COI a </w:t>
      </w:r>
      <w:r w:rsidR="008140C2">
        <w:rPr>
          <w:color w:val="auto"/>
        </w:rPr>
        <w:t>travaillé en</w:t>
      </w:r>
      <w:r w:rsidR="006B172B">
        <w:t xml:space="preserve"> </w:t>
      </w:r>
      <w:r w:rsidR="008140C2">
        <w:rPr>
          <w:color w:val="auto"/>
        </w:rPr>
        <w:t>collaboration avec ses deux instances sur</w:t>
      </w:r>
      <w:r w:rsidR="000A7519">
        <w:rPr>
          <w:color w:val="auto"/>
        </w:rPr>
        <w:t xml:space="preserve"> plusieurs su</w:t>
      </w:r>
      <w:r w:rsidR="008140C2">
        <w:rPr>
          <w:color w:val="auto"/>
        </w:rPr>
        <w:t>jet</w:t>
      </w:r>
      <w:r w:rsidR="006B172B">
        <w:t>s</w:t>
      </w:r>
      <w:r w:rsidR="008140C2">
        <w:rPr>
          <w:color w:val="auto"/>
        </w:rPr>
        <w:t xml:space="preserve"> pertinent</w:t>
      </w:r>
      <w:r w:rsidR="006B172B">
        <w:t>s</w:t>
      </w:r>
      <w:r w:rsidR="008140C2">
        <w:rPr>
          <w:color w:val="auto"/>
        </w:rPr>
        <w:t xml:space="preserve"> pour la </w:t>
      </w:r>
      <w:r w:rsidR="0020128E">
        <w:rPr>
          <w:color w:val="auto"/>
        </w:rPr>
        <w:t>région, tel</w:t>
      </w:r>
      <w:r w:rsidR="006B172B">
        <w:t xml:space="preserve"> </w:t>
      </w:r>
      <w:r w:rsidR="008140C2">
        <w:rPr>
          <w:color w:val="auto"/>
        </w:rPr>
        <w:t xml:space="preserve">que la gestion de la zone côtière, la gestion des aires </w:t>
      </w:r>
      <w:r w:rsidR="006B172B">
        <w:rPr>
          <w:color w:val="auto"/>
        </w:rPr>
        <w:t>marine</w:t>
      </w:r>
      <w:r w:rsidR="006B172B">
        <w:t xml:space="preserve">s </w:t>
      </w:r>
      <w:r w:rsidR="008140C2">
        <w:rPr>
          <w:color w:val="auto"/>
        </w:rPr>
        <w:t>protégées, l</w:t>
      </w:r>
      <w:r w:rsidR="0020128E">
        <w:rPr>
          <w:color w:val="auto"/>
        </w:rPr>
        <w:t>a pollution marine entre autres. Ces accords sont arrivés à terme et l</w:t>
      </w:r>
      <w:r w:rsidR="000A7519">
        <w:rPr>
          <w:color w:val="auto"/>
        </w:rPr>
        <w:t>es dispositi</w:t>
      </w:r>
      <w:r w:rsidR="006B172B">
        <w:t>ons</w:t>
      </w:r>
      <w:r w:rsidR="000A7519">
        <w:rPr>
          <w:color w:val="auto"/>
        </w:rPr>
        <w:t xml:space="preserve"> de </w:t>
      </w:r>
      <w:r w:rsidR="006B172B">
        <w:t xml:space="preserve">ces </w:t>
      </w:r>
      <w:proofErr w:type="spellStart"/>
      <w:r w:rsidR="006B172B">
        <w:t>MoU</w:t>
      </w:r>
      <w:proofErr w:type="spellEnd"/>
      <w:r w:rsidR="000A7519">
        <w:rPr>
          <w:color w:val="auto"/>
        </w:rPr>
        <w:t xml:space="preserve"> prévoi</w:t>
      </w:r>
      <w:r w:rsidR="006B172B">
        <w:t>en</w:t>
      </w:r>
      <w:r w:rsidR="000A7519">
        <w:rPr>
          <w:color w:val="auto"/>
        </w:rPr>
        <w:t xml:space="preserve">t </w:t>
      </w:r>
      <w:r w:rsidR="008140C2">
        <w:rPr>
          <w:color w:val="auto"/>
        </w:rPr>
        <w:t>une révision</w:t>
      </w:r>
      <w:r w:rsidR="000A7519">
        <w:rPr>
          <w:color w:val="auto"/>
        </w:rPr>
        <w:t xml:space="preserve"> et </w:t>
      </w:r>
      <w:r w:rsidR="006B172B">
        <w:t xml:space="preserve">un </w:t>
      </w:r>
      <w:r w:rsidR="00C12728">
        <w:rPr>
          <w:color w:val="auto"/>
        </w:rPr>
        <w:t>renouvelle</w:t>
      </w:r>
      <w:r w:rsidR="006B172B">
        <w:t>ment</w:t>
      </w:r>
      <w:r w:rsidR="00C12728">
        <w:rPr>
          <w:color w:val="auto"/>
        </w:rPr>
        <w:t xml:space="preserve"> à </w:t>
      </w:r>
      <w:r w:rsidR="001C6838">
        <w:rPr>
          <w:color w:val="auto"/>
        </w:rPr>
        <w:t>la demande</w:t>
      </w:r>
      <w:r w:rsidR="00C12728">
        <w:rPr>
          <w:color w:val="auto"/>
        </w:rPr>
        <w:t xml:space="preserve"> d’un des </w:t>
      </w:r>
      <w:r w:rsidR="001C6838">
        <w:rPr>
          <w:color w:val="auto"/>
        </w:rPr>
        <w:t>P</w:t>
      </w:r>
      <w:r w:rsidR="00C12728">
        <w:rPr>
          <w:color w:val="auto"/>
        </w:rPr>
        <w:t>arties</w:t>
      </w:r>
      <w:r w:rsidR="001C6838">
        <w:rPr>
          <w:color w:val="auto"/>
        </w:rPr>
        <w:t>.</w:t>
      </w:r>
    </w:p>
    <w:p w14:paraId="23AF1C0B" w14:textId="278B1CE3" w:rsidR="0080345A" w:rsidRDefault="006B172B" w:rsidP="006B172B">
      <w:pPr>
        <w:pStyle w:val="Paragraphe"/>
        <w:ind w:left="0"/>
      </w:pPr>
      <w:r>
        <w:t xml:space="preserve">Les projets aujourd’hui conduits par le Secrétariat général recoupent plusieurs des thématiques d’intérêt de la Convention de Nairobi et la WIOMSA. Aussi, il serait utile de disposer d’un cadre renouvelé de coopération permettant de poursuivre les échanges et les actions conjointes dans la mise en œuvre des actions de la COI (gestion intégrée des écosystèmes marins et côtiers, science, économie bleue, formation, </w:t>
      </w:r>
      <w:r w:rsidR="001B3390">
        <w:t>recherche</w:t>
      </w:r>
      <w:r>
        <w:t xml:space="preserve">, gouvernance océanique…). </w:t>
      </w:r>
    </w:p>
    <w:p w14:paraId="3C337AE7" w14:textId="21E85AD6" w:rsidR="00F92D0A" w:rsidRDefault="006B172B" w:rsidP="006B172B">
      <w:pPr>
        <w:pStyle w:val="Sous-partie2"/>
        <w:numPr>
          <w:ilvl w:val="0"/>
          <w:numId w:val="0"/>
        </w:numPr>
        <w:spacing w:after="120"/>
        <w:contextualSpacing w:val="0"/>
        <w:rPr>
          <w:b/>
          <w:bCs/>
        </w:rPr>
      </w:pPr>
      <w:r>
        <w:rPr>
          <w:color w:val="auto"/>
        </w:rPr>
        <w:t xml:space="preserve">Le Secrétariat de la Convention de Nairobi et la WIOMSA permettent à la COI de mobiliser les acteurs de l’environnement et du climat dans la région de l’Afrique orientale et facilitent le dialogue avec les Etats côtiers. Ces collaborations permettent, surtout, d’assurer une bonne cohérence des actions en cours dans la région et de créer, lorsque possible, des synergies. </w:t>
      </w:r>
    </w:p>
    <w:p w14:paraId="54854EB5" w14:textId="047E2B52" w:rsidR="002C56ED" w:rsidRPr="009D4F63" w:rsidRDefault="006B172B" w:rsidP="006B172B">
      <w:pPr>
        <w:pStyle w:val="Sous-sous-partie"/>
        <w:numPr>
          <w:ilvl w:val="0"/>
          <w:numId w:val="0"/>
        </w:numPr>
        <w:ind w:left="75"/>
      </w:pPr>
      <w:r>
        <w:t>2</w:t>
      </w:r>
      <w:r w:rsidRPr="009D4F63">
        <w:t xml:space="preserve">.2.1. </w:t>
      </w:r>
      <w:r w:rsidR="00E61522" w:rsidRPr="009D4F63">
        <w:t>Secr</w:t>
      </w:r>
      <w:r w:rsidR="009D4F63">
        <w:t>é</w:t>
      </w:r>
      <w:r w:rsidR="00E61522" w:rsidRPr="009D4F63">
        <w:t xml:space="preserve">tariat de la Convention de Nairobi </w:t>
      </w:r>
    </w:p>
    <w:p w14:paraId="0157F734" w14:textId="77777777" w:rsidR="007044D6" w:rsidRPr="006B172B" w:rsidRDefault="007044D6" w:rsidP="006B172B">
      <w:pPr>
        <w:pStyle w:val="Titrepartie"/>
        <w:numPr>
          <w:ilvl w:val="0"/>
          <w:numId w:val="0"/>
        </w:numPr>
        <w:rPr>
          <w:rFonts w:cs="Arial"/>
          <w:b w:val="0"/>
          <w:bCs w:val="0"/>
          <w:color w:val="auto"/>
          <w:sz w:val="20"/>
          <w:shd w:val="clear" w:color="auto" w:fill="FFFFFF"/>
        </w:rPr>
      </w:pPr>
      <w:r w:rsidRPr="007B6CE6">
        <w:rPr>
          <w:b w:val="0"/>
          <w:bCs w:val="0"/>
          <w:color w:val="auto"/>
          <w:sz w:val="20"/>
        </w:rPr>
        <w:t xml:space="preserve">La Convention de Nairobi </w:t>
      </w:r>
      <w:r>
        <w:rPr>
          <w:b w:val="0"/>
          <w:bCs w:val="0"/>
          <w:color w:val="auto"/>
          <w:sz w:val="20"/>
        </w:rPr>
        <w:t>offre un</w:t>
      </w:r>
      <w:r w:rsidRPr="007B6CE6">
        <w:rPr>
          <w:b w:val="0"/>
          <w:bCs w:val="0"/>
          <w:color w:val="auto"/>
          <w:sz w:val="20"/>
        </w:rPr>
        <w:t xml:space="preserve"> </w:t>
      </w:r>
      <w:r w:rsidRPr="00256400">
        <w:rPr>
          <w:b w:val="0"/>
          <w:bCs w:val="0"/>
          <w:color w:val="auto"/>
          <w:sz w:val="20"/>
        </w:rPr>
        <w:t xml:space="preserve">cadre </w:t>
      </w:r>
      <w:r w:rsidRPr="006B172B">
        <w:rPr>
          <w:b w:val="0"/>
          <w:bCs w:val="0"/>
          <w:color w:val="auto"/>
          <w:sz w:val="20"/>
        </w:rPr>
        <w:t>régional pour</w:t>
      </w:r>
      <w:r w:rsidRPr="006B172B">
        <w:rPr>
          <w:rFonts w:cs="Arial"/>
          <w:b w:val="0"/>
          <w:bCs w:val="0"/>
          <w:color w:val="auto"/>
          <w:sz w:val="20"/>
          <w:shd w:val="clear" w:color="auto" w:fill="FFFFFF"/>
        </w:rPr>
        <w:t xml:space="preserve"> la protection, la gestion et le développement de l’environnement marin et côtier de la région de l’Afrique de l'Est. Tous les Etats membre de la COI sont signataires de cette convention et y participe activement. </w:t>
      </w:r>
    </w:p>
    <w:p w14:paraId="0F798CBF" w14:textId="486EB1D1" w:rsidR="005F1AAF" w:rsidRDefault="00A86AC1" w:rsidP="006B172B">
      <w:pPr>
        <w:pStyle w:val="Titrepartie"/>
        <w:numPr>
          <w:ilvl w:val="0"/>
          <w:numId w:val="0"/>
        </w:numPr>
        <w:rPr>
          <w:b w:val="0"/>
          <w:bCs w:val="0"/>
          <w:color w:val="auto"/>
          <w:sz w:val="20"/>
        </w:rPr>
      </w:pPr>
      <w:r>
        <w:rPr>
          <w:b w:val="0"/>
          <w:bCs w:val="0"/>
          <w:color w:val="auto"/>
          <w:sz w:val="20"/>
        </w:rPr>
        <w:t xml:space="preserve">Cet Accord non contraignant avait pour objectif de </w:t>
      </w:r>
      <w:r w:rsidR="00011D5D">
        <w:rPr>
          <w:b w:val="0"/>
          <w:bCs w:val="0"/>
          <w:color w:val="auto"/>
          <w:sz w:val="20"/>
        </w:rPr>
        <w:t xml:space="preserve">promouvoir la coordination et échanges entre nos </w:t>
      </w:r>
      <w:r w:rsidR="00DA4E16">
        <w:rPr>
          <w:b w:val="0"/>
          <w:bCs w:val="0"/>
          <w:color w:val="auto"/>
          <w:sz w:val="20"/>
        </w:rPr>
        <w:t>deux institutions</w:t>
      </w:r>
      <w:r w:rsidR="00011D5D">
        <w:rPr>
          <w:b w:val="0"/>
          <w:bCs w:val="0"/>
          <w:color w:val="auto"/>
          <w:sz w:val="20"/>
        </w:rPr>
        <w:t xml:space="preserve"> sur </w:t>
      </w:r>
      <w:r w:rsidR="00DA4E16">
        <w:rPr>
          <w:b w:val="0"/>
          <w:bCs w:val="0"/>
          <w:color w:val="auto"/>
          <w:sz w:val="20"/>
        </w:rPr>
        <w:t>les thématiques</w:t>
      </w:r>
      <w:r w:rsidR="00011D5D">
        <w:rPr>
          <w:b w:val="0"/>
          <w:bCs w:val="0"/>
          <w:color w:val="auto"/>
          <w:sz w:val="20"/>
        </w:rPr>
        <w:t xml:space="preserve"> d’intérêt commun. </w:t>
      </w:r>
      <w:r w:rsidR="007044D6" w:rsidRPr="006B172B">
        <w:rPr>
          <w:rFonts w:cs="Arial"/>
          <w:b w:val="0"/>
          <w:bCs w:val="0"/>
          <w:color w:val="auto"/>
          <w:sz w:val="20"/>
          <w:shd w:val="clear" w:color="auto" w:fill="FFFFFF"/>
        </w:rPr>
        <w:t>Cette</w:t>
      </w:r>
      <w:r w:rsidR="007044D6" w:rsidRPr="006B172B">
        <w:rPr>
          <w:b w:val="0"/>
          <w:bCs w:val="0"/>
          <w:color w:val="auto"/>
          <w:sz w:val="20"/>
        </w:rPr>
        <w:t xml:space="preserve"> collaboration a permis au Secr</w:t>
      </w:r>
      <w:r w:rsidR="006B172B">
        <w:rPr>
          <w:b w:val="0"/>
          <w:bCs w:val="0"/>
          <w:color w:val="auto"/>
          <w:sz w:val="20"/>
        </w:rPr>
        <w:t>é</w:t>
      </w:r>
      <w:r w:rsidR="007044D6" w:rsidRPr="006B172B">
        <w:rPr>
          <w:b w:val="0"/>
          <w:bCs w:val="0"/>
          <w:color w:val="auto"/>
          <w:sz w:val="20"/>
        </w:rPr>
        <w:t xml:space="preserve">tariat </w:t>
      </w:r>
      <w:r w:rsidR="00F92D0A" w:rsidRPr="006B172B">
        <w:rPr>
          <w:b w:val="0"/>
          <w:bCs w:val="0"/>
          <w:color w:val="auto"/>
          <w:sz w:val="20"/>
        </w:rPr>
        <w:t xml:space="preserve">général de la COI </w:t>
      </w:r>
      <w:r w:rsidR="007044D6" w:rsidRPr="006B172B">
        <w:rPr>
          <w:b w:val="0"/>
          <w:bCs w:val="0"/>
          <w:color w:val="auto"/>
          <w:sz w:val="20"/>
        </w:rPr>
        <w:t>et ses projets de participer aux programmes de la Convention de Nairobi</w:t>
      </w:r>
      <w:r w:rsidR="00F92D0A" w:rsidRPr="006B172B">
        <w:rPr>
          <w:b w:val="0"/>
          <w:bCs w:val="0"/>
          <w:color w:val="auto"/>
          <w:sz w:val="20"/>
        </w:rPr>
        <w:t xml:space="preserve"> tel que les réunions</w:t>
      </w:r>
      <w:r w:rsidR="007E5CBF" w:rsidRPr="006B172B">
        <w:rPr>
          <w:b w:val="0"/>
          <w:bCs w:val="0"/>
          <w:color w:val="auto"/>
          <w:sz w:val="20"/>
        </w:rPr>
        <w:t xml:space="preserve"> techniques</w:t>
      </w:r>
      <w:r w:rsidR="00F83521" w:rsidRPr="006B172B">
        <w:rPr>
          <w:b w:val="0"/>
          <w:bCs w:val="0"/>
          <w:color w:val="auto"/>
          <w:sz w:val="20"/>
        </w:rPr>
        <w:t xml:space="preserve"> de la Convention et contribuer </w:t>
      </w:r>
      <w:r w:rsidR="00F92D0A" w:rsidRPr="006B172B">
        <w:rPr>
          <w:b w:val="0"/>
          <w:bCs w:val="0"/>
          <w:color w:val="auto"/>
          <w:sz w:val="20"/>
        </w:rPr>
        <w:t>à la formulation des</w:t>
      </w:r>
      <w:r w:rsidR="00F83521" w:rsidRPr="006B172B">
        <w:rPr>
          <w:b w:val="0"/>
          <w:bCs w:val="0"/>
          <w:color w:val="auto"/>
          <w:sz w:val="20"/>
        </w:rPr>
        <w:t xml:space="preserve"> décisions </w:t>
      </w:r>
      <w:r w:rsidR="007E5CBF" w:rsidRPr="006B172B">
        <w:rPr>
          <w:b w:val="0"/>
          <w:bCs w:val="0"/>
          <w:color w:val="auto"/>
          <w:sz w:val="20"/>
        </w:rPr>
        <w:t>à</w:t>
      </w:r>
      <w:r w:rsidR="00F83521" w:rsidRPr="006B172B">
        <w:rPr>
          <w:b w:val="0"/>
          <w:bCs w:val="0"/>
          <w:color w:val="auto"/>
          <w:sz w:val="20"/>
        </w:rPr>
        <w:t xml:space="preserve"> soumettre à la COP de la Convention </w:t>
      </w:r>
      <w:r w:rsidR="007E5CBF" w:rsidRPr="006B172B">
        <w:rPr>
          <w:b w:val="0"/>
          <w:bCs w:val="0"/>
          <w:color w:val="auto"/>
          <w:sz w:val="20"/>
        </w:rPr>
        <w:t>et siège</w:t>
      </w:r>
      <w:r w:rsidR="00F83521" w:rsidRPr="006B172B">
        <w:rPr>
          <w:b w:val="0"/>
          <w:bCs w:val="0"/>
          <w:color w:val="auto"/>
          <w:sz w:val="20"/>
        </w:rPr>
        <w:t xml:space="preserve"> en tant d’observateur à la COP de la </w:t>
      </w:r>
      <w:r w:rsidR="007E5CBF" w:rsidRPr="006B172B">
        <w:rPr>
          <w:b w:val="0"/>
          <w:bCs w:val="0"/>
          <w:color w:val="auto"/>
          <w:sz w:val="20"/>
        </w:rPr>
        <w:t>C</w:t>
      </w:r>
      <w:r w:rsidR="00F83521" w:rsidRPr="006B172B">
        <w:rPr>
          <w:b w:val="0"/>
          <w:bCs w:val="0"/>
          <w:color w:val="auto"/>
          <w:sz w:val="20"/>
        </w:rPr>
        <w:t>onvention.</w:t>
      </w:r>
      <w:r w:rsidR="007E5CBF" w:rsidRPr="006B172B">
        <w:rPr>
          <w:b w:val="0"/>
          <w:bCs w:val="0"/>
          <w:color w:val="auto"/>
          <w:sz w:val="20"/>
        </w:rPr>
        <w:t xml:space="preserve"> </w:t>
      </w:r>
      <w:r w:rsidR="00F83521" w:rsidRPr="006B172B">
        <w:rPr>
          <w:b w:val="0"/>
          <w:bCs w:val="0"/>
          <w:color w:val="auto"/>
          <w:sz w:val="20"/>
        </w:rPr>
        <w:t xml:space="preserve"> </w:t>
      </w:r>
      <w:r w:rsidR="001F7440" w:rsidRPr="006B172B">
        <w:rPr>
          <w:b w:val="0"/>
          <w:bCs w:val="0"/>
          <w:color w:val="auto"/>
          <w:sz w:val="20"/>
        </w:rPr>
        <w:t xml:space="preserve">La COP est une instance </w:t>
      </w:r>
      <w:r w:rsidR="009D4F63">
        <w:rPr>
          <w:b w:val="0"/>
          <w:bCs w:val="0"/>
          <w:color w:val="auto"/>
          <w:sz w:val="20"/>
        </w:rPr>
        <w:t>à laquelle</w:t>
      </w:r>
      <w:r w:rsidR="001F7440" w:rsidRPr="006B172B">
        <w:rPr>
          <w:b w:val="0"/>
          <w:bCs w:val="0"/>
          <w:color w:val="auto"/>
          <w:sz w:val="20"/>
        </w:rPr>
        <w:t xml:space="preserve"> </w:t>
      </w:r>
      <w:r w:rsidR="001F7440">
        <w:rPr>
          <w:b w:val="0"/>
          <w:bCs w:val="0"/>
          <w:color w:val="auto"/>
          <w:sz w:val="20"/>
        </w:rPr>
        <w:t xml:space="preserve">participe les Ministres chargés de l’environnement des </w:t>
      </w:r>
      <w:r w:rsidR="009D4F63">
        <w:rPr>
          <w:b w:val="0"/>
          <w:bCs w:val="0"/>
          <w:color w:val="auto"/>
          <w:sz w:val="20"/>
        </w:rPr>
        <w:t>E</w:t>
      </w:r>
      <w:r w:rsidR="001F7440">
        <w:rPr>
          <w:b w:val="0"/>
          <w:bCs w:val="0"/>
          <w:color w:val="auto"/>
          <w:sz w:val="20"/>
        </w:rPr>
        <w:t xml:space="preserve">tats signataires de cette convention. </w:t>
      </w:r>
    </w:p>
    <w:p w14:paraId="1081C6BA" w14:textId="4BAB5404" w:rsidR="007B6CE6" w:rsidRDefault="005F1AAF" w:rsidP="006B172B">
      <w:pPr>
        <w:pStyle w:val="Titrepartie"/>
        <w:numPr>
          <w:ilvl w:val="0"/>
          <w:numId w:val="0"/>
        </w:numPr>
        <w:rPr>
          <w:b w:val="0"/>
          <w:bCs w:val="0"/>
          <w:color w:val="auto"/>
          <w:sz w:val="20"/>
        </w:rPr>
      </w:pPr>
      <w:r>
        <w:rPr>
          <w:b w:val="0"/>
          <w:bCs w:val="0"/>
          <w:color w:val="auto"/>
          <w:sz w:val="20"/>
        </w:rPr>
        <w:t xml:space="preserve">Depuis la COP 8 de la Convention, </w:t>
      </w:r>
      <w:r w:rsidR="001F7440">
        <w:rPr>
          <w:b w:val="0"/>
          <w:bCs w:val="0"/>
          <w:color w:val="auto"/>
          <w:sz w:val="20"/>
        </w:rPr>
        <w:t>sous recommandation de</w:t>
      </w:r>
      <w:r w:rsidR="009D4F63">
        <w:rPr>
          <w:b w:val="0"/>
          <w:bCs w:val="0"/>
          <w:color w:val="auto"/>
          <w:sz w:val="20"/>
        </w:rPr>
        <w:t>s</w:t>
      </w:r>
      <w:r w:rsidR="001F7440">
        <w:rPr>
          <w:b w:val="0"/>
          <w:bCs w:val="0"/>
          <w:color w:val="auto"/>
          <w:sz w:val="20"/>
        </w:rPr>
        <w:t xml:space="preserve"> Parties, les</w:t>
      </w:r>
      <w:r>
        <w:rPr>
          <w:b w:val="0"/>
          <w:bCs w:val="0"/>
          <w:color w:val="auto"/>
          <w:sz w:val="20"/>
        </w:rPr>
        <w:t xml:space="preserve"> champs d’action </w:t>
      </w:r>
      <w:r w:rsidR="009D4F63">
        <w:rPr>
          <w:b w:val="0"/>
          <w:bCs w:val="0"/>
          <w:color w:val="auto"/>
          <w:sz w:val="20"/>
        </w:rPr>
        <w:t>s’élargissent</w:t>
      </w:r>
      <w:r>
        <w:rPr>
          <w:b w:val="0"/>
          <w:bCs w:val="0"/>
          <w:color w:val="auto"/>
          <w:sz w:val="20"/>
        </w:rPr>
        <w:t xml:space="preserve"> et ses domaines d’intervention sont en cohérence avec les domaines d’intervention de la COI.</w:t>
      </w:r>
      <w:r w:rsidR="001F7440">
        <w:rPr>
          <w:b w:val="0"/>
          <w:bCs w:val="0"/>
          <w:color w:val="auto"/>
          <w:sz w:val="20"/>
        </w:rPr>
        <w:t>, tel que la pêche, la pollution marine, les déchets plastiques et le dérèglement climatique et ses impacts sur l’écosystème.</w:t>
      </w:r>
      <w:r>
        <w:rPr>
          <w:b w:val="0"/>
          <w:bCs w:val="0"/>
          <w:color w:val="auto"/>
          <w:sz w:val="20"/>
        </w:rPr>
        <w:t xml:space="preserve"> </w:t>
      </w:r>
      <w:r w:rsidR="001F7440">
        <w:rPr>
          <w:b w:val="0"/>
          <w:bCs w:val="0"/>
          <w:color w:val="auto"/>
          <w:sz w:val="20"/>
        </w:rPr>
        <w:t xml:space="preserve">Une des décisions de cet </w:t>
      </w:r>
      <w:r w:rsidR="00F54195">
        <w:rPr>
          <w:b w:val="0"/>
          <w:bCs w:val="0"/>
          <w:color w:val="auto"/>
          <w:sz w:val="20"/>
        </w:rPr>
        <w:t xml:space="preserve">instance </w:t>
      </w:r>
      <w:r w:rsidR="00F54195">
        <w:rPr>
          <w:b w:val="0"/>
          <w:bCs w:val="0"/>
          <w:color w:val="auto"/>
          <w:sz w:val="20"/>
        </w:rPr>
        <w:lastRenderedPageBreak/>
        <w:t>permet au Sec</w:t>
      </w:r>
      <w:r w:rsidR="009D4F63">
        <w:rPr>
          <w:b w:val="0"/>
          <w:bCs w:val="0"/>
          <w:color w:val="auto"/>
          <w:sz w:val="20"/>
        </w:rPr>
        <w:t>ré</w:t>
      </w:r>
      <w:r w:rsidR="00F54195">
        <w:rPr>
          <w:b w:val="0"/>
          <w:bCs w:val="0"/>
          <w:color w:val="auto"/>
          <w:sz w:val="20"/>
        </w:rPr>
        <w:t xml:space="preserve">tariat de la Convention d’établir des Accords de collaboration et de </w:t>
      </w:r>
      <w:r w:rsidR="00A5631D">
        <w:rPr>
          <w:b w:val="0"/>
          <w:bCs w:val="0"/>
          <w:color w:val="auto"/>
          <w:sz w:val="20"/>
        </w:rPr>
        <w:t>partenariat avec</w:t>
      </w:r>
      <w:r w:rsidR="00F54195">
        <w:rPr>
          <w:b w:val="0"/>
          <w:bCs w:val="0"/>
          <w:color w:val="auto"/>
          <w:sz w:val="20"/>
        </w:rPr>
        <w:t xml:space="preserve"> les instituions</w:t>
      </w:r>
      <w:r w:rsidR="009D4F63">
        <w:rPr>
          <w:b w:val="0"/>
          <w:bCs w:val="0"/>
          <w:color w:val="auto"/>
          <w:sz w:val="20"/>
        </w:rPr>
        <w:t xml:space="preserve"> régionale comme la COI. </w:t>
      </w:r>
      <w:r w:rsidR="00F54195">
        <w:rPr>
          <w:b w:val="0"/>
          <w:bCs w:val="0"/>
          <w:color w:val="auto"/>
          <w:sz w:val="20"/>
        </w:rPr>
        <w:t xml:space="preserve"> </w:t>
      </w:r>
    </w:p>
    <w:p w14:paraId="6AAC3922" w14:textId="2C6A6C82" w:rsidR="00E61522" w:rsidRDefault="009D4F63" w:rsidP="009D4F63">
      <w:pPr>
        <w:pStyle w:val="Sous-sous-partie"/>
        <w:numPr>
          <w:ilvl w:val="0"/>
          <w:numId w:val="0"/>
        </w:numPr>
        <w:ind w:left="75"/>
      </w:pPr>
      <w:r>
        <w:t xml:space="preserve">2.2.2. </w:t>
      </w:r>
      <w:r w:rsidR="00DE109A" w:rsidRPr="00DE109A">
        <w:t>Secr</w:t>
      </w:r>
      <w:r>
        <w:t>é</w:t>
      </w:r>
      <w:r w:rsidR="00DE109A" w:rsidRPr="00DE109A">
        <w:t xml:space="preserve">tariat de </w:t>
      </w:r>
      <w:r>
        <w:t xml:space="preserve">la </w:t>
      </w:r>
      <w:r w:rsidR="00DE109A" w:rsidRPr="00DE109A">
        <w:t>WIOMSA</w:t>
      </w:r>
    </w:p>
    <w:p w14:paraId="251E3596" w14:textId="3BBEB3BC" w:rsidR="00C40C4F" w:rsidRDefault="009D4F63" w:rsidP="009D4F63">
      <w:pPr>
        <w:pStyle w:val="Sous-partie2"/>
        <w:numPr>
          <w:ilvl w:val="0"/>
          <w:numId w:val="0"/>
        </w:numPr>
        <w:rPr>
          <w:color w:val="auto"/>
        </w:rPr>
      </w:pPr>
      <w:r w:rsidRPr="009D4F63">
        <w:rPr>
          <w:rStyle w:val="ParagrapheCar"/>
        </w:rPr>
        <w:t>La WIOMSA</w:t>
      </w:r>
      <w:r w:rsidR="007A50A5" w:rsidRPr="009D4F63">
        <w:rPr>
          <w:rStyle w:val="ParagrapheCar"/>
        </w:rPr>
        <w:t xml:space="preserve"> a été créée</w:t>
      </w:r>
      <w:r w:rsidRPr="009D4F63">
        <w:rPr>
          <w:rStyle w:val="ParagrapheCar"/>
        </w:rPr>
        <w:t xml:space="preserve"> </w:t>
      </w:r>
      <w:r w:rsidR="007A50A5" w:rsidRPr="009D4F63">
        <w:rPr>
          <w:rStyle w:val="ParagrapheCar"/>
        </w:rPr>
        <w:t>en 1993 en tant qu'organisation régionale à but non lucratif et enregistrée à Zanzibar, en Tanzanie, en 1994 en tant qu'organisation non gouvernementale. L'organisation se</w:t>
      </w:r>
      <w:r w:rsidRPr="009D4F63">
        <w:rPr>
          <w:rStyle w:val="ParagrapheCar"/>
        </w:rPr>
        <w:t xml:space="preserve"> </w:t>
      </w:r>
      <w:r w:rsidR="007A50A5" w:rsidRPr="009D4F63">
        <w:rPr>
          <w:rStyle w:val="ParagrapheCar"/>
        </w:rPr>
        <w:t xml:space="preserve">consacre à la promotion du développement éducatif, scientifique et technologique de tous les aspects des sciences marines dans la région de </w:t>
      </w:r>
      <w:r w:rsidR="009E69C8" w:rsidRPr="009D4F63">
        <w:rPr>
          <w:rStyle w:val="ParagrapheCar"/>
        </w:rPr>
        <w:t>l’océan</w:t>
      </w:r>
      <w:r w:rsidR="007A50A5" w:rsidRPr="009D4F63">
        <w:rPr>
          <w:rStyle w:val="ParagrapheCar"/>
        </w:rPr>
        <w:t xml:space="preserve"> Indien occidental (composée de 10 pays : Somalie, Kenya, Tanzanie, Mozambique, Afrique du Sud, Comores, Madagascar, Seychelles, Maurice, Réunion (France)), en vue de soutenir l'utilisation et la conservation de ses ressources marines. </w:t>
      </w:r>
      <w:r w:rsidRPr="009D4F63">
        <w:rPr>
          <w:rStyle w:val="ParagrapheCar"/>
        </w:rPr>
        <w:t xml:space="preserve">La </w:t>
      </w:r>
      <w:r w:rsidR="007A50A5" w:rsidRPr="009D4F63">
        <w:rPr>
          <w:rStyle w:val="ParagrapheCar"/>
        </w:rPr>
        <w:t xml:space="preserve">WIOMSA a un intérêt particulier à relier les connaissances issues de la recherche aux questions de gestion et de gouvernance qui affectent les écosystèmes marins et côtiers de la </w:t>
      </w:r>
      <w:r w:rsidR="009E69C8" w:rsidRPr="009D4F63">
        <w:rPr>
          <w:rStyle w:val="ParagrapheCar"/>
        </w:rPr>
        <w:t xml:space="preserve">région. </w:t>
      </w:r>
      <w:r w:rsidRPr="009D4F63">
        <w:rPr>
          <w:rStyle w:val="ParagrapheCar"/>
        </w:rPr>
        <w:t xml:space="preserve">La </w:t>
      </w:r>
      <w:r w:rsidR="009E69C8" w:rsidRPr="009D4F63">
        <w:rPr>
          <w:rStyle w:val="ParagrapheCar"/>
        </w:rPr>
        <w:t xml:space="preserve">WIOMSA </w:t>
      </w:r>
      <w:r w:rsidRPr="009D4F63">
        <w:rPr>
          <w:rStyle w:val="ParagrapheCar"/>
        </w:rPr>
        <w:t xml:space="preserve">rassemble </w:t>
      </w:r>
      <w:r w:rsidR="009E69C8" w:rsidRPr="009D4F63">
        <w:rPr>
          <w:rStyle w:val="ParagrapheCar"/>
        </w:rPr>
        <w:t>des scientifiques ainsi que des spécialistes des sciences sociales et de</w:t>
      </w:r>
      <w:r w:rsidRPr="009D4F63">
        <w:rPr>
          <w:rStyle w:val="ParagrapheCar"/>
        </w:rPr>
        <w:t>s</w:t>
      </w:r>
      <w:r w:rsidR="009E69C8" w:rsidRPr="009D4F63">
        <w:rPr>
          <w:rStyle w:val="ParagrapheCar"/>
        </w:rPr>
        <w:t xml:space="preserve"> praticiens</w:t>
      </w:r>
      <w:r w:rsidRPr="009D4F63">
        <w:rPr>
          <w:rStyle w:val="ParagrapheCar"/>
        </w:rPr>
        <w:t xml:space="preserve"> du développement et de l’environnement. </w:t>
      </w:r>
      <w:r w:rsidR="00C40C4F" w:rsidRPr="009D4F63">
        <w:rPr>
          <w:rStyle w:val="ParagrapheCar"/>
        </w:rPr>
        <w:t>L</w:t>
      </w:r>
      <w:r w:rsidRPr="009D4F63">
        <w:rPr>
          <w:rStyle w:val="ParagrapheCar"/>
        </w:rPr>
        <w:t>a</w:t>
      </w:r>
      <w:r w:rsidR="00C40C4F" w:rsidRPr="009D4F63">
        <w:rPr>
          <w:rStyle w:val="ParagrapheCar"/>
        </w:rPr>
        <w:t xml:space="preserve"> WIOMSA </w:t>
      </w:r>
      <w:r w:rsidRPr="009D4F63">
        <w:rPr>
          <w:rStyle w:val="ParagrapheCar"/>
        </w:rPr>
        <w:t>a</w:t>
      </w:r>
      <w:r w:rsidR="00C40C4F" w:rsidRPr="009D4F63">
        <w:rPr>
          <w:rStyle w:val="ParagrapheCar"/>
        </w:rPr>
        <w:t xml:space="preserve"> dévelop</w:t>
      </w:r>
      <w:r w:rsidRPr="009D4F63">
        <w:rPr>
          <w:rStyle w:val="ParagrapheCar"/>
        </w:rPr>
        <w:t>pé</w:t>
      </w:r>
      <w:r w:rsidR="00C40C4F" w:rsidRPr="009D4F63">
        <w:rPr>
          <w:rStyle w:val="ParagrapheCar"/>
        </w:rPr>
        <w:t xml:space="preserve"> des compétences dans le développement des capacités et de développement professionnel, l'établissement de liens entre la science et la gestion, la défense de l'environnement, la mise en réseau et la diffusion d'informations techniques. </w:t>
      </w:r>
      <w:r w:rsidRPr="009D4F63">
        <w:rPr>
          <w:rStyle w:val="ParagrapheCar"/>
        </w:rPr>
        <w:t xml:space="preserve">La </w:t>
      </w:r>
      <w:r w:rsidR="007A50A5" w:rsidRPr="009D4F63">
        <w:rPr>
          <w:rStyle w:val="ParagrapheCar"/>
        </w:rPr>
        <w:t>WIOMSA se consacre à la promotion du développement éducatif, scientifique et technologique de tous les aspects des sciences marines dans la région de</w:t>
      </w:r>
      <w:r w:rsidR="007A50A5" w:rsidRPr="00A5631D">
        <w:rPr>
          <w:color w:val="auto"/>
        </w:rPr>
        <w:t xml:space="preserve"> l'océan Indien occidental.</w:t>
      </w:r>
    </w:p>
    <w:p w14:paraId="2B27501D" w14:textId="77777777" w:rsidR="00FF3254" w:rsidRPr="00A5631D" w:rsidRDefault="00FF3254" w:rsidP="00A5631D">
      <w:pPr>
        <w:pStyle w:val="Sous-partie2"/>
        <w:numPr>
          <w:ilvl w:val="0"/>
          <w:numId w:val="0"/>
        </w:numPr>
        <w:ind w:left="1080" w:hanging="720"/>
        <w:rPr>
          <w:color w:val="auto"/>
        </w:rPr>
      </w:pPr>
    </w:p>
    <w:p w14:paraId="17FAB27C" w14:textId="677679F8" w:rsidR="00DE109A" w:rsidRDefault="00C40C4F" w:rsidP="009D4F63">
      <w:pPr>
        <w:pStyle w:val="Sous-partie2"/>
        <w:numPr>
          <w:ilvl w:val="0"/>
          <w:numId w:val="0"/>
        </w:numPr>
        <w:ind w:left="1080"/>
      </w:pPr>
      <w:r>
        <w:t xml:space="preserve">2.3 </w:t>
      </w:r>
      <w:r>
        <w:tab/>
      </w:r>
      <w:r w:rsidR="00DA4E16" w:rsidRPr="00DA4E16">
        <w:t xml:space="preserve">Mise en œuvre du plan d’action intègre de changement climatique et la réduction des risques de catastrophes </w:t>
      </w:r>
    </w:p>
    <w:p w14:paraId="0F55B7F0" w14:textId="0F8452BF" w:rsidR="00172CBA" w:rsidRPr="001A4AC0" w:rsidRDefault="00DA4E16" w:rsidP="001A4AC0">
      <w:pPr>
        <w:pStyle w:val="Paragraphe"/>
        <w:ind w:left="0"/>
      </w:pPr>
      <w:r w:rsidRPr="001A4AC0">
        <w:t xml:space="preserve">Ce plan d’action a été </w:t>
      </w:r>
      <w:r w:rsidR="00FC64C5" w:rsidRPr="001A4AC0">
        <w:t xml:space="preserve">approuvée par la </w:t>
      </w:r>
      <w:r w:rsidR="00837E2F" w:rsidRPr="001A4AC0">
        <w:t>D</w:t>
      </w:r>
      <w:r w:rsidR="00FC64C5" w:rsidRPr="001A4AC0">
        <w:t>écision</w:t>
      </w:r>
      <w:r w:rsidR="00837E2F" w:rsidRPr="001A4AC0">
        <w:t xml:space="preserve"> 12a </w:t>
      </w:r>
      <w:r w:rsidR="00FC64C5" w:rsidRPr="001A4AC0">
        <w:t xml:space="preserve">du </w:t>
      </w:r>
      <w:r w:rsidR="00837E2F" w:rsidRPr="001A4AC0">
        <w:t>33eme C</w:t>
      </w:r>
      <w:r w:rsidR="00FC64C5" w:rsidRPr="001A4AC0">
        <w:t>onseil de la COI</w:t>
      </w:r>
      <w:r w:rsidR="00523EF5" w:rsidRPr="001A4AC0">
        <w:t xml:space="preserve"> et son but est de : réduire les risques et renforcer la résilience des pays de la COI.</w:t>
      </w:r>
      <w:r w:rsidR="00FC64C5" w:rsidRPr="001A4AC0">
        <w:t xml:space="preserve"> </w:t>
      </w:r>
      <w:r w:rsidR="00523EF5" w:rsidRPr="001A4AC0">
        <w:t xml:space="preserve">Contribuant à sa mise en </w:t>
      </w:r>
      <w:r w:rsidR="00752AB2" w:rsidRPr="001A4AC0">
        <w:t>œuvre, quatre projets</w:t>
      </w:r>
      <w:r w:rsidR="00523EF5" w:rsidRPr="001A4AC0">
        <w:t xml:space="preserve"> sont en cours de mise en </w:t>
      </w:r>
      <w:r w:rsidR="00752AB2" w:rsidRPr="001A4AC0">
        <w:t xml:space="preserve">œuvre. </w:t>
      </w:r>
    </w:p>
    <w:p w14:paraId="4D69075E" w14:textId="4CBD2588" w:rsidR="005479CD" w:rsidRPr="001A4AC0" w:rsidRDefault="00752AB2" w:rsidP="001A4AC0">
      <w:pPr>
        <w:pStyle w:val="Paragraphe"/>
        <w:ind w:left="0"/>
      </w:pPr>
      <w:r w:rsidRPr="001A4AC0">
        <w:t>Il s’agit du</w:t>
      </w:r>
      <w:r w:rsidR="005479CD" w:rsidRPr="001A4AC0">
        <w:t> :</w:t>
      </w:r>
    </w:p>
    <w:p w14:paraId="7AA0B68E" w14:textId="3C8D4966" w:rsidR="00DA4E16" w:rsidRPr="001A4AC0" w:rsidRDefault="005479CD" w:rsidP="001A4AC0">
      <w:pPr>
        <w:pStyle w:val="Paragraphedeliste"/>
        <w:numPr>
          <w:ilvl w:val="0"/>
          <w:numId w:val="18"/>
        </w:numPr>
        <w:ind w:left="426" w:hanging="284"/>
        <w:jc w:val="both"/>
        <w:rPr>
          <w:rFonts w:ascii="Verdana" w:hAnsi="Verdana"/>
          <w:b/>
          <w:bCs/>
          <w:sz w:val="20"/>
          <w:szCs w:val="20"/>
        </w:rPr>
      </w:pPr>
      <w:r w:rsidRPr="001A4AC0">
        <w:rPr>
          <w:rFonts w:ascii="Verdana" w:hAnsi="Verdana"/>
          <w:b/>
          <w:bCs/>
          <w:sz w:val="20"/>
          <w:szCs w:val="20"/>
        </w:rPr>
        <w:t xml:space="preserve">Le </w:t>
      </w:r>
      <w:r w:rsidR="00752AB2" w:rsidRPr="001A4AC0">
        <w:rPr>
          <w:rFonts w:ascii="Verdana" w:hAnsi="Verdana"/>
          <w:b/>
          <w:bCs/>
          <w:sz w:val="20"/>
          <w:szCs w:val="20"/>
        </w:rPr>
        <w:t>projet BRIO</w:t>
      </w:r>
      <w:r w:rsidR="00752AB2" w:rsidRPr="001A4AC0">
        <w:rPr>
          <w:rFonts w:ascii="Verdana" w:hAnsi="Verdana"/>
          <w:sz w:val="20"/>
          <w:szCs w:val="20"/>
        </w:rPr>
        <w:t xml:space="preserve"> qui arrive à échéancier en mars 2022 et </w:t>
      </w:r>
      <w:r w:rsidRPr="001A4AC0">
        <w:rPr>
          <w:rFonts w:ascii="Verdana" w:hAnsi="Verdana"/>
          <w:sz w:val="20"/>
          <w:szCs w:val="20"/>
        </w:rPr>
        <w:t xml:space="preserve">ses résultats </w:t>
      </w:r>
      <w:r w:rsidR="00752AB2" w:rsidRPr="001A4AC0">
        <w:rPr>
          <w:rFonts w:ascii="Verdana" w:hAnsi="Verdana"/>
          <w:sz w:val="20"/>
          <w:szCs w:val="20"/>
        </w:rPr>
        <w:t xml:space="preserve">seront </w:t>
      </w:r>
      <w:r w:rsidRPr="001A4AC0">
        <w:rPr>
          <w:rFonts w:ascii="Verdana" w:hAnsi="Verdana"/>
          <w:sz w:val="20"/>
          <w:szCs w:val="20"/>
        </w:rPr>
        <w:t>valoris</w:t>
      </w:r>
      <w:r w:rsidR="009D4F63" w:rsidRPr="001A4AC0">
        <w:rPr>
          <w:rFonts w:ascii="Verdana" w:hAnsi="Verdana"/>
          <w:sz w:val="20"/>
          <w:szCs w:val="20"/>
        </w:rPr>
        <w:t>és</w:t>
      </w:r>
      <w:r w:rsidRPr="001A4AC0">
        <w:rPr>
          <w:rFonts w:ascii="Verdana" w:hAnsi="Verdana"/>
          <w:sz w:val="20"/>
          <w:szCs w:val="20"/>
        </w:rPr>
        <w:t xml:space="preserve"> et</w:t>
      </w:r>
      <w:r w:rsidR="00752AB2" w:rsidRPr="001A4AC0">
        <w:rPr>
          <w:rFonts w:ascii="Verdana" w:hAnsi="Verdana"/>
          <w:sz w:val="20"/>
          <w:szCs w:val="20"/>
        </w:rPr>
        <w:t xml:space="preserve"> serviront de base </w:t>
      </w:r>
      <w:r w:rsidRPr="001A4AC0">
        <w:rPr>
          <w:rFonts w:ascii="Verdana" w:hAnsi="Verdana"/>
          <w:sz w:val="20"/>
          <w:szCs w:val="20"/>
        </w:rPr>
        <w:t xml:space="preserve">pour les autres projets. Une réunion de restitution de ce projet est programmée pour fin février, début mars. </w:t>
      </w:r>
      <w:r w:rsidR="008A598D" w:rsidRPr="001A4AC0">
        <w:rPr>
          <w:rFonts w:ascii="Verdana" w:hAnsi="Verdana"/>
          <w:sz w:val="20"/>
          <w:szCs w:val="20"/>
        </w:rPr>
        <w:t xml:space="preserve"> Une veille active est </w:t>
      </w:r>
      <w:r w:rsidR="00837E2F" w:rsidRPr="001A4AC0">
        <w:rPr>
          <w:rFonts w:ascii="Verdana" w:hAnsi="Verdana"/>
          <w:sz w:val="20"/>
          <w:szCs w:val="20"/>
        </w:rPr>
        <w:t>mise</w:t>
      </w:r>
      <w:r w:rsidR="008A598D" w:rsidRPr="001A4AC0">
        <w:rPr>
          <w:rFonts w:ascii="Verdana" w:hAnsi="Verdana"/>
          <w:sz w:val="20"/>
          <w:szCs w:val="20"/>
        </w:rPr>
        <w:t xml:space="preserve"> en place pour renforcer la continuité dans les actions, faire </w:t>
      </w:r>
      <w:r w:rsidR="009D4F63" w:rsidRPr="001A4AC0">
        <w:rPr>
          <w:rFonts w:ascii="Verdana" w:hAnsi="Verdana"/>
          <w:sz w:val="20"/>
          <w:szCs w:val="20"/>
        </w:rPr>
        <w:t xml:space="preserve">le lien </w:t>
      </w:r>
      <w:r w:rsidR="008A598D" w:rsidRPr="001A4AC0">
        <w:rPr>
          <w:rFonts w:ascii="Verdana" w:hAnsi="Verdana"/>
          <w:sz w:val="20"/>
          <w:szCs w:val="20"/>
        </w:rPr>
        <w:t>entre la clôture du projet Brio</w:t>
      </w:r>
      <w:r w:rsidRPr="001A4AC0">
        <w:rPr>
          <w:rFonts w:ascii="Verdana" w:hAnsi="Verdana"/>
          <w:sz w:val="20"/>
          <w:szCs w:val="20"/>
        </w:rPr>
        <w:t xml:space="preserve"> </w:t>
      </w:r>
      <w:r w:rsidR="008A598D" w:rsidRPr="001A4AC0">
        <w:rPr>
          <w:rFonts w:ascii="Verdana" w:hAnsi="Verdana"/>
          <w:sz w:val="20"/>
          <w:szCs w:val="20"/>
        </w:rPr>
        <w:t xml:space="preserve">et le démarrage du projet </w:t>
      </w:r>
      <w:r w:rsidR="009D4F63" w:rsidRPr="001A4AC0">
        <w:rPr>
          <w:rFonts w:ascii="Verdana" w:hAnsi="Verdana"/>
          <w:sz w:val="20"/>
          <w:szCs w:val="20"/>
        </w:rPr>
        <w:t>HYDROMET</w:t>
      </w:r>
      <w:r w:rsidR="008A598D" w:rsidRPr="001A4AC0">
        <w:rPr>
          <w:rFonts w:ascii="Verdana" w:hAnsi="Verdana"/>
          <w:sz w:val="20"/>
          <w:szCs w:val="20"/>
        </w:rPr>
        <w:t>.</w:t>
      </w:r>
      <w:r w:rsidR="008A598D" w:rsidRPr="001A4AC0">
        <w:rPr>
          <w:rFonts w:ascii="Verdana" w:hAnsi="Verdana"/>
          <w:b/>
          <w:bCs/>
          <w:sz w:val="20"/>
          <w:szCs w:val="20"/>
        </w:rPr>
        <w:t xml:space="preserve"> </w:t>
      </w:r>
    </w:p>
    <w:p w14:paraId="07B3693A" w14:textId="32383299" w:rsidR="00FF3254" w:rsidRPr="001A4AC0" w:rsidRDefault="005479CD" w:rsidP="001A4AC0">
      <w:pPr>
        <w:pStyle w:val="Paragraphedeliste"/>
        <w:numPr>
          <w:ilvl w:val="0"/>
          <w:numId w:val="18"/>
        </w:numPr>
        <w:ind w:left="426" w:hanging="284"/>
        <w:jc w:val="both"/>
        <w:rPr>
          <w:rFonts w:ascii="Verdana" w:hAnsi="Verdana"/>
          <w:sz w:val="20"/>
          <w:szCs w:val="20"/>
        </w:rPr>
      </w:pPr>
      <w:r w:rsidRPr="001A4AC0">
        <w:rPr>
          <w:rFonts w:ascii="Verdana" w:hAnsi="Verdana"/>
          <w:b/>
          <w:bCs/>
          <w:sz w:val="20"/>
          <w:szCs w:val="20"/>
        </w:rPr>
        <w:t>Le projet Résilience côtière (</w:t>
      </w:r>
      <w:r w:rsidR="00575CE6" w:rsidRPr="001A4AC0">
        <w:rPr>
          <w:rFonts w:ascii="Verdana" w:hAnsi="Verdana"/>
          <w:b/>
          <w:bCs/>
          <w:sz w:val="20"/>
          <w:szCs w:val="20"/>
        </w:rPr>
        <w:t>RECOS)</w:t>
      </w:r>
      <w:r w:rsidR="00575CE6" w:rsidRPr="001A4AC0">
        <w:rPr>
          <w:rFonts w:ascii="Verdana" w:hAnsi="Verdana"/>
          <w:sz w:val="20"/>
          <w:szCs w:val="20"/>
        </w:rPr>
        <w:t xml:space="preserve"> </w:t>
      </w:r>
      <w:r w:rsidR="009D4F63" w:rsidRPr="001A4AC0">
        <w:rPr>
          <w:rFonts w:ascii="Verdana" w:hAnsi="Verdana"/>
          <w:sz w:val="20"/>
          <w:szCs w:val="20"/>
        </w:rPr>
        <w:t>vise à</w:t>
      </w:r>
      <w:r w:rsidR="00575CE6" w:rsidRPr="001A4AC0">
        <w:rPr>
          <w:rFonts w:ascii="Verdana" w:hAnsi="Verdana"/>
          <w:sz w:val="20"/>
          <w:szCs w:val="20"/>
          <w:lang w:eastAsia="fr-FR"/>
        </w:rPr>
        <w:t xml:space="preserve"> </w:t>
      </w:r>
      <w:r w:rsidR="00575CE6" w:rsidRPr="001A4AC0">
        <w:rPr>
          <w:rFonts w:ascii="Verdana" w:hAnsi="Verdana"/>
          <w:color w:val="0076A1"/>
          <w:sz w:val="20"/>
          <w:szCs w:val="20"/>
          <w:lang w:eastAsia="fr-FR"/>
        </w:rPr>
        <w:t>renforcer la résilience des populations littorales face aux effets du changement climatique en restaurant les services rendus par les écosystèmes côtiers</w:t>
      </w:r>
      <w:r w:rsidR="00575CE6" w:rsidRPr="001A4AC0">
        <w:rPr>
          <w:rFonts w:ascii="Verdana" w:hAnsi="Verdana"/>
          <w:sz w:val="20"/>
          <w:szCs w:val="20"/>
        </w:rPr>
        <w:t xml:space="preserve">. </w:t>
      </w:r>
      <w:r w:rsidR="00354A2C" w:rsidRPr="001A4AC0">
        <w:rPr>
          <w:rFonts w:ascii="Verdana" w:hAnsi="Verdana"/>
          <w:sz w:val="20"/>
          <w:szCs w:val="20"/>
        </w:rPr>
        <w:t>L’accent sera mis sur les solutions fondée</w:t>
      </w:r>
      <w:r w:rsidR="009D4F63" w:rsidRPr="001A4AC0">
        <w:rPr>
          <w:rFonts w:ascii="Verdana" w:hAnsi="Verdana"/>
          <w:sz w:val="20"/>
          <w:szCs w:val="20"/>
        </w:rPr>
        <w:t>s</w:t>
      </w:r>
      <w:r w:rsidR="00354A2C" w:rsidRPr="001A4AC0">
        <w:rPr>
          <w:rFonts w:ascii="Verdana" w:hAnsi="Verdana"/>
          <w:sz w:val="20"/>
          <w:szCs w:val="20"/>
        </w:rPr>
        <w:t xml:space="preserve"> sur la nature et la gestion int</w:t>
      </w:r>
      <w:r w:rsidR="009D4F63" w:rsidRPr="001A4AC0">
        <w:rPr>
          <w:rFonts w:ascii="Verdana" w:hAnsi="Verdana"/>
          <w:sz w:val="20"/>
          <w:szCs w:val="20"/>
        </w:rPr>
        <w:t>égrée</w:t>
      </w:r>
      <w:r w:rsidR="00354A2C" w:rsidRPr="001A4AC0">
        <w:rPr>
          <w:rFonts w:ascii="Verdana" w:hAnsi="Verdana"/>
          <w:sz w:val="20"/>
          <w:szCs w:val="20"/>
        </w:rPr>
        <w:t xml:space="preserve"> de</w:t>
      </w:r>
      <w:r w:rsidR="009D4F63" w:rsidRPr="001A4AC0">
        <w:rPr>
          <w:rFonts w:ascii="Verdana" w:hAnsi="Verdana"/>
          <w:sz w:val="20"/>
          <w:szCs w:val="20"/>
        </w:rPr>
        <w:t>s</w:t>
      </w:r>
      <w:r w:rsidR="00354A2C" w:rsidRPr="001A4AC0">
        <w:rPr>
          <w:rFonts w:ascii="Verdana" w:hAnsi="Verdana"/>
          <w:sz w:val="20"/>
          <w:szCs w:val="20"/>
        </w:rPr>
        <w:t xml:space="preserve"> zone</w:t>
      </w:r>
      <w:r w:rsidR="009D4F63" w:rsidRPr="001A4AC0">
        <w:rPr>
          <w:rFonts w:ascii="Verdana" w:hAnsi="Verdana"/>
          <w:sz w:val="20"/>
          <w:szCs w:val="20"/>
        </w:rPr>
        <w:t>s</w:t>
      </w:r>
      <w:r w:rsidR="00354A2C" w:rsidRPr="001A4AC0">
        <w:rPr>
          <w:rFonts w:ascii="Verdana" w:hAnsi="Verdana"/>
          <w:sz w:val="20"/>
          <w:szCs w:val="20"/>
        </w:rPr>
        <w:t xml:space="preserve"> côtière</w:t>
      </w:r>
      <w:r w:rsidR="009D4F63" w:rsidRPr="001A4AC0">
        <w:rPr>
          <w:rFonts w:ascii="Verdana" w:hAnsi="Verdana"/>
          <w:sz w:val="20"/>
          <w:szCs w:val="20"/>
        </w:rPr>
        <w:t>s</w:t>
      </w:r>
      <w:r w:rsidR="00354A2C" w:rsidRPr="001A4AC0">
        <w:rPr>
          <w:rFonts w:ascii="Verdana" w:hAnsi="Verdana"/>
          <w:sz w:val="20"/>
          <w:szCs w:val="20"/>
        </w:rPr>
        <w:t xml:space="preserve"> en travaillant avec les communautés et les instituions dans les Etats membre</w:t>
      </w:r>
      <w:r w:rsidR="009D4F63" w:rsidRPr="001A4AC0">
        <w:rPr>
          <w:rFonts w:ascii="Verdana" w:hAnsi="Verdana"/>
          <w:sz w:val="20"/>
          <w:szCs w:val="20"/>
        </w:rPr>
        <w:t>s</w:t>
      </w:r>
      <w:r w:rsidR="00354A2C" w:rsidRPr="001A4AC0">
        <w:rPr>
          <w:rFonts w:ascii="Verdana" w:hAnsi="Verdana"/>
          <w:sz w:val="20"/>
          <w:szCs w:val="20"/>
        </w:rPr>
        <w:t xml:space="preserve">. </w:t>
      </w:r>
      <w:r w:rsidR="009D4F63" w:rsidRPr="001A4AC0">
        <w:rPr>
          <w:rFonts w:ascii="Verdana" w:hAnsi="Verdana"/>
          <w:sz w:val="20"/>
          <w:szCs w:val="20"/>
        </w:rPr>
        <w:t xml:space="preserve">Le projet a démarré ses activités en novembre 2021 avec le déploiement de l’assistance technique, les premiers échanges avec les PFN et les partenaires de la région. La première réunion du comité de pilotage est prévue de se tenir d’ici la fin du premier trimestre 2022. </w:t>
      </w:r>
    </w:p>
    <w:p w14:paraId="4214F919" w14:textId="23A90F27" w:rsidR="00D574B6" w:rsidRPr="009D4F63" w:rsidRDefault="00752AB2" w:rsidP="001A4AC0">
      <w:pPr>
        <w:pStyle w:val="Paragraphedeliste"/>
        <w:numPr>
          <w:ilvl w:val="0"/>
          <w:numId w:val="18"/>
        </w:numPr>
        <w:ind w:left="426" w:hanging="284"/>
        <w:jc w:val="both"/>
        <w:rPr>
          <w:rFonts w:ascii="Verdana" w:hAnsi="Verdana"/>
          <w:sz w:val="20"/>
          <w:szCs w:val="20"/>
        </w:rPr>
      </w:pPr>
      <w:r w:rsidRPr="001A4AC0">
        <w:rPr>
          <w:rFonts w:ascii="Verdana" w:hAnsi="Verdana"/>
          <w:b/>
          <w:bCs/>
          <w:sz w:val="20"/>
          <w:szCs w:val="20"/>
        </w:rPr>
        <w:t xml:space="preserve">Le projet </w:t>
      </w:r>
      <w:r w:rsidR="00FF3254" w:rsidRPr="001A4AC0">
        <w:rPr>
          <w:rFonts w:ascii="Verdana" w:hAnsi="Verdana"/>
          <w:b/>
          <w:bCs/>
          <w:sz w:val="20"/>
          <w:szCs w:val="20"/>
        </w:rPr>
        <w:t>HYDROMET</w:t>
      </w:r>
      <w:r w:rsidR="009D4F63" w:rsidRPr="001A4AC0">
        <w:rPr>
          <w:rFonts w:ascii="Verdana" w:hAnsi="Verdana"/>
          <w:b/>
          <w:bCs/>
          <w:sz w:val="20"/>
          <w:szCs w:val="20"/>
        </w:rPr>
        <w:t> :</w:t>
      </w:r>
      <w:r w:rsidR="009D4F63">
        <w:rPr>
          <w:b/>
          <w:bCs/>
        </w:rPr>
        <w:t xml:space="preserve"> </w:t>
      </w:r>
      <w:r w:rsidR="00584A0D" w:rsidRPr="009D4F63">
        <w:rPr>
          <w:rFonts w:ascii="Verdana" w:hAnsi="Verdana"/>
          <w:sz w:val="20"/>
          <w:szCs w:val="20"/>
        </w:rPr>
        <w:t>Les</w:t>
      </w:r>
      <w:r w:rsidR="009C0AAD" w:rsidRPr="009D4F63">
        <w:rPr>
          <w:rFonts w:ascii="Verdana" w:hAnsi="Verdana"/>
          <w:sz w:val="20"/>
          <w:szCs w:val="20"/>
        </w:rPr>
        <w:t xml:space="preserve"> Conventions de financement entre la COI et l’AFD sont signé</w:t>
      </w:r>
      <w:r w:rsidR="009D4F63" w:rsidRPr="009D4F63">
        <w:rPr>
          <w:rFonts w:ascii="Verdana" w:hAnsi="Verdana"/>
          <w:sz w:val="20"/>
          <w:szCs w:val="20"/>
        </w:rPr>
        <w:t>es</w:t>
      </w:r>
      <w:r w:rsidR="009C0AAD" w:rsidRPr="009D4F63">
        <w:rPr>
          <w:rFonts w:ascii="Verdana" w:hAnsi="Verdana"/>
          <w:sz w:val="20"/>
          <w:szCs w:val="20"/>
        </w:rPr>
        <w:t>. Pour satisfaire les besoins du Fond</w:t>
      </w:r>
      <w:r w:rsidR="009D4F63" w:rsidRPr="009D4F63">
        <w:rPr>
          <w:rFonts w:ascii="Verdana" w:hAnsi="Verdana"/>
          <w:sz w:val="20"/>
          <w:szCs w:val="20"/>
        </w:rPr>
        <w:t>s</w:t>
      </w:r>
      <w:r w:rsidR="009C0AAD" w:rsidRPr="009D4F63">
        <w:rPr>
          <w:rFonts w:ascii="Verdana" w:hAnsi="Verdana"/>
          <w:sz w:val="20"/>
          <w:szCs w:val="20"/>
        </w:rPr>
        <w:t xml:space="preserve"> Vert pour le Climat avec l’appui de l</w:t>
      </w:r>
      <w:r w:rsidR="009D4F63" w:rsidRPr="009D4F63">
        <w:rPr>
          <w:rFonts w:ascii="Verdana" w:hAnsi="Verdana"/>
          <w:sz w:val="20"/>
          <w:szCs w:val="20"/>
        </w:rPr>
        <w:t>’</w:t>
      </w:r>
      <w:r w:rsidR="009C0AAD" w:rsidRPr="009D4F63">
        <w:rPr>
          <w:rFonts w:ascii="Verdana" w:hAnsi="Verdana"/>
          <w:sz w:val="20"/>
          <w:szCs w:val="20"/>
        </w:rPr>
        <w:t>AFD, le Secr</w:t>
      </w:r>
      <w:r w:rsidR="009D4F63" w:rsidRPr="009D4F63">
        <w:rPr>
          <w:rFonts w:ascii="Verdana" w:hAnsi="Verdana"/>
          <w:sz w:val="20"/>
          <w:szCs w:val="20"/>
        </w:rPr>
        <w:t>é</w:t>
      </w:r>
      <w:r w:rsidR="009C0AAD" w:rsidRPr="009D4F63">
        <w:rPr>
          <w:rFonts w:ascii="Verdana" w:hAnsi="Verdana"/>
          <w:sz w:val="20"/>
          <w:szCs w:val="20"/>
        </w:rPr>
        <w:t xml:space="preserve">tariat général </w:t>
      </w:r>
      <w:r w:rsidR="009D4F63" w:rsidRPr="009D4F63">
        <w:rPr>
          <w:rFonts w:ascii="Verdana" w:hAnsi="Verdana"/>
          <w:sz w:val="20"/>
          <w:szCs w:val="20"/>
        </w:rPr>
        <w:t xml:space="preserve">doit </w:t>
      </w:r>
      <w:r w:rsidR="009C0AAD" w:rsidRPr="009D4F63">
        <w:rPr>
          <w:rFonts w:ascii="Verdana" w:hAnsi="Verdana"/>
          <w:sz w:val="20"/>
          <w:szCs w:val="20"/>
        </w:rPr>
        <w:t>rassembler l’ensembles des documents nécessaires à la levée des conditions suspensives au décaissement</w:t>
      </w:r>
      <w:r w:rsidR="009D4F63" w:rsidRPr="009D4F63">
        <w:rPr>
          <w:rFonts w:ascii="Verdana" w:hAnsi="Verdana"/>
          <w:sz w:val="20"/>
          <w:szCs w:val="20"/>
        </w:rPr>
        <w:t>, notamment</w:t>
      </w:r>
      <w:r w:rsidR="009C0AAD" w:rsidRPr="009D4F63">
        <w:rPr>
          <w:rFonts w:ascii="Verdana" w:hAnsi="Verdana"/>
          <w:sz w:val="20"/>
          <w:szCs w:val="20"/>
        </w:rPr>
        <w:t xml:space="preserve"> les Accords de projets (Project Agreement) qui ont été définis en étroite concertation avec les Etats bénéficiaire</w:t>
      </w:r>
      <w:r w:rsidR="009D4F63" w:rsidRPr="009D4F63">
        <w:rPr>
          <w:rFonts w:ascii="Verdana" w:hAnsi="Verdana"/>
          <w:sz w:val="20"/>
          <w:szCs w:val="20"/>
        </w:rPr>
        <w:t>s</w:t>
      </w:r>
      <w:r w:rsidR="009C0AAD" w:rsidRPr="009D4F63">
        <w:rPr>
          <w:rFonts w:ascii="Verdana" w:hAnsi="Verdana"/>
          <w:sz w:val="20"/>
          <w:szCs w:val="20"/>
        </w:rPr>
        <w:t xml:space="preserve"> direct</w:t>
      </w:r>
      <w:r w:rsidR="009D4F63" w:rsidRPr="009D4F63">
        <w:rPr>
          <w:rFonts w:ascii="Verdana" w:hAnsi="Verdana"/>
          <w:sz w:val="20"/>
          <w:szCs w:val="20"/>
        </w:rPr>
        <w:t>s</w:t>
      </w:r>
      <w:r w:rsidR="009C0AAD" w:rsidRPr="009D4F63">
        <w:rPr>
          <w:rFonts w:ascii="Verdana" w:hAnsi="Verdana"/>
          <w:sz w:val="20"/>
          <w:szCs w:val="20"/>
        </w:rPr>
        <w:t xml:space="preserve"> du projet. </w:t>
      </w:r>
      <w:r w:rsidR="00D574B6" w:rsidRPr="009D4F63">
        <w:rPr>
          <w:rFonts w:ascii="Verdana" w:hAnsi="Verdana" w:cstheme="minorHAnsi"/>
          <w:sz w:val="20"/>
          <w:szCs w:val="20"/>
        </w:rPr>
        <w:t xml:space="preserve">Cet accord doit être signé entre le Secrétariat général de la COI et l’(es) Autorité(s) compétente(s) du pays concerné. </w:t>
      </w:r>
      <w:r w:rsidR="001A4AC0" w:rsidRPr="001A4AC0">
        <w:rPr>
          <w:rFonts w:ascii="Verdana" w:hAnsi="Verdana" w:cstheme="minorHAnsi"/>
          <w:b/>
          <w:bCs/>
          <w:sz w:val="20"/>
          <w:szCs w:val="20"/>
        </w:rPr>
        <w:t>La soumission au Fonds Vert des Accords de projets signés entre la COI et les Etats membres</w:t>
      </w:r>
      <w:r w:rsidR="00D574B6" w:rsidRPr="001A4AC0">
        <w:rPr>
          <w:rFonts w:ascii="Verdana" w:hAnsi="Verdana" w:cstheme="minorHAnsi"/>
          <w:b/>
          <w:bCs/>
          <w:sz w:val="20"/>
          <w:szCs w:val="20"/>
        </w:rPr>
        <w:t xml:space="preserve"> est attendu</w:t>
      </w:r>
      <w:r w:rsidR="001A4AC0" w:rsidRPr="001A4AC0">
        <w:rPr>
          <w:rFonts w:ascii="Verdana" w:hAnsi="Verdana" w:cstheme="minorHAnsi"/>
          <w:b/>
          <w:bCs/>
          <w:sz w:val="20"/>
          <w:szCs w:val="20"/>
        </w:rPr>
        <w:t>e</w:t>
      </w:r>
      <w:r w:rsidR="00D574B6" w:rsidRPr="001A4AC0">
        <w:rPr>
          <w:rFonts w:ascii="Verdana" w:hAnsi="Verdana" w:cstheme="minorHAnsi"/>
          <w:b/>
          <w:bCs/>
          <w:sz w:val="20"/>
          <w:szCs w:val="20"/>
        </w:rPr>
        <w:t xml:space="preserve"> pour le début du mois de mars</w:t>
      </w:r>
      <w:r w:rsidR="009D4F63" w:rsidRPr="001A4AC0">
        <w:rPr>
          <w:rFonts w:ascii="Verdana" w:hAnsi="Verdana" w:cstheme="minorHAnsi"/>
          <w:b/>
          <w:bCs/>
          <w:sz w:val="20"/>
          <w:szCs w:val="20"/>
        </w:rPr>
        <w:t xml:space="preserve"> au plus tard</w:t>
      </w:r>
      <w:r w:rsidR="00D574B6" w:rsidRPr="009D4F63">
        <w:rPr>
          <w:rFonts w:ascii="Verdana" w:hAnsi="Verdana" w:cstheme="minorHAnsi"/>
          <w:sz w:val="20"/>
          <w:szCs w:val="20"/>
        </w:rPr>
        <w:t xml:space="preserve">. </w:t>
      </w:r>
    </w:p>
    <w:p w14:paraId="7C53BC49" w14:textId="754A1897" w:rsidR="00D574B6" w:rsidRPr="009D4F63" w:rsidRDefault="00D574B6" w:rsidP="001A4AC0">
      <w:pPr>
        <w:ind w:left="426"/>
        <w:jc w:val="both"/>
        <w:rPr>
          <w:rFonts w:ascii="Verdana" w:hAnsi="Verdana" w:cstheme="minorHAnsi"/>
          <w:sz w:val="20"/>
          <w:szCs w:val="20"/>
        </w:rPr>
      </w:pPr>
      <w:r w:rsidRPr="009D4F63">
        <w:rPr>
          <w:rFonts w:ascii="Verdana" w:hAnsi="Verdana"/>
          <w:sz w:val="20"/>
          <w:szCs w:val="20"/>
        </w:rPr>
        <w:lastRenderedPageBreak/>
        <w:t>En parallèle, le Secr</w:t>
      </w:r>
      <w:r w:rsidR="009D4F63" w:rsidRPr="009D4F63">
        <w:rPr>
          <w:rFonts w:ascii="Verdana" w:hAnsi="Verdana"/>
          <w:sz w:val="20"/>
          <w:szCs w:val="20"/>
        </w:rPr>
        <w:t>é</w:t>
      </w:r>
      <w:r w:rsidRPr="009D4F63">
        <w:rPr>
          <w:rFonts w:ascii="Verdana" w:hAnsi="Verdana"/>
          <w:sz w:val="20"/>
          <w:szCs w:val="20"/>
        </w:rPr>
        <w:t xml:space="preserve">tariat général continue les échanges avec les deux pays n’ayant </w:t>
      </w:r>
      <w:r w:rsidR="00584A0D" w:rsidRPr="009D4F63">
        <w:rPr>
          <w:rFonts w:ascii="Verdana" w:hAnsi="Verdana"/>
          <w:sz w:val="20"/>
          <w:szCs w:val="20"/>
        </w:rPr>
        <w:t>pas encore</w:t>
      </w:r>
      <w:r w:rsidR="009D4F63" w:rsidRPr="009D4F63">
        <w:rPr>
          <w:rFonts w:ascii="Verdana" w:hAnsi="Verdana"/>
          <w:sz w:val="20"/>
          <w:szCs w:val="20"/>
        </w:rPr>
        <w:t xml:space="preserve"> </w:t>
      </w:r>
      <w:r w:rsidRPr="009D4F63">
        <w:rPr>
          <w:rFonts w:ascii="Verdana" w:hAnsi="Verdana"/>
          <w:sz w:val="20"/>
          <w:szCs w:val="20"/>
        </w:rPr>
        <w:t xml:space="preserve">soumis </w:t>
      </w:r>
      <w:r w:rsidR="002B56F2" w:rsidRPr="009D4F63">
        <w:rPr>
          <w:rFonts w:ascii="Verdana" w:hAnsi="Verdana"/>
          <w:sz w:val="20"/>
          <w:szCs w:val="20"/>
        </w:rPr>
        <w:t>leurs lettres</w:t>
      </w:r>
      <w:r w:rsidRPr="009D4F63">
        <w:rPr>
          <w:rFonts w:ascii="Verdana" w:hAnsi="Verdana"/>
          <w:sz w:val="20"/>
          <w:szCs w:val="20"/>
        </w:rPr>
        <w:t xml:space="preserve"> d’engagement </w:t>
      </w:r>
      <w:r w:rsidR="009D4F63" w:rsidRPr="009D4F63">
        <w:rPr>
          <w:rFonts w:ascii="Verdana" w:hAnsi="Verdana"/>
          <w:sz w:val="20"/>
          <w:szCs w:val="20"/>
        </w:rPr>
        <w:t>sur</w:t>
      </w:r>
      <w:r w:rsidRPr="009D4F63">
        <w:rPr>
          <w:rFonts w:ascii="Verdana" w:hAnsi="Verdana"/>
          <w:sz w:val="20"/>
          <w:szCs w:val="20"/>
        </w:rPr>
        <w:t xml:space="preserve"> 15</w:t>
      </w:r>
      <w:r w:rsidR="009D4F63" w:rsidRPr="009D4F63">
        <w:rPr>
          <w:rFonts w:ascii="Verdana" w:hAnsi="Verdana"/>
          <w:sz w:val="20"/>
          <w:szCs w:val="20"/>
        </w:rPr>
        <w:t xml:space="preserve"> </w:t>
      </w:r>
      <w:r w:rsidRPr="009D4F63">
        <w:rPr>
          <w:rFonts w:ascii="Verdana" w:hAnsi="Verdana"/>
          <w:sz w:val="20"/>
          <w:szCs w:val="20"/>
        </w:rPr>
        <w:t xml:space="preserve">ans après l’achèvement du projet. </w:t>
      </w:r>
      <w:r w:rsidR="009D4F63" w:rsidRPr="009D4F63">
        <w:rPr>
          <w:rFonts w:ascii="Verdana" w:hAnsi="Verdana"/>
          <w:sz w:val="20"/>
          <w:szCs w:val="20"/>
        </w:rPr>
        <w:t>C</w:t>
      </w:r>
      <w:r w:rsidRPr="009D4F63">
        <w:rPr>
          <w:rFonts w:ascii="Verdana" w:hAnsi="Verdana"/>
          <w:sz w:val="20"/>
          <w:szCs w:val="20"/>
        </w:rPr>
        <w:t xml:space="preserve">es </w:t>
      </w:r>
      <w:r w:rsidRPr="001A4AC0">
        <w:rPr>
          <w:rFonts w:ascii="Verdana" w:hAnsi="Verdana"/>
          <w:b/>
          <w:bCs/>
          <w:sz w:val="20"/>
          <w:szCs w:val="20"/>
        </w:rPr>
        <w:t xml:space="preserve">lettres </w:t>
      </w:r>
      <w:r w:rsidR="009D4F63" w:rsidRPr="001A4AC0">
        <w:rPr>
          <w:rFonts w:ascii="Verdana" w:hAnsi="Verdana"/>
          <w:b/>
          <w:bCs/>
          <w:sz w:val="20"/>
          <w:szCs w:val="20"/>
        </w:rPr>
        <w:t xml:space="preserve">d’engagement </w:t>
      </w:r>
      <w:r w:rsidRPr="001A4AC0">
        <w:rPr>
          <w:rFonts w:ascii="Verdana" w:hAnsi="Verdana"/>
          <w:b/>
          <w:bCs/>
          <w:sz w:val="20"/>
          <w:szCs w:val="20"/>
        </w:rPr>
        <w:t xml:space="preserve">font </w:t>
      </w:r>
      <w:r w:rsidR="002B56F2" w:rsidRPr="001A4AC0">
        <w:rPr>
          <w:rFonts w:ascii="Verdana" w:hAnsi="Verdana"/>
          <w:b/>
          <w:bCs/>
          <w:sz w:val="20"/>
          <w:szCs w:val="20"/>
        </w:rPr>
        <w:t>partie intégra</w:t>
      </w:r>
      <w:r w:rsidR="009D4F63" w:rsidRPr="001A4AC0">
        <w:rPr>
          <w:rFonts w:ascii="Verdana" w:hAnsi="Verdana"/>
          <w:b/>
          <w:bCs/>
          <w:sz w:val="20"/>
          <w:szCs w:val="20"/>
        </w:rPr>
        <w:t>nte</w:t>
      </w:r>
      <w:r w:rsidRPr="001A4AC0">
        <w:rPr>
          <w:rFonts w:ascii="Verdana" w:hAnsi="Verdana"/>
          <w:b/>
          <w:bCs/>
          <w:sz w:val="20"/>
          <w:szCs w:val="20"/>
        </w:rPr>
        <w:t xml:space="preserve"> des documents </w:t>
      </w:r>
      <w:r w:rsidR="009D4F63" w:rsidRPr="001A4AC0">
        <w:rPr>
          <w:rFonts w:ascii="Verdana" w:hAnsi="Verdana"/>
          <w:b/>
          <w:bCs/>
          <w:sz w:val="20"/>
          <w:szCs w:val="20"/>
        </w:rPr>
        <w:t>nécessaires</w:t>
      </w:r>
      <w:r w:rsidRPr="001A4AC0">
        <w:rPr>
          <w:rFonts w:ascii="Verdana" w:hAnsi="Verdana"/>
          <w:b/>
          <w:bCs/>
          <w:sz w:val="20"/>
          <w:szCs w:val="20"/>
        </w:rPr>
        <w:t xml:space="preserve"> </w:t>
      </w:r>
      <w:r w:rsidR="002B56F2" w:rsidRPr="001A4AC0">
        <w:rPr>
          <w:rFonts w:ascii="Verdana" w:hAnsi="Verdana"/>
          <w:b/>
          <w:bCs/>
          <w:sz w:val="20"/>
          <w:szCs w:val="20"/>
        </w:rPr>
        <w:t>à la levée</w:t>
      </w:r>
      <w:r w:rsidRPr="001A4AC0">
        <w:rPr>
          <w:rFonts w:ascii="Verdana" w:hAnsi="Verdana"/>
          <w:b/>
          <w:bCs/>
          <w:sz w:val="20"/>
          <w:szCs w:val="20"/>
        </w:rPr>
        <w:t xml:space="preserve"> d</w:t>
      </w:r>
      <w:r w:rsidR="002B56F2" w:rsidRPr="001A4AC0">
        <w:rPr>
          <w:rFonts w:ascii="Verdana" w:hAnsi="Verdana"/>
          <w:b/>
          <w:bCs/>
          <w:sz w:val="20"/>
          <w:szCs w:val="20"/>
        </w:rPr>
        <w:t>es conditions suspensives</w:t>
      </w:r>
      <w:r w:rsidR="002B56F2" w:rsidRPr="009D4F63">
        <w:rPr>
          <w:rFonts w:ascii="Verdana" w:hAnsi="Verdana"/>
          <w:sz w:val="20"/>
          <w:szCs w:val="20"/>
        </w:rPr>
        <w:t xml:space="preserve">. </w:t>
      </w:r>
    </w:p>
    <w:p w14:paraId="21875958" w14:textId="4688D3B8" w:rsidR="002C56ED" w:rsidRPr="001A4AC0" w:rsidRDefault="002B56F2" w:rsidP="001A4AC0">
      <w:pPr>
        <w:pStyle w:val="Paragraphedeliste"/>
        <w:numPr>
          <w:ilvl w:val="0"/>
          <w:numId w:val="21"/>
        </w:numPr>
        <w:spacing w:after="0" w:line="240" w:lineRule="auto"/>
        <w:ind w:left="426" w:hanging="284"/>
        <w:jc w:val="both"/>
        <w:rPr>
          <w:rFonts w:ascii="Verdana" w:hAnsi="Verdana"/>
          <w:sz w:val="20"/>
          <w:szCs w:val="20"/>
        </w:rPr>
      </w:pPr>
      <w:r w:rsidRPr="001A4AC0">
        <w:rPr>
          <w:rFonts w:ascii="Verdana" w:hAnsi="Verdana"/>
          <w:b/>
          <w:bCs/>
          <w:sz w:val="20"/>
          <w:szCs w:val="20"/>
        </w:rPr>
        <w:t>Le projet Gestion et réponse aux catastrophes</w:t>
      </w:r>
      <w:r w:rsidRPr="001A4AC0">
        <w:rPr>
          <w:rFonts w:ascii="Verdana" w:hAnsi="Verdana"/>
          <w:sz w:val="20"/>
          <w:szCs w:val="20"/>
        </w:rPr>
        <w:t xml:space="preserve"> dont la Convention de financement a été signé</w:t>
      </w:r>
      <w:r w:rsidR="001A4AC0" w:rsidRPr="001A4AC0">
        <w:rPr>
          <w:rFonts w:ascii="Verdana" w:hAnsi="Verdana"/>
          <w:sz w:val="20"/>
          <w:szCs w:val="20"/>
        </w:rPr>
        <w:t>e</w:t>
      </w:r>
      <w:r w:rsidRPr="001A4AC0">
        <w:rPr>
          <w:rFonts w:ascii="Verdana" w:hAnsi="Verdana"/>
          <w:sz w:val="20"/>
          <w:szCs w:val="20"/>
        </w:rPr>
        <w:t xml:space="preserve"> entre la COI et l’Union </w:t>
      </w:r>
      <w:r w:rsidR="001A4AC0" w:rsidRPr="001A4AC0">
        <w:rPr>
          <w:rFonts w:ascii="Verdana" w:hAnsi="Verdana"/>
          <w:sz w:val="20"/>
          <w:szCs w:val="20"/>
        </w:rPr>
        <w:t>e</w:t>
      </w:r>
      <w:r w:rsidRPr="001A4AC0">
        <w:rPr>
          <w:rFonts w:ascii="Verdana" w:hAnsi="Verdana"/>
          <w:sz w:val="20"/>
          <w:szCs w:val="20"/>
        </w:rPr>
        <w:t xml:space="preserve">uropéenne en décembre 2020. Ce projet vise le renforcement des capacités des </w:t>
      </w:r>
      <w:r w:rsidR="00902B9E" w:rsidRPr="001A4AC0">
        <w:rPr>
          <w:rFonts w:ascii="Verdana" w:hAnsi="Verdana"/>
          <w:sz w:val="20"/>
          <w:szCs w:val="20"/>
        </w:rPr>
        <w:t xml:space="preserve">instituions des </w:t>
      </w:r>
      <w:r w:rsidRPr="001A4AC0">
        <w:rPr>
          <w:rFonts w:ascii="Verdana" w:hAnsi="Verdana"/>
          <w:sz w:val="20"/>
          <w:szCs w:val="20"/>
        </w:rPr>
        <w:t xml:space="preserve">Etats membres de la COI </w:t>
      </w:r>
      <w:r w:rsidR="001A4AC0" w:rsidRPr="001A4AC0">
        <w:rPr>
          <w:rFonts w:ascii="Verdana" w:hAnsi="Verdana"/>
          <w:sz w:val="20"/>
          <w:szCs w:val="20"/>
        </w:rPr>
        <w:t>en matière de</w:t>
      </w:r>
      <w:r w:rsidRPr="001A4AC0">
        <w:rPr>
          <w:rFonts w:ascii="Verdana" w:hAnsi="Verdana"/>
          <w:sz w:val="20"/>
          <w:szCs w:val="20"/>
        </w:rPr>
        <w:t xml:space="preserve"> </w:t>
      </w:r>
      <w:r w:rsidR="00902B9E" w:rsidRPr="001A4AC0">
        <w:rPr>
          <w:rFonts w:ascii="Verdana" w:hAnsi="Verdana"/>
          <w:sz w:val="20"/>
          <w:szCs w:val="20"/>
        </w:rPr>
        <w:t xml:space="preserve">la réduction, gestion et réponses aux catastrophes. </w:t>
      </w:r>
      <w:r w:rsidR="00901F97" w:rsidRPr="001A4AC0">
        <w:rPr>
          <w:rFonts w:ascii="Verdana" w:hAnsi="Verdana"/>
          <w:sz w:val="20"/>
          <w:szCs w:val="20"/>
        </w:rPr>
        <w:t>Pour sa mise en œuvre, le Secr</w:t>
      </w:r>
      <w:r w:rsidR="001A4AC0" w:rsidRPr="001A4AC0">
        <w:rPr>
          <w:rFonts w:ascii="Verdana" w:hAnsi="Verdana"/>
          <w:sz w:val="20"/>
          <w:szCs w:val="20"/>
        </w:rPr>
        <w:t>é</w:t>
      </w:r>
      <w:r w:rsidR="00901F97" w:rsidRPr="001A4AC0">
        <w:rPr>
          <w:rFonts w:ascii="Verdana" w:hAnsi="Verdana"/>
          <w:sz w:val="20"/>
          <w:szCs w:val="20"/>
        </w:rPr>
        <w:t>tariat travai</w:t>
      </w:r>
      <w:r w:rsidR="001A4AC0" w:rsidRPr="001A4AC0">
        <w:rPr>
          <w:rFonts w:ascii="Verdana" w:hAnsi="Verdana"/>
          <w:sz w:val="20"/>
          <w:szCs w:val="20"/>
        </w:rPr>
        <w:t>l</w:t>
      </w:r>
      <w:r w:rsidR="00901F97" w:rsidRPr="001A4AC0">
        <w:rPr>
          <w:rFonts w:ascii="Verdana" w:hAnsi="Verdana"/>
          <w:sz w:val="20"/>
          <w:szCs w:val="20"/>
        </w:rPr>
        <w:t>l</w:t>
      </w:r>
      <w:r w:rsidR="001A4AC0" w:rsidRPr="001A4AC0">
        <w:rPr>
          <w:rFonts w:ascii="Verdana" w:hAnsi="Verdana"/>
          <w:sz w:val="20"/>
          <w:szCs w:val="20"/>
        </w:rPr>
        <w:t>e</w:t>
      </w:r>
      <w:r w:rsidR="00901F97" w:rsidRPr="001A4AC0">
        <w:rPr>
          <w:rFonts w:ascii="Verdana" w:hAnsi="Verdana"/>
          <w:sz w:val="20"/>
          <w:szCs w:val="20"/>
        </w:rPr>
        <w:t xml:space="preserve"> en collaboration avec UNDRR, la PIROI et la délégation de l’Union </w:t>
      </w:r>
      <w:r w:rsidR="001A4AC0" w:rsidRPr="001A4AC0">
        <w:rPr>
          <w:rFonts w:ascii="Verdana" w:hAnsi="Verdana"/>
          <w:sz w:val="20"/>
          <w:szCs w:val="20"/>
        </w:rPr>
        <w:t>e</w:t>
      </w:r>
      <w:r w:rsidR="00901F97" w:rsidRPr="001A4AC0">
        <w:rPr>
          <w:rFonts w:ascii="Verdana" w:hAnsi="Verdana"/>
          <w:sz w:val="20"/>
          <w:szCs w:val="20"/>
        </w:rPr>
        <w:t>uropéenne à Maurice. Deux contrats de s</w:t>
      </w:r>
      <w:r w:rsidR="00902B9E" w:rsidRPr="001A4AC0">
        <w:rPr>
          <w:rFonts w:ascii="Verdana" w:eastAsia="Times New Roman" w:hAnsi="Verdana"/>
          <w:sz w:val="20"/>
          <w:szCs w:val="20"/>
        </w:rPr>
        <w:t xml:space="preserve">ubvention </w:t>
      </w:r>
      <w:r w:rsidR="00901F97" w:rsidRPr="001A4AC0">
        <w:rPr>
          <w:rFonts w:ascii="Verdana" w:eastAsia="Times New Roman" w:hAnsi="Verdana"/>
          <w:sz w:val="20"/>
          <w:szCs w:val="20"/>
        </w:rPr>
        <w:t>d</w:t>
      </w:r>
      <w:r w:rsidR="00902B9E" w:rsidRPr="001A4AC0">
        <w:rPr>
          <w:rFonts w:ascii="Verdana" w:eastAsia="Times New Roman" w:hAnsi="Verdana"/>
          <w:sz w:val="20"/>
          <w:szCs w:val="20"/>
        </w:rPr>
        <w:t>irecte</w:t>
      </w:r>
      <w:r w:rsidR="00901F97" w:rsidRPr="001A4AC0">
        <w:rPr>
          <w:rFonts w:ascii="Verdana" w:eastAsia="Times New Roman" w:hAnsi="Verdana"/>
          <w:sz w:val="20"/>
          <w:szCs w:val="20"/>
        </w:rPr>
        <w:t xml:space="preserve"> ont été </w:t>
      </w:r>
      <w:r w:rsidR="00437604" w:rsidRPr="001A4AC0">
        <w:rPr>
          <w:rFonts w:ascii="Verdana" w:eastAsia="Times New Roman" w:hAnsi="Verdana"/>
          <w:sz w:val="20"/>
          <w:szCs w:val="20"/>
        </w:rPr>
        <w:t>signé</w:t>
      </w:r>
      <w:r w:rsidR="001A4AC0" w:rsidRPr="001A4AC0">
        <w:rPr>
          <w:rFonts w:ascii="Verdana" w:eastAsia="Times New Roman" w:hAnsi="Verdana"/>
          <w:sz w:val="20"/>
          <w:szCs w:val="20"/>
        </w:rPr>
        <w:t xml:space="preserve"> entre (i)</w:t>
      </w:r>
      <w:r w:rsidR="00902B9E" w:rsidRPr="001A4AC0">
        <w:rPr>
          <w:rFonts w:ascii="Verdana" w:eastAsia="Times New Roman" w:hAnsi="Verdana"/>
          <w:sz w:val="20"/>
          <w:szCs w:val="20"/>
        </w:rPr>
        <w:t xml:space="preserve"> </w:t>
      </w:r>
      <w:r w:rsidR="00901F97" w:rsidRPr="001A4AC0">
        <w:rPr>
          <w:rFonts w:ascii="Verdana" w:eastAsia="Times New Roman" w:hAnsi="Verdana"/>
          <w:sz w:val="20"/>
          <w:szCs w:val="20"/>
        </w:rPr>
        <w:t xml:space="preserve">la </w:t>
      </w:r>
      <w:r w:rsidR="00902B9E" w:rsidRPr="001A4AC0">
        <w:rPr>
          <w:rFonts w:ascii="Verdana" w:eastAsia="Times New Roman" w:hAnsi="Verdana"/>
          <w:sz w:val="20"/>
          <w:szCs w:val="20"/>
        </w:rPr>
        <w:t>PIROI et l</w:t>
      </w:r>
      <w:r w:rsidR="00901F97" w:rsidRPr="001A4AC0">
        <w:rPr>
          <w:rFonts w:ascii="Verdana" w:eastAsia="Times New Roman" w:hAnsi="Verdana"/>
          <w:sz w:val="20"/>
          <w:szCs w:val="20"/>
        </w:rPr>
        <w:t>a</w:t>
      </w:r>
      <w:r w:rsidR="00902B9E" w:rsidRPr="001A4AC0">
        <w:rPr>
          <w:rFonts w:ascii="Verdana" w:eastAsia="Times New Roman" w:hAnsi="Verdana"/>
          <w:sz w:val="20"/>
          <w:szCs w:val="20"/>
        </w:rPr>
        <w:t xml:space="preserve"> délégation de </w:t>
      </w:r>
      <w:r w:rsidR="001A4AC0" w:rsidRPr="001A4AC0">
        <w:rPr>
          <w:rFonts w:ascii="Verdana" w:eastAsia="Times New Roman" w:hAnsi="Verdana"/>
          <w:sz w:val="20"/>
          <w:szCs w:val="20"/>
        </w:rPr>
        <w:t>l’UE</w:t>
      </w:r>
      <w:r w:rsidR="00901F97" w:rsidRPr="001A4AC0">
        <w:rPr>
          <w:rFonts w:ascii="Verdana" w:eastAsia="Times New Roman" w:hAnsi="Verdana"/>
          <w:sz w:val="20"/>
          <w:szCs w:val="20"/>
        </w:rPr>
        <w:t xml:space="preserve"> en mai 2021</w:t>
      </w:r>
      <w:r w:rsidR="001A4AC0" w:rsidRPr="001A4AC0">
        <w:rPr>
          <w:rFonts w:ascii="Verdana" w:eastAsia="Times New Roman" w:hAnsi="Verdana"/>
          <w:sz w:val="20"/>
          <w:szCs w:val="20"/>
        </w:rPr>
        <w:t>, et (ii) UNDRR</w:t>
      </w:r>
      <w:r w:rsidR="001A4AC0" w:rsidRPr="001A4AC0">
        <w:rPr>
          <w:rStyle w:val="Appelnotedebasdep"/>
          <w:rFonts w:ascii="Verdana" w:eastAsia="Times New Roman" w:hAnsi="Verdana"/>
          <w:sz w:val="20"/>
          <w:szCs w:val="20"/>
        </w:rPr>
        <w:footnoteReference w:id="1"/>
      </w:r>
      <w:r w:rsidR="001A4AC0" w:rsidRPr="001A4AC0">
        <w:rPr>
          <w:rFonts w:ascii="Verdana" w:eastAsia="Times New Roman" w:hAnsi="Verdana"/>
          <w:sz w:val="20"/>
          <w:szCs w:val="20"/>
        </w:rPr>
        <w:t xml:space="preserve"> et l’UE en septembre 2021</w:t>
      </w:r>
      <w:r w:rsidR="00607191" w:rsidRPr="001A4AC0">
        <w:rPr>
          <w:rFonts w:ascii="Verdana" w:eastAsia="Times New Roman" w:hAnsi="Verdana"/>
          <w:sz w:val="20"/>
          <w:szCs w:val="20"/>
        </w:rPr>
        <w:t>. L</w:t>
      </w:r>
      <w:r w:rsidR="00902B9E" w:rsidRPr="001A4AC0">
        <w:rPr>
          <w:rFonts w:ascii="Verdana" w:eastAsia="Times New Roman" w:hAnsi="Verdana"/>
          <w:sz w:val="20"/>
          <w:szCs w:val="20"/>
        </w:rPr>
        <w:t>es activités de la PIROI ont démarré</w:t>
      </w:r>
      <w:r w:rsidR="00607191" w:rsidRPr="001A4AC0">
        <w:rPr>
          <w:rFonts w:ascii="Verdana" w:eastAsia="Times New Roman" w:hAnsi="Verdana"/>
          <w:sz w:val="20"/>
          <w:szCs w:val="20"/>
        </w:rPr>
        <w:t xml:space="preserve"> et plusieurs ateliers ont été organisé</w:t>
      </w:r>
      <w:r w:rsidR="001A4AC0" w:rsidRPr="001A4AC0">
        <w:rPr>
          <w:rFonts w:ascii="Verdana" w:eastAsia="Times New Roman" w:hAnsi="Verdana"/>
          <w:sz w:val="20"/>
          <w:szCs w:val="20"/>
        </w:rPr>
        <w:t>s. L’</w:t>
      </w:r>
      <w:r w:rsidR="00902B9E" w:rsidRPr="001A4AC0">
        <w:rPr>
          <w:rFonts w:ascii="Verdana" w:eastAsia="Times New Roman" w:hAnsi="Verdana"/>
          <w:sz w:val="20"/>
          <w:szCs w:val="20"/>
        </w:rPr>
        <w:t>UNDRR a démarré les activités</w:t>
      </w:r>
      <w:r w:rsidR="001A4AC0" w:rsidRPr="001A4AC0">
        <w:rPr>
          <w:rFonts w:ascii="Verdana" w:eastAsia="Times New Roman" w:hAnsi="Verdana"/>
          <w:sz w:val="20"/>
          <w:szCs w:val="20"/>
        </w:rPr>
        <w:t xml:space="preserve">, notamment avec </w:t>
      </w:r>
      <w:r w:rsidR="00607191" w:rsidRPr="001A4AC0">
        <w:rPr>
          <w:rFonts w:ascii="Verdana" w:eastAsia="Times New Roman" w:hAnsi="Verdana"/>
          <w:sz w:val="20"/>
          <w:szCs w:val="20"/>
        </w:rPr>
        <w:t>une rencontre</w:t>
      </w:r>
      <w:r w:rsidR="00902B9E" w:rsidRPr="001A4AC0">
        <w:rPr>
          <w:rFonts w:ascii="Verdana" w:eastAsia="Times New Roman" w:hAnsi="Verdana"/>
          <w:sz w:val="20"/>
          <w:szCs w:val="20"/>
        </w:rPr>
        <w:t xml:space="preserve"> des PFN en octobre 2021 en préparation </w:t>
      </w:r>
      <w:r w:rsidR="001A4AC0" w:rsidRPr="001A4AC0">
        <w:rPr>
          <w:rFonts w:ascii="Verdana" w:eastAsia="Times New Roman" w:hAnsi="Verdana"/>
          <w:sz w:val="20"/>
          <w:szCs w:val="20"/>
        </w:rPr>
        <w:t>de</w:t>
      </w:r>
      <w:r w:rsidR="00902B9E" w:rsidRPr="001A4AC0">
        <w:rPr>
          <w:rFonts w:ascii="Verdana" w:eastAsia="Times New Roman" w:hAnsi="Verdana"/>
          <w:sz w:val="20"/>
          <w:szCs w:val="20"/>
        </w:rPr>
        <w:t xml:space="preserve"> la journée internationale </w:t>
      </w:r>
      <w:r w:rsidR="001A4AC0" w:rsidRPr="001A4AC0">
        <w:rPr>
          <w:rFonts w:ascii="Verdana" w:eastAsia="Times New Roman" w:hAnsi="Verdana"/>
          <w:sz w:val="20"/>
          <w:szCs w:val="20"/>
        </w:rPr>
        <w:t>sur les</w:t>
      </w:r>
      <w:r w:rsidR="00902B9E" w:rsidRPr="001A4AC0">
        <w:rPr>
          <w:rFonts w:ascii="Verdana" w:eastAsia="Times New Roman" w:hAnsi="Verdana"/>
          <w:sz w:val="20"/>
          <w:szCs w:val="20"/>
        </w:rPr>
        <w:t xml:space="preserve"> tsunami</w:t>
      </w:r>
      <w:r w:rsidR="001A4AC0" w:rsidRPr="001A4AC0">
        <w:rPr>
          <w:rFonts w:ascii="Verdana" w:eastAsia="Times New Roman" w:hAnsi="Verdana"/>
          <w:sz w:val="20"/>
          <w:szCs w:val="20"/>
        </w:rPr>
        <w:t>s</w:t>
      </w:r>
      <w:r w:rsidR="00902B9E" w:rsidRPr="001A4AC0">
        <w:rPr>
          <w:rFonts w:ascii="Verdana" w:eastAsia="Times New Roman" w:hAnsi="Verdana"/>
          <w:sz w:val="20"/>
          <w:szCs w:val="20"/>
        </w:rPr>
        <w:t xml:space="preserve"> </w:t>
      </w:r>
      <w:r w:rsidR="00607191" w:rsidRPr="001A4AC0">
        <w:rPr>
          <w:rFonts w:ascii="Verdana" w:eastAsia="Times New Roman" w:hAnsi="Verdana"/>
          <w:sz w:val="20"/>
          <w:szCs w:val="20"/>
        </w:rPr>
        <w:t xml:space="preserve">et la participation des pays au forum d’Afrique sur la réduction des risques des catastrophe. </w:t>
      </w:r>
      <w:r w:rsidR="003B5C1D" w:rsidRPr="001A4AC0">
        <w:rPr>
          <w:rFonts w:ascii="Verdana" w:eastAsia="Times New Roman" w:hAnsi="Verdana"/>
          <w:sz w:val="20"/>
          <w:szCs w:val="20"/>
        </w:rPr>
        <w:t xml:space="preserve">Le Secretariat de la </w:t>
      </w:r>
      <w:r w:rsidR="00943C9D" w:rsidRPr="001A4AC0">
        <w:rPr>
          <w:rFonts w:ascii="Verdana" w:eastAsia="Times New Roman" w:hAnsi="Verdana"/>
          <w:sz w:val="20"/>
          <w:szCs w:val="20"/>
        </w:rPr>
        <w:t>COI en</w:t>
      </w:r>
      <w:r w:rsidR="003B5C1D" w:rsidRPr="001A4AC0">
        <w:rPr>
          <w:rFonts w:ascii="Verdana" w:eastAsia="Times New Roman" w:hAnsi="Verdana"/>
          <w:sz w:val="20"/>
          <w:szCs w:val="20"/>
        </w:rPr>
        <w:t xml:space="preserve"> étroite collaboration avec la délégation de </w:t>
      </w:r>
      <w:r w:rsidR="001A4AC0" w:rsidRPr="001A4AC0">
        <w:rPr>
          <w:rFonts w:ascii="Verdana" w:eastAsia="Times New Roman" w:hAnsi="Verdana"/>
          <w:sz w:val="20"/>
          <w:szCs w:val="20"/>
        </w:rPr>
        <w:t>l’UE</w:t>
      </w:r>
      <w:r w:rsidR="003B5C1D" w:rsidRPr="001A4AC0">
        <w:rPr>
          <w:rFonts w:ascii="Verdana" w:eastAsia="Times New Roman" w:hAnsi="Verdana"/>
          <w:sz w:val="20"/>
          <w:szCs w:val="20"/>
        </w:rPr>
        <w:t xml:space="preserve"> mettra en </w:t>
      </w:r>
      <w:r w:rsidR="00943C9D" w:rsidRPr="001A4AC0">
        <w:rPr>
          <w:rFonts w:ascii="Verdana" w:eastAsia="Times New Roman" w:hAnsi="Verdana"/>
          <w:sz w:val="20"/>
          <w:szCs w:val="20"/>
        </w:rPr>
        <w:t>œuvre le</w:t>
      </w:r>
      <w:r w:rsidR="003B5C1D" w:rsidRPr="001A4AC0">
        <w:rPr>
          <w:rFonts w:ascii="Verdana" w:eastAsia="Times New Roman" w:hAnsi="Verdana"/>
          <w:sz w:val="20"/>
          <w:szCs w:val="20"/>
        </w:rPr>
        <w:t xml:space="preserve"> devis programme pour un montant </w:t>
      </w:r>
      <w:r w:rsidR="00943C9D" w:rsidRPr="001A4AC0">
        <w:rPr>
          <w:rFonts w:ascii="Verdana" w:eastAsia="Times New Roman" w:hAnsi="Verdana"/>
          <w:sz w:val="20"/>
          <w:szCs w:val="20"/>
        </w:rPr>
        <w:t>d’environ 1</w:t>
      </w:r>
      <w:r w:rsidR="001A4AC0" w:rsidRPr="001A4AC0">
        <w:rPr>
          <w:rFonts w:ascii="Verdana" w:eastAsia="Times New Roman" w:hAnsi="Verdana"/>
          <w:sz w:val="20"/>
          <w:szCs w:val="20"/>
        </w:rPr>
        <w:t>,</w:t>
      </w:r>
      <w:r w:rsidR="003B5C1D" w:rsidRPr="001A4AC0">
        <w:rPr>
          <w:rFonts w:ascii="Verdana" w:eastAsia="Times New Roman" w:hAnsi="Verdana"/>
          <w:sz w:val="20"/>
          <w:szCs w:val="20"/>
        </w:rPr>
        <w:t>8</w:t>
      </w:r>
      <w:r w:rsidR="001A4AC0" w:rsidRPr="001A4AC0">
        <w:rPr>
          <w:rFonts w:ascii="Verdana" w:eastAsia="Times New Roman" w:hAnsi="Verdana"/>
          <w:sz w:val="20"/>
          <w:szCs w:val="20"/>
        </w:rPr>
        <w:t>5 M€</w:t>
      </w:r>
      <w:r w:rsidR="00943C9D" w:rsidRPr="001A4AC0">
        <w:rPr>
          <w:rFonts w:ascii="Verdana" w:eastAsia="Times New Roman" w:hAnsi="Verdana"/>
          <w:sz w:val="20"/>
          <w:szCs w:val="20"/>
        </w:rPr>
        <w:t xml:space="preserve">. Le Devis Programme est en cours de validation par la Délégation. Les </w:t>
      </w:r>
      <w:r w:rsidR="006568B0" w:rsidRPr="001A4AC0">
        <w:rPr>
          <w:rFonts w:ascii="Verdana" w:eastAsia="Times New Roman" w:hAnsi="Verdana"/>
          <w:sz w:val="20"/>
          <w:szCs w:val="20"/>
        </w:rPr>
        <w:t>activités</w:t>
      </w:r>
      <w:r w:rsidR="00943C9D" w:rsidRPr="001A4AC0">
        <w:rPr>
          <w:rFonts w:ascii="Verdana" w:eastAsia="Times New Roman" w:hAnsi="Verdana"/>
          <w:sz w:val="20"/>
          <w:szCs w:val="20"/>
        </w:rPr>
        <w:t xml:space="preserve"> de ce devis</w:t>
      </w:r>
      <w:r w:rsidR="001A4AC0" w:rsidRPr="001A4AC0">
        <w:rPr>
          <w:rFonts w:ascii="Verdana" w:eastAsia="Times New Roman" w:hAnsi="Verdana"/>
          <w:sz w:val="20"/>
          <w:szCs w:val="20"/>
        </w:rPr>
        <w:t>-</w:t>
      </w:r>
      <w:r w:rsidR="00943C9D" w:rsidRPr="001A4AC0">
        <w:rPr>
          <w:rFonts w:ascii="Verdana" w:eastAsia="Times New Roman" w:hAnsi="Verdana"/>
          <w:sz w:val="20"/>
          <w:szCs w:val="20"/>
        </w:rPr>
        <w:t xml:space="preserve">programme démarreront au cours du mois de février et le </w:t>
      </w:r>
      <w:r w:rsidR="00902B9E" w:rsidRPr="001A4AC0">
        <w:rPr>
          <w:rFonts w:ascii="Verdana" w:eastAsia="Times New Roman" w:hAnsi="Verdana"/>
          <w:sz w:val="20"/>
          <w:szCs w:val="20"/>
        </w:rPr>
        <w:t>Comité de Pilotage est prévu pour le premier trimestre</w:t>
      </w:r>
      <w:r w:rsidR="00943C9D" w:rsidRPr="001A4AC0">
        <w:rPr>
          <w:rFonts w:ascii="Verdana" w:eastAsia="Times New Roman" w:hAnsi="Verdana"/>
          <w:sz w:val="20"/>
          <w:szCs w:val="20"/>
        </w:rPr>
        <w:t>.</w:t>
      </w:r>
      <w:r w:rsidR="001A4AC0" w:rsidRPr="001A4AC0">
        <w:rPr>
          <w:rFonts w:ascii="Verdana" w:eastAsia="Times New Roman" w:hAnsi="Verdana"/>
          <w:sz w:val="20"/>
          <w:szCs w:val="20"/>
        </w:rPr>
        <w:t xml:space="preserve"> </w:t>
      </w:r>
      <w:r w:rsidR="006568B0" w:rsidRPr="001A4AC0">
        <w:rPr>
          <w:rFonts w:ascii="Verdana" w:eastAsia="Times New Roman" w:hAnsi="Verdana"/>
          <w:sz w:val="20"/>
          <w:szCs w:val="20"/>
        </w:rPr>
        <w:t>Parmi les activités du projet, une étude sur l’opportunité pour la mise en place d’une structure régional</w:t>
      </w:r>
      <w:r w:rsidR="001A4AC0" w:rsidRPr="001A4AC0">
        <w:rPr>
          <w:rFonts w:ascii="Verdana" w:eastAsia="Times New Roman" w:hAnsi="Verdana"/>
          <w:sz w:val="20"/>
          <w:szCs w:val="20"/>
        </w:rPr>
        <w:t>e</w:t>
      </w:r>
      <w:r w:rsidR="00A77245" w:rsidRPr="001A4AC0">
        <w:rPr>
          <w:rFonts w:ascii="Verdana" w:eastAsia="Times New Roman" w:hAnsi="Verdana"/>
          <w:sz w:val="20"/>
          <w:szCs w:val="20"/>
        </w:rPr>
        <w:t xml:space="preserve"> pour la R</w:t>
      </w:r>
      <w:r w:rsidR="001A4AC0" w:rsidRPr="001A4AC0">
        <w:rPr>
          <w:rFonts w:ascii="Verdana" w:eastAsia="Times New Roman" w:hAnsi="Verdana"/>
          <w:sz w:val="20"/>
          <w:szCs w:val="20"/>
        </w:rPr>
        <w:t>é</w:t>
      </w:r>
      <w:r w:rsidR="00A77245" w:rsidRPr="001A4AC0">
        <w:rPr>
          <w:rFonts w:ascii="Verdana" w:eastAsia="Times New Roman" w:hAnsi="Verdana"/>
          <w:sz w:val="20"/>
          <w:szCs w:val="20"/>
        </w:rPr>
        <w:t xml:space="preserve">duction des risques des catastrophe. Un groupe de </w:t>
      </w:r>
      <w:r w:rsidR="0007588D" w:rsidRPr="001A4AC0">
        <w:rPr>
          <w:rFonts w:ascii="Verdana" w:eastAsia="Times New Roman" w:hAnsi="Verdana"/>
          <w:sz w:val="20"/>
          <w:szCs w:val="20"/>
        </w:rPr>
        <w:t>travail</w:t>
      </w:r>
      <w:r w:rsidR="001A4AC0" w:rsidRPr="001A4AC0">
        <w:rPr>
          <w:rFonts w:ascii="Verdana" w:eastAsia="Times New Roman" w:hAnsi="Verdana"/>
          <w:sz w:val="20"/>
          <w:szCs w:val="20"/>
        </w:rPr>
        <w:t xml:space="preserve">, capitalisant </w:t>
      </w:r>
      <w:r w:rsidR="0007588D" w:rsidRPr="001A4AC0">
        <w:rPr>
          <w:rFonts w:ascii="Verdana" w:eastAsia="Times New Roman" w:hAnsi="Verdana"/>
          <w:sz w:val="20"/>
          <w:szCs w:val="20"/>
        </w:rPr>
        <w:t>les</w:t>
      </w:r>
      <w:r w:rsidR="00EC1070" w:rsidRPr="001A4AC0">
        <w:rPr>
          <w:rFonts w:ascii="Verdana" w:eastAsia="Times New Roman" w:hAnsi="Verdana"/>
          <w:sz w:val="20"/>
          <w:szCs w:val="20"/>
        </w:rPr>
        <w:t xml:space="preserve"> acquis de la plateforme régionale de protection financière pour la réduction des risques des catastrophe</w:t>
      </w:r>
      <w:r w:rsidR="001A4AC0" w:rsidRPr="001A4AC0">
        <w:rPr>
          <w:rFonts w:ascii="Verdana" w:eastAsia="Times New Roman" w:hAnsi="Verdana"/>
          <w:sz w:val="20"/>
          <w:szCs w:val="20"/>
        </w:rPr>
        <w:t>,</w:t>
      </w:r>
      <w:r w:rsidR="00EC1070" w:rsidRPr="001A4AC0">
        <w:rPr>
          <w:rFonts w:ascii="Verdana" w:eastAsia="Times New Roman" w:hAnsi="Verdana"/>
          <w:sz w:val="20"/>
          <w:szCs w:val="20"/>
        </w:rPr>
        <w:t xml:space="preserve"> </w:t>
      </w:r>
      <w:r w:rsidR="00A77245" w:rsidRPr="001A4AC0">
        <w:rPr>
          <w:rFonts w:ascii="Verdana" w:eastAsia="Times New Roman" w:hAnsi="Verdana"/>
          <w:sz w:val="20"/>
          <w:szCs w:val="20"/>
        </w:rPr>
        <w:t xml:space="preserve">sera mis en place pour appuyer le Secretariat général dans </w:t>
      </w:r>
      <w:r w:rsidR="00C259BB" w:rsidRPr="001A4AC0">
        <w:rPr>
          <w:rFonts w:ascii="Verdana" w:eastAsia="Times New Roman" w:hAnsi="Verdana"/>
          <w:sz w:val="20"/>
          <w:szCs w:val="20"/>
        </w:rPr>
        <w:t>cette démarche.</w:t>
      </w:r>
      <w:r w:rsidR="00A77245" w:rsidRPr="001A4AC0">
        <w:rPr>
          <w:rFonts w:ascii="Verdana" w:eastAsia="Times New Roman" w:hAnsi="Verdana"/>
          <w:sz w:val="20"/>
          <w:szCs w:val="20"/>
        </w:rPr>
        <w:t xml:space="preserve">   </w:t>
      </w:r>
    </w:p>
    <w:p w14:paraId="3D7B8283" w14:textId="77777777" w:rsidR="00943C9D" w:rsidRDefault="00943C9D" w:rsidP="002C56ED">
      <w:pPr>
        <w:pStyle w:val="Paragraphe"/>
      </w:pPr>
    </w:p>
    <w:p w14:paraId="10A56857" w14:textId="77C116AC" w:rsidR="00264C51" w:rsidRDefault="001A4AC0" w:rsidP="002B1E22">
      <w:pPr>
        <w:pStyle w:val="Paragraphe"/>
        <w:ind w:left="360"/>
        <w:rPr>
          <w:shd w:val="clear" w:color="auto" w:fill="FFFFFF"/>
        </w:rPr>
      </w:pPr>
      <w:r>
        <w:t xml:space="preserve">A noter que le Secrétariat général entretient également un dialogue avec les organisations régionales et panafricains ainsi que les institutions nationales pour assurer une cohérence dans les actions, des synergies, des complémentarités et éviter les duplications. </w:t>
      </w:r>
    </w:p>
    <w:p w14:paraId="004F8498" w14:textId="7F3EDBFB" w:rsidR="00955BB3" w:rsidRDefault="00955BB3" w:rsidP="0008468B">
      <w:pPr>
        <w:pStyle w:val="Paragraphedeliste"/>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620F15B8" w:rsidR="0008468B" w:rsidRPr="004F5C4B" w:rsidRDefault="0008468B" w:rsidP="00FE285D">
      <w:pPr>
        <w:pStyle w:val="Paragraphe"/>
      </w:pPr>
      <w:r w:rsidRPr="004F5C4B">
        <w:t>Le Comité des OPL</w:t>
      </w:r>
      <w:r w:rsidR="001A4AC0">
        <w:t> :</w:t>
      </w:r>
    </w:p>
    <w:p w14:paraId="74C98D49" w14:textId="214FCB37" w:rsidR="000965B8" w:rsidRDefault="006568B0" w:rsidP="00FE285D">
      <w:pPr>
        <w:pStyle w:val="Paragraphe"/>
        <w:numPr>
          <w:ilvl w:val="0"/>
          <w:numId w:val="6"/>
        </w:numPr>
      </w:pPr>
      <w:r w:rsidRPr="005F7141">
        <w:t xml:space="preserve">Encourage </w:t>
      </w:r>
      <w:r>
        <w:t xml:space="preserve">le </w:t>
      </w:r>
      <w:r w:rsidR="000965B8">
        <w:t>Secr</w:t>
      </w:r>
      <w:r w:rsidR="001A4AC0">
        <w:t>é</w:t>
      </w:r>
      <w:r w:rsidR="000965B8">
        <w:t xml:space="preserve">tariat général à poursuivre les échanges avec l’ensemble des pays </w:t>
      </w:r>
      <w:r w:rsidR="001A4AC0">
        <w:t xml:space="preserve">sur l’opportunité d’une </w:t>
      </w:r>
      <w:r>
        <w:t xml:space="preserve">Agence </w:t>
      </w:r>
      <w:r w:rsidR="001A4AC0">
        <w:t>r</w:t>
      </w:r>
      <w:r>
        <w:t xml:space="preserve">égionale de la </w:t>
      </w:r>
      <w:r w:rsidR="001A4AC0">
        <w:t>b</w:t>
      </w:r>
      <w:r>
        <w:t xml:space="preserve">iodiversité </w:t>
      </w:r>
    </w:p>
    <w:p w14:paraId="5DCD5663" w14:textId="4F18A26C" w:rsidR="000965B8" w:rsidRDefault="000965B8" w:rsidP="00FE285D">
      <w:pPr>
        <w:pStyle w:val="Paragraphe"/>
        <w:numPr>
          <w:ilvl w:val="0"/>
          <w:numId w:val="6"/>
        </w:numPr>
      </w:pPr>
      <w:r>
        <w:t xml:space="preserve">Demande aux </w:t>
      </w:r>
      <w:r w:rsidR="001A4AC0">
        <w:t>Secrétariat général</w:t>
      </w:r>
      <w:r>
        <w:t xml:space="preserve"> de </w:t>
      </w:r>
      <w:r w:rsidR="006568B0">
        <w:t xml:space="preserve">présenter </w:t>
      </w:r>
      <w:r w:rsidR="001A4AC0">
        <w:t xml:space="preserve">aux prochaines instances </w:t>
      </w:r>
      <w:r w:rsidR="00C259BB">
        <w:t>une note</w:t>
      </w:r>
      <w:r w:rsidR="006568B0">
        <w:t xml:space="preserve"> de cadrage </w:t>
      </w:r>
      <w:r w:rsidR="001A4AC0">
        <w:t>sur l’Agence régionale de la biodiversité</w:t>
      </w:r>
      <w:r w:rsidR="00C259BB">
        <w:t>.</w:t>
      </w:r>
    </w:p>
    <w:p w14:paraId="095E8E64" w14:textId="6DDDAC79" w:rsidR="0007588D" w:rsidRDefault="00855256" w:rsidP="00FE285D">
      <w:pPr>
        <w:pStyle w:val="Paragraphe"/>
        <w:numPr>
          <w:ilvl w:val="0"/>
          <w:numId w:val="6"/>
        </w:numPr>
      </w:pPr>
      <w:r>
        <w:t xml:space="preserve">Donne mandat au Secrétaire général d’entamer les échanges </w:t>
      </w:r>
      <w:r w:rsidR="00584A0D">
        <w:t>avec le</w:t>
      </w:r>
      <w:r>
        <w:t xml:space="preserve"> Secr</w:t>
      </w:r>
      <w:r w:rsidR="001A4AC0">
        <w:t>é</w:t>
      </w:r>
      <w:r>
        <w:t xml:space="preserve">tariat de la Convention de Nairobi </w:t>
      </w:r>
      <w:r w:rsidR="001A4AC0">
        <w:t>et la</w:t>
      </w:r>
      <w:r>
        <w:t xml:space="preserve"> WIOMSA en vue </w:t>
      </w:r>
      <w:r w:rsidR="001A4AC0">
        <w:t>du</w:t>
      </w:r>
      <w:r w:rsidR="00584A0D">
        <w:t xml:space="preserve"> renouvellement de</w:t>
      </w:r>
      <w:r w:rsidR="001A4AC0">
        <w:t>s protocoles d’entente</w:t>
      </w:r>
      <w:r>
        <w:t xml:space="preserve"> </w:t>
      </w:r>
      <w:r w:rsidR="001A4AC0">
        <w:t xml:space="preserve">et demande au Secrétariat de soumettre aux prochaines instances les projets de </w:t>
      </w:r>
      <w:proofErr w:type="spellStart"/>
      <w:r w:rsidR="001A4AC0">
        <w:t>MoU</w:t>
      </w:r>
      <w:proofErr w:type="spellEnd"/>
      <w:r w:rsidR="001A4AC0">
        <w:t xml:space="preserve"> pour approbation avant signature. </w:t>
      </w:r>
    </w:p>
    <w:p w14:paraId="495CA3D7" w14:textId="0C02D87D" w:rsidR="0008468B" w:rsidRDefault="00A74770" w:rsidP="00A84F25">
      <w:pPr>
        <w:pStyle w:val="Paragraphe"/>
        <w:numPr>
          <w:ilvl w:val="0"/>
          <w:numId w:val="6"/>
        </w:numPr>
      </w:pPr>
      <w:r w:rsidRPr="00A74770">
        <w:t>Remercie les partie</w:t>
      </w:r>
      <w:r>
        <w:t>s prenantes du projet H</w:t>
      </w:r>
      <w:r w:rsidR="00584A0D">
        <w:t>YDROMET</w:t>
      </w:r>
      <w:r>
        <w:t xml:space="preserve"> pour leur contribution dans </w:t>
      </w:r>
      <w:r w:rsidR="001A4AC0">
        <w:t xml:space="preserve">la </w:t>
      </w:r>
      <w:bookmarkStart w:id="1" w:name="_GoBack"/>
      <w:bookmarkEnd w:id="1"/>
      <w:r w:rsidR="002B1E22" w:rsidRPr="00CE2DB3">
        <w:t>préparation du</w:t>
      </w:r>
      <w:r w:rsidR="002B1E22">
        <w:t xml:space="preserve"> </w:t>
      </w:r>
      <w:r>
        <w:t xml:space="preserve">démarrage du projet et encourage les instances nationales à </w:t>
      </w:r>
      <w:r w:rsidR="005F7141">
        <w:t>finaliser la signature des accords de projet</w:t>
      </w:r>
      <w:r w:rsidR="00BE5742">
        <w:t xml:space="preserve"> et à émettre les lettres d’engagement dans les plus brefs délais afin d’obtenir la levée des conditions suspensives nécessaire au décaissement des financements. </w:t>
      </w:r>
    </w:p>
    <w:p w14:paraId="6D419BF9" w14:textId="77777777" w:rsidR="00C259BB" w:rsidRPr="005F7141" w:rsidRDefault="00C259BB" w:rsidP="00584A0D">
      <w:pPr>
        <w:pStyle w:val="Paragraphe"/>
        <w:ind w:left="0"/>
      </w:pPr>
    </w:p>
    <w:p w14:paraId="7EAEB404" w14:textId="72ACB4A7" w:rsidR="00955BB3" w:rsidRPr="0008468B" w:rsidRDefault="00955BB3" w:rsidP="00FE285D">
      <w:pPr>
        <w:pStyle w:val="Titrepartie"/>
      </w:pPr>
      <w:r w:rsidRPr="0008468B">
        <w:t>Rappel des décisions antérieures</w:t>
      </w:r>
    </w:p>
    <w:bookmarkEnd w:id="0"/>
    <w:p w14:paraId="74A79CF2" w14:textId="54617AFB" w:rsidR="007119CB" w:rsidRDefault="00200D31" w:rsidP="00584A0D">
      <w:pPr>
        <w:pStyle w:val="Paragraphe"/>
      </w:pPr>
      <w:r w:rsidRPr="00584A0D">
        <w:rPr>
          <w:b/>
          <w:bCs/>
        </w:rPr>
        <w:t>Cf.</w:t>
      </w:r>
      <w:r w:rsidR="007119CB" w:rsidRPr="00584A0D">
        <w:rPr>
          <w:b/>
          <w:bCs/>
        </w:rPr>
        <w:t xml:space="preserve"> Décision 10g</w:t>
      </w:r>
      <w:r w:rsidR="007119CB" w:rsidRPr="007119CB">
        <w:t xml:space="preserve"> du 3</w:t>
      </w:r>
      <w:r w:rsidR="007119CB">
        <w:t>3</w:t>
      </w:r>
      <w:r w:rsidR="007119CB" w:rsidRPr="007119CB">
        <w:t>ème Co</w:t>
      </w:r>
      <w:r w:rsidR="007119CB" w:rsidRPr="00476F27">
        <w:t>nseil</w:t>
      </w:r>
      <w:r w:rsidR="007119CB">
        <w:t xml:space="preserve"> en date du 12 et 13 septembre 2018 </w:t>
      </w:r>
      <w:r>
        <w:t>– « </w:t>
      </w:r>
      <w:r w:rsidR="007119CB" w:rsidRPr="00FC60C9">
        <w:rPr>
          <w:i/>
          <w:iCs/>
        </w:rPr>
        <w:t>Encourage le secrétariat général à réfléchir à l’opportunité de créer une Agence régionale océan indien de de la Biodiversité</w:t>
      </w:r>
      <w:r w:rsidR="007119CB">
        <w:t xml:space="preserve"> </w:t>
      </w:r>
    </w:p>
    <w:p w14:paraId="35F819A3" w14:textId="7A00E5BC" w:rsidR="00200D31" w:rsidRDefault="00584A0D" w:rsidP="00060CA0">
      <w:pPr>
        <w:pStyle w:val="Paragraphe"/>
      </w:pPr>
      <w:r>
        <w:rPr>
          <w:b/>
          <w:bCs/>
        </w:rPr>
        <w:t xml:space="preserve">Cf. </w:t>
      </w:r>
      <w:r w:rsidR="00200D31" w:rsidRPr="00584A0D">
        <w:rPr>
          <w:b/>
          <w:bCs/>
        </w:rPr>
        <w:t>Decision10</w:t>
      </w:r>
      <w:r w:rsidR="00FC60C9" w:rsidRPr="00584A0D">
        <w:rPr>
          <w:b/>
          <w:bCs/>
        </w:rPr>
        <w:t>c.i.</w:t>
      </w:r>
      <w:r w:rsidR="00FC60C9">
        <w:t xml:space="preserve"> – « </w:t>
      </w:r>
      <w:r w:rsidR="00FC60C9" w:rsidRPr="00FC60C9">
        <w:rPr>
          <w:i/>
          <w:iCs/>
        </w:rPr>
        <w:t>mettre en place un groupe de travail régional composante des représentants des Etats Membre de la COI pour poursuite la réflexion sur la mise en place d’Une Agence régionale de la biodiversité</w:t>
      </w:r>
      <w:r w:rsidR="00FC60C9">
        <w:t>. »</w:t>
      </w:r>
    </w:p>
    <w:p w14:paraId="58FD984B" w14:textId="3B776405" w:rsidR="007119CB" w:rsidRPr="00FD4CE3" w:rsidRDefault="00200D31" w:rsidP="00060CA0">
      <w:pPr>
        <w:pStyle w:val="Paragraphe"/>
        <w:rPr>
          <w:i/>
          <w:iCs/>
        </w:rPr>
      </w:pPr>
      <w:r w:rsidRPr="00584A0D">
        <w:rPr>
          <w:b/>
          <w:bCs/>
        </w:rPr>
        <w:t xml:space="preserve">Cf. Décision </w:t>
      </w:r>
      <w:r w:rsidR="00FC60C9" w:rsidRPr="00584A0D">
        <w:rPr>
          <w:b/>
          <w:bCs/>
        </w:rPr>
        <w:t>2c.</w:t>
      </w:r>
      <w:r w:rsidR="00FC60C9">
        <w:t xml:space="preserve"> du session Extraordinaire du </w:t>
      </w:r>
      <w:r w:rsidR="00FD4CE3">
        <w:t>Conseil du</w:t>
      </w:r>
      <w:r w:rsidR="00FC60C9">
        <w:t>26novembre 2021</w:t>
      </w:r>
      <w:r w:rsidR="00FD4CE3">
        <w:t>- «</w:t>
      </w:r>
      <w:r w:rsidR="00FC60C9">
        <w:t> </w:t>
      </w:r>
      <w:r w:rsidR="00FD4CE3" w:rsidRPr="00FD4CE3">
        <w:rPr>
          <w:i/>
          <w:iCs/>
        </w:rPr>
        <w:t xml:space="preserve">Invite le Secrétaire général à tenir la première rencontre du groupe de travail sur la biodiversité dans un meilleurs délais » </w:t>
      </w:r>
    </w:p>
    <w:p w14:paraId="1A08E46E" w14:textId="6C2EA1D4" w:rsidR="0008468B" w:rsidRDefault="00FD4CE3" w:rsidP="00417683">
      <w:r>
        <w:rPr>
          <w:rFonts w:ascii="Verdana" w:hAnsi="Verdana"/>
          <w:b/>
          <w:bCs/>
          <w:i/>
          <w:iCs/>
          <w:sz w:val="20"/>
          <w:szCs w:val="20"/>
        </w:rPr>
        <w:t>Cf. Décision 12</w:t>
      </w:r>
      <w:r w:rsidR="0007588D">
        <w:rPr>
          <w:rFonts w:ascii="Verdana" w:hAnsi="Verdana"/>
          <w:b/>
          <w:bCs/>
          <w:i/>
          <w:iCs/>
          <w:sz w:val="20"/>
          <w:szCs w:val="20"/>
        </w:rPr>
        <w:t>a, b</w:t>
      </w:r>
      <w:r>
        <w:rPr>
          <w:rFonts w:ascii="Verdana" w:hAnsi="Verdana"/>
          <w:b/>
          <w:bCs/>
          <w:i/>
          <w:iCs/>
          <w:sz w:val="20"/>
          <w:szCs w:val="20"/>
        </w:rPr>
        <w:t xml:space="preserve"> et c </w:t>
      </w:r>
      <w:r w:rsidRPr="007119CB">
        <w:t>du 3</w:t>
      </w:r>
      <w:r>
        <w:t>3</w:t>
      </w:r>
      <w:r w:rsidRPr="007119CB">
        <w:t>ème Co</w:t>
      </w:r>
      <w:r w:rsidRPr="00476F27">
        <w:t>nseil</w:t>
      </w:r>
      <w:r>
        <w:t xml:space="preserve"> en date du 12 et 13 septembre 2018</w:t>
      </w:r>
    </w:p>
    <w:p w14:paraId="5403363A" w14:textId="77777777" w:rsidR="001A4AC0" w:rsidRDefault="001A4AC0" w:rsidP="001A4AC0">
      <w:pPr>
        <w:ind w:left="0"/>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7414DBDB" w:rsidR="00C325F5" w:rsidRDefault="00620B90" w:rsidP="00620B90">
      <w:pPr>
        <w:pStyle w:val="Paragraphe"/>
        <w:numPr>
          <w:ilvl w:val="0"/>
          <w:numId w:val="9"/>
        </w:numPr>
      </w:pPr>
      <w:r>
        <w:t xml:space="preserve">Annexe 1 : </w:t>
      </w:r>
      <w:proofErr w:type="spellStart"/>
      <w:r w:rsidR="00DE109A">
        <w:t>TdR</w:t>
      </w:r>
      <w:proofErr w:type="spellEnd"/>
      <w:r w:rsidR="00DE109A">
        <w:t xml:space="preserve"> du groupe de travail sur la biodiversité</w:t>
      </w:r>
    </w:p>
    <w:p w14:paraId="5F434662" w14:textId="77777777" w:rsidR="00DE109A" w:rsidRDefault="00DE109A" w:rsidP="00DE109A">
      <w:pPr>
        <w:pStyle w:val="Paragraphe"/>
        <w:ind w:left="720"/>
      </w:pPr>
    </w:p>
    <w:sectPr w:rsidR="00DE109A" w:rsidSect="00140841">
      <w:headerReference w:type="default" r:id="rId11"/>
      <w:footerReference w:type="default" r:id="rId12"/>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BC54" w14:textId="77777777" w:rsidR="00AC2E78" w:rsidRDefault="00AC2E78">
      <w:pPr>
        <w:spacing w:after="0" w:line="240" w:lineRule="auto"/>
      </w:pPr>
      <w:r>
        <w:separator/>
      </w:r>
    </w:p>
  </w:endnote>
  <w:endnote w:type="continuationSeparator" w:id="0">
    <w:p w14:paraId="2EE9827C" w14:textId="77777777" w:rsidR="00AC2E78" w:rsidRDefault="00AC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7DD4" w14:textId="77777777" w:rsidR="00AC2E78" w:rsidRDefault="00AC2E78">
      <w:pPr>
        <w:spacing w:after="0" w:line="240" w:lineRule="auto"/>
      </w:pPr>
      <w:r>
        <w:separator/>
      </w:r>
    </w:p>
  </w:footnote>
  <w:footnote w:type="continuationSeparator" w:id="0">
    <w:p w14:paraId="4FB0CADF" w14:textId="77777777" w:rsidR="00AC2E78" w:rsidRDefault="00AC2E78">
      <w:pPr>
        <w:spacing w:after="0" w:line="240" w:lineRule="auto"/>
      </w:pPr>
      <w:r>
        <w:continuationSeparator/>
      </w:r>
    </w:p>
  </w:footnote>
  <w:footnote w:id="1">
    <w:p w14:paraId="4BF9540F" w14:textId="77777777" w:rsidR="001A4AC0" w:rsidRDefault="001A4AC0" w:rsidP="001A4AC0">
      <w:pPr>
        <w:pStyle w:val="Notedebasdepage"/>
      </w:pPr>
      <w:r>
        <w:rPr>
          <w:rStyle w:val="Appelnotedebasdep"/>
        </w:rPr>
        <w:footnoteRef/>
      </w:r>
      <w:r>
        <w:t xml:space="preserve"> Bureau de nation Unie pour la réduction des risques de catastrophes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7793" w14:textId="4B022A60" w:rsidR="00AA63A3" w:rsidRDefault="00854EEA" w:rsidP="00584A0D">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584A0D">
      <w:rPr>
        <w:rFonts w:ascii="Verdana" w:hAnsi="Verdana"/>
        <w:b/>
        <w:bCs/>
        <w:sz w:val="20"/>
        <w:szCs w:val="20"/>
      </w:rPr>
      <w:t>3.4</w:t>
    </w:r>
  </w:p>
  <w:p w14:paraId="2D2079C5" w14:textId="77777777" w:rsidR="00140841" w:rsidRDefault="00140841" w:rsidP="0014084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4A6B"/>
    <w:multiLevelType w:val="hybridMultilevel"/>
    <w:tmpl w:val="71100B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DA53AA"/>
    <w:multiLevelType w:val="hybridMultilevel"/>
    <w:tmpl w:val="E13EC19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4D3EC1"/>
    <w:multiLevelType w:val="hybridMultilevel"/>
    <w:tmpl w:val="7DF002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D6993"/>
    <w:multiLevelType w:val="hybridMultilevel"/>
    <w:tmpl w:val="E0B29AEA"/>
    <w:lvl w:ilvl="0" w:tplc="F516DA5C">
      <w:start w:val="1"/>
      <w:numFmt w:val="bullet"/>
      <w:lvlText w:val=""/>
      <w:lvlJc w:val="left"/>
      <w:pPr>
        <w:ind w:left="1287" w:hanging="360"/>
      </w:pPr>
      <w:rPr>
        <w:rFonts w:ascii="Symbol" w:hAnsi="Symbol" w:hint="default"/>
        <w:color w:val="4472C4" w:themeColor="accent1"/>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567D3C"/>
    <w:multiLevelType w:val="multilevel"/>
    <w:tmpl w:val="5DA2A856"/>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40C57952"/>
    <w:multiLevelType w:val="hybridMultilevel"/>
    <w:tmpl w:val="A920CE76"/>
    <w:lvl w:ilvl="0" w:tplc="AAECA656">
      <w:start w:val="1"/>
      <w:numFmt w:val="lowerRoman"/>
      <w:lvlText w:val="%1."/>
      <w:lvlJc w:val="left"/>
      <w:pPr>
        <w:ind w:left="1125" w:hanging="720"/>
      </w:pPr>
      <w:rPr>
        <w:rFonts w:hint="default"/>
      </w:r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abstractNum w:abstractNumId="12" w15:restartNumberingAfterBreak="0">
    <w:nsid w:val="475839EF"/>
    <w:multiLevelType w:val="hybridMultilevel"/>
    <w:tmpl w:val="A7B42F86"/>
    <w:lvl w:ilvl="0" w:tplc="A56CA472">
      <w:start w:val="1"/>
      <w:numFmt w:val="bullet"/>
      <w:pStyle w:val="Sous-sous-partie"/>
      <w:lvlText w:val=""/>
      <w:lvlJc w:val="left"/>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3" w15:restartNumberingAfterBreak="0">
    <w:nsid w:val="4AF13AE1"/>
    <w:multiLevelType w:val="hybridMultilevel"/>
    <w:tmpl w:val="9E62C2C0"/>
    <w:lvl w:ilvl="0" w:tplc="20000001">
      <w:start w:val="1"/>
      <w:numFmt w:val="bullet"/>
      <w:lvlText w:val=""/>
      <w:lvlJc w:val="left"/>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6E7241"/>
    <w:multiLevelType w:val="hybridMultilevel"/>
    <w:tmpl w:val="6436F3EE"/>
    <w:lvl w:ilvl="0" w:tplc="B180F5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B932AF"/>
    <w:multiLevelType w:val="hybridMultilevel"/>
    <w:tmpl w:val="1DDCE09E"/>
    <w:lvl w:ilvl="0" w:tplc="F516DA5C">
      <w:start w:val="1"/>
      <w:numFmt w:val="bullet"/>
      <w:lvlText w:val=""/>
      <w:lvlJc w:val="left"/>
      <w:pPr>
        <w:ind w:left="1080" w:hanging="360"/>
      </w:pPr>
      <w:rPr>
        <w:rFonts w:ascii="Symbol" w:hAnsi="Symbol" w:hint="default"/>
        <w:color w:val="4472C4" w:themeColor="accen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772B10B7"/>
    <w:multiLevelType w:val="hybridMultilevel"/>
    <w:tmpl w:val="C9D6C974"/>
    <w:lvl w:ilvl="0" w:tplc="2000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9" w15:restartNumberingAfterBreak="0">
    <w:nsid w:val="7D7B2D40"/>
    <w:multiLevelType w:val="hybridMultilevel"/>
    <w:tmpl w:val="C4A22A64"/>
    <w:lvl w:ilvl="0" w:tplc="F516DA5C">
      <w:start w:val="1"/>
      <w:numFmt w:val="bullet"/>
      <w:lvlText w:val=""/>
      <w:lvlJc w:val="left"/>
      <w:rPr>
        <w:rFonts w:ascii="Symbol" w:hAnsi="Symbol" w:hint="default"/>
        <w:color w:val="4472C4" w:themeColor="accent1"/>
      </w:rPr>
    </w:lvl>
    <w:lvl w:ilvl="1" w:tplc="20000003">
      <w:start w:val="1"/>
      <w:numFmt w:val="bullet"/>
      <w:lvlText w:val="o"/>
      <w:lvlJc w:val="left"/>
      <w:pPr>
        <w:ind w:left="2565" w:hanging="360"/>
      </w:pPr>
      <w:rPr>
        <w:rFonts w:ascii="Courier New" w:hAnsi="Courier New" w:cs="Courier New" w:hint="default"/>
      </w:rPr>
    </w:lvl>
    <w:lvl w:ilvl="2" w:tplc="20000005" w:tentative="1">
      <w:start w:val="1"/>
      <w:numFmt w:val="bullet"/>
      <w:lvlText w:val=""/>
      <w:lvlJc w:val="left"/>
      <w:pPr>
        <w:ind w:left="3285" w:hanging="360"/>
      </w:pPr>
      <w:rPr>
        <w:rFonts w:ascii="Wingdings" w:hAnsi="Wingdings" w:hint="default"/>
      </w:rPr>
    </w:lvl>
    <w:lvl w:ilvl="3" w:tplc="20000001" w:tentative="1">
      <w:start w:val="1"/>
      <w:numFmt w:val="bullet"/>
      <w:lvlText w:val=""/>
      <w:lvlJc w:val="left"/>
      <w:pPr>
        <w:ind w:left="4005" w:hanging="360"/>
      </w:pPr>
      <w:rPr>
        <w:rFonts w:ascii="Symbol" w:hAnsi="Symbol" w:hint="default"/>
      </w:rPr>
    </w:lvl>
    <w:lvl w:ilvl="4" w:tplc="20000003" w:tentative="1">
      <w:start w:val="1"/>
      <w:numFmt w:val="bullet"/>
      <w:lvlText w:val="o"/>
      <w:lvlJc w:val="left"/>
      <w:pPr>
        <w:ind w:left="4725" w:hanging="360"/>
      </w:pPr>
      <w:rPr>
        <w:rFonts w:ascii="Courier New" w:hAnsi="Courier New" w:cs="Courier New" w:hint="default"/>
      </w:rPr>
    </w:lvl>
    <w:lvl w:ilvl="5" w:tplc="20000005" w:tentative="1">
      <w:start w:val="1"/>
      <w:numFmt w:val="bullet"/>
      <w:lvlText w:val=""/>
      <w:lvlJc w:val="left"/>
      <w:pPr>
        <w:ind w:left="5445" w:hanging="360"/>
      </w:pPr>
      <w:rPr>
        <w:rFonts w:ascii="Wingdings" w:hAnsi="Wingdings" w:hint="default"/>
      </w:rPr>
    </w:lvl>
    <w:lvl w:ilvl="6" w:tplc="20000001" w:tentative="1">
      <w:start w:val="1"/>
      <w:numFmt w:val="bullet"/>
      <w:lvlText w:val=""/>
      <w:lvlJc w:val="left"/>
      <w:pPr>
        <w:ind w:left="6165" w:hanging="360"/>
      </w:pPr>
      <w:rPr>
        <w:rFonts w:ascii="Symbol" w:hAnsi="Symbol" w:hint="default"/>
      </w:rPr>
    </w:lvl>
    <w:lvl w:ilvl="7" w:tplc="20000003" w:tentative="1">
      <w:start w:val="1"/>
      <w:numFmt w:val="bullet"/>
      <w:lvlText w:val="o"/>
      <w:lvlJc w:val="left"/>
      <w:pPr>
        <w:ind w:left="6885" w:hanging="360"/>
      </w:pPr>
      <w:rPr>
        <w:rFonts w:ascii="Courier New" w:hAnsi="Courier New" w:cs="Courier New" w:hint="default"/>
      </w:rPr>
    </w:lvl>
    <w:lvl w:ilvl="8" w:tplc="20000005" w:tentative="1">
      <w:start w:val="1"/>
      <w:numFmt w:val="bullet"/>
      <w:lvlText w:val=""/>
      <w:lvlJc w:val="left"/>
      <w:pPr>
        <w:ind w:left="7605" w:hanging="360"/>
      </w:pPr>
      <w:rPr>
        <w:rFonts w:ascii="Wingdings" w:hAnsi="Wingdings" w:hint="default"/>
      </w:rPr>
    </w:lvl>
  </w:abstractNum>
  <w:num w:numId="1">
    <w:abstractNumId w:val="7"/>
  </w:num>
  <w:num w:numId="2">
    <w:abstractNumId w:val="15"/>
  </w:num>
  <w:num w:numId="3">
    <w:abstractNumId w:val="4"/>
  </w:num>
  <w:num w:numId="4">
    <w:abstractNumId w:val="2"/>
  </w:num>
  <w:num w:numId="5">
    <w:abstractNumId w:val="14"/>
  </w:num>
  <w:num w:numId="6">
    <w:abstractNumId w:val="6"/>
  </w:num>
  <w:num w:numId="7">
    <w:abstractNumId w:val="9"/>
  </w:num>
  <w:num w:numId="8">
    <w:abstractNumId w:val="4"/>
    <w:lvlOverride w:ilvl="0">
      <w:startOverride w:val="1"/>
    </w:lvlOverride>
  </w:num>
  <w:num w:numId="9">
    <w:abstractNumId w:val="3"/>
  </w:num>
  <w:num w:numId="10">
    <w:abstractNumId w:val="13"/>
  </w:num>
  <w:num w:numId="11">
    <w:abstractNumId w:val="18"/>
  </w:num>
  <w:num w:numId="12">
    <w:abstractNumId w:val="1"/>
  </w:num>
  <w:num w:numId="13">
    <w:abstractNumId w:val="10"/>
  </w:num>
  <w:num w:numId="14">
    <w:abstractNumId w:val="0"/>
  </w:num>
  <w:num w:numId="15">
    <w:abstractNumId w:val="16"/>
  </w:num>
  <w:num w:numId="16">
    <w:abstractNumId w:val="12"/>
  </w:num>
  <w:num w:numId="17">
    <w:abstractNumId w:val="11"/>
  </w:num>
  <w:num w:numId="18">
    <w:abstractNumId w:val="19"/>
  </w:num>
  <w:num w:numId="19">
    <w:abstractNumId w:val="17"/>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1D5D"/>
    <w:rsid w:val="00012764"/>
    <w:rsid w:val="000373B2"/>
    <w:rsid w:val="00042CF5"/>
    <w:rsid w:val="00060CA0"/>
    <w:rsid w:val="00063A26"/>
    <w:rsid w:val="0007588D"/>
    <w:rsid w:val="0008291B"/>
    <w:rsid w:val="0008468B"/>
    <w:rsid w:val="000965B8"/>
    <w:rsid w:val="000A468A"/>
    <w:rsid w:val="000A7519"/>
    <w:rsid w:val="000B0FBD"/>
    <w:rsid w:val="000B18C2"/>
    <w:rsid w:val="000C7EDC"/>
    <w:rsid w:val="000F4728"/>
    <w:rsid w:val="00107D9D"/>
    <w:rsid w:val="00121F9B"/>
    <w:rsid w:val="00140841"/>
    <w:rsid w:val="00172CBA"/>
    <w:rsid w:val="0018252D"/>
    <w:rsid w:val="001A4AC0"/>
    <w:rsid w:val="001A56F1"/>
    <w:rsid w:val="001B3390"/>
    <w:rsid w:val="001B4738"/>
    <w:rsid w:val="001C6838"/>
    <w:rsid w:val="001F06A6"/>
    <w:rsid w:val="001F7440"/>
    <w:rsid w:val="00200D31"/>
    <w:rsid w:val="0020128E"/>
    <w:rsid w:val="0021326E"/>
    <w:rsid w:val="00213423"/>
    <w:rsid w:val="00256400"/>
    <w:rsid w:val="002621D3"/>
    <w:rsid w:val="00264C51"/>
    <w:rsid w:val="002936D5"/>
    <w:rsid w:val="002A0933"/>
    <w:rsid w:val="002A096E"/>
    <w:rsid w:val="002A71DC"/>
    <w:rsid w:val="002B1E22"/>
    <w:rsid w:val="002B56F2"/>
    <w:rsid w:val="002C56ED"/>
    <w:rsid w:val="00317F29"/>
    <w:rsid w:val="0035308B"/>
    <w:rsid w:val="00354A2C"/>
    <w:rsid w:val="003604B9"/>
    <w:rsid w:val="003772FB"/>
    <w:rsid w:val="00381E8F"/>
    <w:rsid w:val="00391152"/>
    <w:rsid w:val="003939B3"/>
    <w:rsid w:val="003B5C1D"/>
    <w:rsid w:val="003C2538"/>
    <w:rsid w:val="003D485F"/>
    <w:rsid w:val="003D5328"/>
    <w:rsid w:val="003F4158"/>
    <w:rsid w:val="0041278C"/>
    <w:rsid w:val="00417683"/>
    <w:rsid w:val="00426673"/>
    <w:rsid w:val="00431B2B"/>
    <w:rsid w:val="00437604"/>
    <w:rsid w:val="004607F7"/>
    <w:rsid w:val="00476F27"/>
    <w:rsid w:val="00492E12"/>
    <w:rsid w:val="004B4919"/>
    <w:rsid w:val="004F5C4B"/>
    <w:rsid w:val="00523EF5"/>
    <w:rsid w:val="0052659A"/>
    <w:rsid w:val="0053773D"/>
    <w:rsid w:val="005479CD"/>
    <w:rsid w:val="00550BA1"/>
    <w:rsid w:val="00554318"/>
    <w:rsid w:val="00557921"/>
    <w:rsid w:val="00575CE6"/>
    <w:rsid w:val="00584A0D"/>
    <w:rsid w:val="005C5EED"/>
    <w:rsid w:val="005F1AAF"/>
    <w:rsid w:val="005F7141"/>
    <w:rsid w:val="0060712B"/>
    <w:rsid w:val="00607191"/>
    <w:rsid w:val="00620B90"/>
    <w:rsid w:val="006356AF"/>
    <w:rsid w:val="006548BF"/>
    <w:rsid w:val="006568B0"/>
    <w:rsid w:val="00660504"/>
    <w:rsid w:val="0068422E"/>
    <w:rsid w:val="00690736"/>
    <w:rsid w:val="006B172B"/>
    <w:rsid w:val="006E2D9E"/>
    <w:rsid w:val="007044D6"/>
    <w:rsid w:val="007119CB"/>
    <w:rsid w:val="00752AB2"/>
    <w:rsid w:val="007911E3"/>
    <w:rsid w:val="007A50A5"/>
    <w:rsid w:val="007B245C"/>
    <w:rsid w:val="007B6CE6"/>
    <w:rsid w:val="007C78FC"/>
    <w:rsid w:val="007E5CBF"/>
    <w:rsid w:val="007F6397"/>
    <w:rsid w:val="00801E89"/>
    <w:rsid w:val="0080345A"/>
    <w:rsid w:val="00813359"/>
    <w:rsid w:val="008140C2"/>
    <w:rsid w:val="00816DAC"/>
    <w:rsid w:val="0083290E"/>
    <w:rsid w:val="00837E2F"/>
    <w:rsid w:val="00843FF2"/>
    <w:rsid w:val="008453AB"/>
    <w:rsid w:val="00854EEA"/>
    <w:rsid w:val="008551DA"/>
    <w:rsid w:val="00855256"/>
    <w:rsid w:val="00882A0F"/>
    <w:rsid w:val="008A598D"/>
    <w:rsid w:val="008C69E2"/>
    <w:rsid w:val="008D193F"/>
    <w:rsid w:val="008D5AE4"/>
    <w:rsid w:val="008F173C"/>
    <w:rsid w:val="00901F8B"/>
    <w:rsid w:val="00901F97"/>
    <w:rsid w:val="00902B9E"/>
    <w:rsid w:val="00943C9D"/>
    <w:rsid w:val="00955464"/>
    <w:rsid w:val="00955BB3"/>
    <w:rsid w:val="00960E1D"/>
    <w:rsid w:val="009875E0"/>
    <w:rsid w:val="009A38AD"/>
    <w:rsid w:val="009B09C2"/>
    <w:rsid w:val="009C0AAD"/>
    <w:rsid w:val="009D4F63"/>
    <w:rsid w:val="009E69C8"/>
    <w:rsid w:val="00A148A1"/>
    <w:rsid w:val="00A36C09"/>
    <w:rsid w:val="00A374E7"/>
    <w:rsid w:val="00A37C9F"/>
    <w:rsid w:val="00A5631D"/>
    <w:rsid w:val="00A70123"/>
    <w:rsid w:val="00A74770"/>
    <w:rsid w:val="00A76B07"/>
    <w:rsid w:val="00A77245"/>
    <w:rsid w:val="00A81B98"/>
    <w:rsid w:val="00A86AC1"/>
    <w:rsid w:val="00A90305"/>
    <w:rsid w:val="00A924B5"/>
    <w:rsid w:val="00AA63A3"/>
    <w:rsid w:val="00AA7D9E"/>
    <w:rsid w:val="00AB5EB7"/>
    <w:rsid w:val="00AC2E78"/>
    <w:rsid w:val="00AD4D97"/>
    <w:rsid w:val="00AE2453"/>
    <w:rsid w:val="00B05DFC"/>
    <w:rsid w:val="00B36EEA"/>
    <w:rsid w:val="00B4534C"/>
    <w:rsid w:val="00B52EAD"/>
    <w:rsid w:val="00B540B5"/>
    <w:rsid w:val="00B62278"/>
    <w:rsid w:val="00B85753"/>
    <w:rsid w:val="00BA2F73"/>
    <w:rsid w:val="00BA4B55"/>
    <w:rsid w:val="00BE5742"/>
    <w:rsid w:val="00C12728"/>
    <w:rsid w:val="00C12C93"/>
    <w:rsid w:val="00C259BB"/>
    <w:rsid w:val="00C325F5"/>
    <w:rsid w:val="00C40C4F"/>
    <w:rsid w:val="00C457E8"/>
    <w:rsid w:val="00C47F12"/>
    <w:rsid w:val="00C541D8"/>
    <w:rsid w:val="00C609B9"/>
    <w:rsid w:val="00CE2386"/>
    <w:rsid w:val="00CE2DB3"/>
    <w:rsid w:val="00D574B6"/>
    <w:rsid w:val="00D60CF7"/>
    <w:rsid w:val="00DA4E16"/>
    <w:rsid w:val="00DB7620"/>
    <w:rsid w:val="00DE109A"/>
    <w:rsid w:val="00DE5CF5"/>
    <w:rsid w:val="00DF0739"/>
    <w:rsid w:val="00DF3CC2"/>
    <w:rsid w:val="00E17417"/>
    <w:rsid w:val="00E26D79"/>
    <w:rsid w:val="00E32408"/>
    <w:rsid w:val="00E61522"/>
    <w:rsid w:val="00E845D4"/>
    <w:rsid w:val="00EC1070"/>
    <w:rsid w:val="00EC22CC"/>
    <w:rsid w:val="00ED6B69"/>
    <w:rsid w:val="00EE34F4"/>
    <w:rsid w:val="00EE5237"/>
    <w:rsid w:val="00EF22A4"/>
    <w:rsid w:val="00F143FD"/>
    <w:rsid w:val="00F20FDE"/>
    <w:rsid w:val="00F302F5"/>
    <w:rsid w:val="00F4612D"/>
    <w:rsid w:val="00F54195"/>
    <w:rsid w:val="00F54EA0"/>
    <w:rsid w:val="00F57BC2"/>
    <w:rsid w:val="00F60483"/>
    <w:rsid w:val="00F81C6A"/>
    <w:rsid w:val="00F83521"/>
    <w:rsid w:val="00F92D0A"/>
    <w:rsid w:val="00F96EE9"/>
    <w:rsid w:val="00FA795B"/>
    <w:rsid w:val="00FC374A"/>
    <w:rsid w:val="00FC60C9"/>
    <w:rsid w:val="00FC64C5"/>
    <w:rsid w:val="00FD4CE3"/>
    <w:rsid w:val="00FE285D"/>
    <w:rsid w:val="00FE3B0A"/>
    <w:rsid w:val="00FE4855"/>
    <w:rsid w:val="00FF3254"/>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18"/>
    <w:pPr>
      <w:ind w:left="56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9D4F63"/>
    <w:pPr>
      <w:jc w:val="both"/>
    </w:pPr>
    <w:rPr>
      <w:rFonts w:ascii="Verdana" w:hAnsi="Verdana" w:cs="Calibri"/>
      <w:color w:val="000000" w:themeColor="text1"/>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9D4F63"/>
    <w:rPr>
      <w:rFonts w:ascii="Verdana" w:hAnsi="Verdana" w:cs="Calibri"/>
      <w:color w:val="000000" w:themeColor="text1"/>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557921"/>
    <w:pPr>
      <w:spacing w:after="0" w:line="240" w:lineRule="auto"/>
    </w:pPr>
  </w:style>
  <w:style w:type="paragraph" w:styleId="Notedebasdepage">
    <w:name w:val="footnote text"/>
    <w:basedOn w:val="Normal"/>
    <w:link w:val="NotedebasdepageCar"/>
    <w:uiPriority w:val="99"/>
    <w:semiHidden/>
    <w:unhideWhenUsed/>
    <w:rsid w:val="0043760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7604"/>
    <w:rPr>
      <w:sz w:val="20"/>
      <w:szCs w:val="20"/>
    </w:rPr>
  </w:style>
  <w:style w:type="character" w:styleId="Appelnotedebasdep">
    <w:name w:val="footnote reference"/>
    <w:basedOn w:val="Policepardfaut"/>
    <w:uiPriority w:val="99"/>
    <w:semiHidden/>
    <w:unhideWhenUsed/>
    <w:rsid w:val="00437604"/>
    <w:rPr>
      <w:vertAlign w:val="superscript"/>
    </w:rPr>
  </w:style>
  <w:style w:type="paragraph" w:customStyle="1" w:styleId="Sous-sous-partie">
    <w:name w:val="Sous-sous-partie"/>
    <w:basedOn w:val="Sous-partie2"/>
    <w:link w:val="Sous-sous-partieCar"/>
    <w:qFormat/>
    <w:rsid w:val="009D4F63"/>
    <w:pPr>
      <w:numPr>
        <w:ilvl w:val="0"/>
        <w:numId w:val="16"/>
      </w:numPr>
      <w:ind w:left="0" w:firstLine="75"/>
    </w:pPr>
    <w:rPr>
      <w:bCs/>
      <w:color w:val="7F7F7F" w:themeColor="text1" w:themeTint="80"/>
    </w:rPr>
  </w:style>
  <w:style w:type="character" w:customStyle="1" w:styleId="Sous-sous-partieCar">
    <w:name w:val="Sous-sous-partie Car"/>
    <w:basedOn w:val="Sous-partie2Car"/>
    <w:link w:val="Sous-sous-partie"/>
    <w:rsid w:val="009D4F63"/>
    <w:rPr>
      <w:rFonts w:ascii="Verdana" w:hAnsi="Verdana" w:cs="Calibri"/>
      <w:bCs/>
      <w:color w:val="7F7F7F" w:themeColor="text1" w:themeTint="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9944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9C91FE2406B4480F2F601AAD05C64" ma:contentTypeVersion="14" ma:contentTypeDescription="Create a new document." ma:contentTypeScope="" ma:versionID="29f8567f4649d644b23d6e14629aa189">
  <xsd:schema xmlns:xsd="http://www.w3.org/2001/XMLSchema" xmlns:xs="http://www.w3.org/2001/XMLSchema" xmlns:p="http://schemas.microsoft.com/office/2006/metadata/properties" xmlns:ns3="e70ae5fa-c2d2-4a8b-af53-8d7cb237ad15" xmlns:ns4="c8044956-6361-4560-8a6e-d4b0bc079137" targetNamespace="http://schemas.microsoft.com/office/2006/metadata/properties" ma:root="true" ma:fieldsID="4fe6daa935a08f1239b31395503c7014" ns3:_="" ns4:_="">
    <xsd:import namespace="e70ae5fa-c2d2-4a8b-af53-8d7cb237ad15"/>
    <xsd:import namespace="c8044956-6361-4560-8a6e-d4b0bc079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e5fa-c2d2-4a8b-af53-8d7cb237ad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44956-6361-4560-8a6e-d4b0bc0791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54C1-AEE2-4AA7-90FE-65FA45706546}">
  <ds:schemaRefs>
    <ds:schemaRef ds:uri="http://schemas.microsoft.com/sharepoint/v3/contenttype/forms"/>
  </ds:schemaRefs>
</ds:datastoreItem>
</file>

<file path=customXml/itemProps2.xml><?xml version="1.0" encoding="utf-8"?>
<ds:datastoreItem xmlns:ds="http://schemas.openxmlformats.org/officeDocument/2006/customXml" ds:itemID="{B1A4788E-344D-4FAB-8A46-E5C861B120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659042-5F12-451F-BB91-FB93525E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e5fa-c2d2-4a8b-af53-8d7cb237ad15"/>
    <ds:schemaRef ds:uri="c8044956-6361-4560-8a6e-d4b0bc07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519E1-51DD-4275-AFB5-E0F9338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2179</Words>
  <Characters>11987</Characters>
  <Application>Microsoft Office Word</Application>
  <DocSecurity>4</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Bonne</dc:creator>
  <cp:keywords/>
  <dc:description/>
  <cp:lastModifiedBy>Gilles RIBOUET</cp:lastModifiedBy>
  <cp:revision>2</cp:revision>
  <dcterms:created xsi:type="dcterms:W3CDTF">2022-02-05T10:41:00Z</dcterms:created>
  <dcterms:modified xsi:type="dcterms:W3CDTF">2022-02-05T10:41:00Z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0x010100D9C9C91FE2406B4480F2F601AAD05C64</vt:lpwstr>
  </property>
</Properties>
</file>