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C5CE9CC" w:rsidR="00EC22CC" w:rsidRDefault="002F61F7" w:rsidP="00854EEA">
            <w:pPr>
              <w:jc w:val="center"/>
              <w:rPr>
                <w:rFonts w:ascii="Verdana" w:hAnsi="Verdana"/>
                <w:b/>
                <w:bCs/>
                <w:sz w:val="20"/>
                <w:szCs w:val="20"/>
              </w:rPr>
            </w:pPr>
            <w:r>
              <w:rPr>
                <w:rFonts w:ascii="Verdana" w:hAnsi="Verdana"/>
                <w:b/>
                <w:bCs/>
              </w:rPr>
              <w:t>Economie bleue – PAREB, économie circulaire, connectivité maritime</w:t>
            </w:r>
          </w:p>
        </w:tc>
      </w:tr>
      <w:tr w:rsidR="00EC22CC" w14:paraId="7F1B63D2" w14:textId="77777777" w:rsidTr="002A0933">
        <w:tc>
          <w:tcPr>
            <w:tcW w:w="7225" w:type="dxa"/>
          </w:tcPr>
          <w:p w14:paraId="056D9B10" w14:textId="0B8E9E94" w:rsidR="00EC22CC" w:rsidRPr="002A096E" w:rsidRDefault="00D7433D" w:rsidP="002A096E">
            <w:pPr>
              <w:rPr>
                <w:rFonts w:ascii="Verdana" w:hAnsi="Verdana"/>
                <w:sz w:val="20"/>
                <w:szCs w:val="20"/>
              </w:rPr>
            </w:pPr>
            <w:r>
              <w:rPr>
                <w:rFonts w:ascii="Verdana" w:hAnsi="Verdana"/>
                <w:sz w:val="20"/>
                <w:szCs w:val="20"/>
              </w:rPr>
              <w:t>Comité des OPL préparatoire au 36</w:t>
            </w:r>
            <w:r w:rsidRPr="00D7433D">
              <w:rPr>
                <w:rFonts w:ascii="Verdana" w:hAnsi="Verdana"/>
                <w:sz w:val="20"/>
                <w:szCs w:val="20"/>
                <w:vertAlign w:val="superscript"/>
              </w:rPr>
              <w:t>e</w:t>
            </w:r>
            <w:r>
              <w:rPr>
                <w:rFonts w:ascii="Verdana" w:hAnsi="Verdana"/>
                <w:sz w:val="20"/>
                <w:szCs w:val="20"/>
              </w:rPr>
              <w:t xml:space="preserve"> Conseil des ministres | 8-9 février 2022</w:t>
            </w:r>
          </w:p>
        </w:tc>
        <w:tc>
          <w:tcPr>
            <w:tcW w:w="1837" w:type="dxa"/>
          </w:tcPr>
          <w:p w14:paraId="58E25D1F" w14:textId="7451F13A"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D7433D">
              <w:rPr>
                <w:rFonts w:ascii="Verdana" w:hAnsi="Verdana"/>
                <w:sz w:val="20"/>
                <w:szCs w:val="20"/>
              </w:rPr>
              <w:t>3.2.</w:t>
            </w:r>
          </w:p>
        </w:tc>
      </w:tr>
      <w:tr w:rsidR="00EC22CC" w14:paraId="537D1DE5" w14:textId="77777777" w:rsidTr="002A0933">
        <w:tc>
          <w:tcPr>
            <w:tcW w:w="7225" w:type="dxa"/>
          </w:tcPr>
          <w:p w14:paraId="43DEF09E" w14:textId="492F938E"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7433D">
              <w:rPr>
                <w:rFonts w:ascii="Verdana" w:hAnsi="Verdana"/>
                <w:sz w:val="20"/>
                <w:szCs w:val="20"/>
              </w:rPr>
              <w:t xml:space="preserve">Raj </w:t>
            </w:r>
            <w:proofErr w:type="spellStart"/>
            <w:r w:rsidR="00D7433D">
              <w:rPr>
                <w:rFonts w:ascii="Verdana" w:hAnsi="Verdana"/>
                <w:sz w:val="20"/>
                <w:szCs w:val="20"/>
              </w:rPr>
              <w:t>Mohabeer</w:t>
            </w:r>
            <w:proofErr w:type="spellEnd"/>
            <w:r w:rsidR="00D7433D">
              <w:rPr>
                <w:rFonts w:ascii="Verdana" w:hAnsi="Verdana"/>
                <w:sz w:val="20"/>
                <w:szCs w:val="20"/>
              </w:rPr>
              <w:t>, chargé de mission</w:t>
            </w:r>
          </w:p>
        </w:tc>
        <w:tc>
          <w:tcPr>
            <w:tcW w:w="1837" w:type="dxa"/>
          </w:tcPr>
          <w:p w14:paraId="5AC1AFAB" w14:textId="402F1612" w:rsidR="00EC22CC" w:rsidRPr="002A0933" w:rsidRDefault="00FE2666" w:rsidP="00FE2666">
            <w:pPr>
              <w:rPr>
                <w:rFonts w:ascii="Verdana" w:hAnsi="Verdana"/>
                <w:sz w:val="20"/>
                <w:szCs w:val="20"/>
              </w:rPr>
            </w:pPr>
            <w:r>
              <w:rPr>
                <w:rFonts w:ascii="Verdana" w:hAnsi="Verdana"/>
                <w:sz w:val="20"/>
                <w:szCs w:val="20"/>
              </w:rPr>
              <w:t>Information</w:t>
            </w:r>
          </w:p>
        </w:tc>
      </w:tr>
      <w:tr w:rsidR="00A90305" w14:paraId="6896DB30" w14:textId="77777777" w:rsidTr="009F5233">
        <w:tc>
          <w:tcPr>
            <w:tcW w:w="9062" w:type="dxa"/>
            <w:gridSpan w:val="2"/>
          </w:tcPr>
          <w:p w14:paraId="0495241B" w14:textId="305B5352" w:rsidR="00A90305" w:rsidRDefault="00A90305" w:rsidP="00A90305">
            <w:pPr>
              <w:rPr>
                <w:rFonts w:ascii="Verdana" w:hAnsi="Verdana"/>
                <w:sz w:val="20"/>
                <w:szCs w:val="20"/>
              </w:rPr>
            </w:pPr>
            <w:r>
              <w:rPr>
                <w:rFonts w:ascii="Verdana" w:hAnsi="Verdana"/>
                <w:i/>
                <w:iCs/>
                <w:sz w:val="20"/>
                <w:szCs w:val="20"/>
              </w:rPr>
              <w:t xml:space="preserve">Version du </w:t>
            </w:r>
            <w:r w:rsidR="003D5DE2">
              <w:rPr>
                <w:rFonts w:ascii="Verdana" w:hAnsi="Verdana"/>
                <w:i/>
                <w:iCs/>
                <w:sz w:val="20"/>
                <w:szCs w:val="20"/>
              </w:rPr>
              <w:t>01/02/22</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0A3E5F1" w14:textId="6CF8B399" w:rsidR="003E4AC8" w:rsidRDefault="003E4AC8" w:rsidP="003E4AC8">
      <w:pPr>
        <w:pStyle w:val="Paragraphe"/>
      </w:pPr>
      <w:r w:rsidRPr="00CA0DF4">
        <w:t xml:space="preserve">Le </w:t>
      </w:r>
      <w:r w:rsidR="00AE2DB9">
        <w:t>35</w:t>
      </w:r>
      <w:r w:rsidR="00AE2DB9" w:rsidRPr="00AE2DB9">
        <w:rPr>
          <w:vertAlign w:val="superscript"/>
        </w:rPr>
        <w:t>e</w:t>
      </w:r>
      <w:r w:rsidR="00AE2DB9">
        <w:t xml:space="preserve"> </w:t>
      </w:r>
      <w:r w:rsidRPr="00CA0DF4">
        <w:t>Conseil de la COI a adopté</w:t>
      </w:r>
      <w:r w:rsidR="00AE2DB9">
        <w:t xml:space="preserve"> </w:t>
      </w:r>
      <w:r w:rsidRPr="00CA0DF4">
        <w:t xml:space="preserve">un Plan d’action régional de l’économie bleue (PAREB) et a fait un appel aux partenaires au développement pour un soutien à la mise en œuvre effective du PAREB, notamment dans le cadre de la programmation 2021-2027. </w:t>
      </w:r>
      <w:r w:rsidR="002750E9">
        <w:t xml:space="preserve">Le Secrétariat général a initié des consultations à cette fin. </w:t>
      </w:r>
    </w:p>
    <w:p w14:paraId="1C0EE3A1" w14:textId="4B895A60" w:rsidR="002750E9" w:rsidRPr="00CA0DF4" w:rsidRDefault="002750E9" w:rsidP="003E4AC8">
      <w:pPr>
        <w:pStyle w:val="Paragraphe"/>
      </w:pPr>
      <w:r>
        <w:t>En parallèle, le Secrétariat général a conduit d’autres activités dans le domaine de l’économie bleue</w:t>
      </w:r>
      <w:r w:rsidR="00871BA0">
        <w:t xml:space="preserve">, notamment avec le Japon à travers le projet de renforcement de la connectivité maritime ; la Banque mondiale à travers la composante AIODIS du projet SWIOFISH2 ; ou encore l’OIT sur les métiers de la mer. </w:t>
      </w:r>
    </w:p>
    <w:p w14:paraId="68009DDB" w14:textId="06AAE9C2" w:rsidR="0008468B" w:rsidRPr="0008468B" w:rsidRDefault="00955BB3" w:rsidP="00A70123">
      <w:pPr>
        <w:pStyle w:val="Titrepartie"/>
      </w:pPr>
      <w:r w:rsidRPr="0008468B">
        <w:t>Etat d’avancement</w:t>
      </w:r>
    </w:p>
    <w:p w14:paraId="48AB0783" w14:textId="58A03555" w:rsidR="00426673" w:rsidRPr="00426673" w:rsidRDefault="00F75EC5" w:rsidP="002C56ED">
      <w:pPr>
        <w:pStyle w:val="Sous-partie2"/>
      </w:pPr>
      <w:r>
        <w:t>Mise en œuvre du PAREB</w:t>
      </w:r>
    </w:p>
    <w:p w14:paraId="77E3D8C0" w14:textId="77777777" w:rsidR="00A25008" w:rsidRPr="00CA0DF4" w:rsidRDefault="00A25008" w:rsidP="00A25008">
      <w:pPr>
        <w:jc w:val="both"/>
        <w:rPr>
          <w:rFonts w:ascii="Verdana" w:hAnsi="Verdana"/>
          <w:sz w:val="20"/>
          <w:szCs w:val="20"/>
        </w:rPr>
      </w:pPr>
      <w:r w:rsidRPr="00CA0DF4">
        <w:rPr>
          <w:rFonts w:ascii="Verdana" w:hAnsi="Verdana" w:cs="Segoe UI"/>
          <w:spacing w:val="6"/>
          <w:sz w:val="20"/>
          <w:szCs w:val="20"/>
        </w:rPr>
        <w:t>En attendant la formulation d’un vaste programme d’actions régionales prioritaires découlant du PAREB et la mobilisation du financement pour soutenir le développement de l’économie bleue, le secrétariat général a initié plusieurs actions de promotion de l’économie circulaire dans le cadre de la composante AIODIS du projet SWIOFISH2 pour l’émergence de nouveaux modèles de développement économique durable.</w:t>
      </w:r>
      <w:r w:rsidRPr="00CA0DF4">
        <w:rPr>
          <w:rFonts w:ascii="Verdana" w:hAnsi="Verdana" w:cs="Segoe UI"/>
          <w:b/>
          <w:bCs/>
          <w:spacing w:val="6"/>
          <w:sz w:val="20"/>
          <w:szCs w:val="20"/>
        </w:rPr>
        <w:t xml:space="preserve"> </w:t>
      </w:r>
      <w:r w:rsidRPr="00CA0DF4">
        <w:rPr>
          <w:rFonts w:ascii="Verdana" w:eastAsia="Times New Roman" w:hAnsi="Verdana" w:cstheme="minorHAnsi"/>
          <w:color w:val="000000"/>
          <w:sz w:val="20"/>
          <w:szCs w:val="20"/>
          <w:lang w:eastAsia="fr-FR"/>
        </w:rPr>
        <w:t>C’est ainsi que t</w:t>
      </w:r>
      <w:r w:rsidRPr="00CA0DF4">
        <w:rPr>
          <w:rFonts w:ascii="Verdana" w:hAnsi="Verdana"/>
          <w:sz w:val="20"/>
          <w:szCs w:val="20"/>
        </w:rPr>
        <w:t>rois études majeures sur l'économie circulaire ont été réalisées et les recommandations validées en juin 2021. Plus de 270 personnes d’une quinzaine de pays y compris les neuf pays AIODIS et des partenaires clés, dont la Banque mondiale, l'UE et l'AFD, ont participé à l’atelier de validation virtuelle. Les études ont couvert les sujets suivants :</w:t>
      </w:r>
    </w:p>
    <w:p w14:paraId="7AFF3ED9" w14:textId="77777777" w:rsidR="00A25008" w:rsidRPr="0037427D" w:rsidRDefault="00A25008" w:rsidP="00A25008">
      <w:pPr>
        <w:pStyle w:val="Paragraphedeliste"/>
        <w:numPr>
          <w:ilvl w:val="0"/>
          <w:numId w:val="10"/>
        </w:numPr>
        <w:spacing w:after="200" w:line="276" w:lineRule="auto"/>
        <w:jc w:val="both"/>
        <w:rPr>
          <w:rFonts w:ascii="Verdana" w:hAnsi="Verdana"/>
          <w:sz w:val="20"/>
          <w:szCs w:val="20"/>
        </w:rPr>
      </w:pPr>
      <w:r w:rsidRPr="0037427D">
        <w:rPr>
          <w:rFonts w:ascii="Verdana" w:hAnsi="Verdana"/>
          <w:sz w:val="20"/>
          <w:szCs w:val="20"/>
        </w:rPr>
        <w:t>Identification des initiatives existantes, des leçons ainsi que des goulots d'étranglement pour l'émergence de jeunes entrepreneurs pour l'économie circulaire.</w:t>
      </w:r>
    </w:p>
    <w:p w14:paraId="2D1B09D6" w14:textId="77777777" w:rsidR="00A25008" w:rsidRPr="0037427D" w:rsidRDefault="00A25008" w:rsidP="00A25008">
      <w:pPr>
        <w:pStyle w:val="Paragraphedeliste"/>
        <w:numPr>
          <w:ilvl w:val="0"/>
          <w:numId w:val="10"/>
        </w:numPr>
        <w:spacing w:after="200" w:line="276" w:lineRule="auto"/>
        <w:jc w:val="both"/>
        <w:rPr>
          <w:rFonts w:ascii="Verdana" w:hAnsi="Verdana"/>
          <w:sz w:val="20"/>
          <w:szCs w:val="20"/>
        </w:rPr>
      </w:pPr>
      <w:r w:rsidRPr="0037427D">
        <w:rPr>
          <w:rFonts w:ascii="Verdana" w:hAnsi="Verdana"/>
          <w:sz w:val="20"/>
          <w:szCs w:val="20"/>
        </w:rPr>
        <w:t>Préparation d'une stratégie de sensibilisation et d'un plan de communication pour la réduction de l'utilisation du plastique afin de promouvoir l'économie circulaire, et de lutter contre la pollution marine.</w:t>
      </w:r>
    </w:p>
    <w:p w14:paraId="01552C17" w14:textId="77777777" w:rsidR="00A25008" w:rsidRPr="0037427D" w:rsidRDefault="00A25008" w:rsidP="00A25008">
      <w:pPr>
        <w:pStyle w:val="Paragraphedeliste"/>
        <w:numPr>
          <w:ilvl w:val="0"/>
          <w:numId w:val="10"/>
        </w:numPr>
        <w:spacing w:after="200" w:line="276" w:lineRule="auto"/>
        <w:jc w:val="both"/>
        <w:rPr>
          <w:rFonts w:ascii="Verdana" w:hAnsi="Verdana"/>
          <w:sz w:val="20"/>
          <w:szCs w:val="20"/>
        </w:rPr>
      </w:pPr>
      <w:r w:rsidRPr="0037427D">
        <w:rPr>
          <w:rFonts w:ascii="Verdana" w:hAnsi="Verdana"/>
          <w:sz w:val="20"/>
          <w:szCs w:val="20"/>
        </w:rPr>
        <w:t>Évaluation des droits de propriété intellectuelle comme catalyseur de l'innovation à AIODIS dans le domaine de l'économie circulaire.</w:t>
      </w:r>
    </w:p>
    <w:p w14:paraId="3B891D90" w14:textId="77777777" w:rsidR="00A25008" w:rsidRPr="00CA0DF4" w:rsidRDefault="00A25008" w:rsidP="00A25008">
      <w:pPr>
        <w:jc w:val="both"/>
        <w:rPr>
          <w:rFonts w:ascii="Verdana" w:hAnsi="Verdana"/>
          <w:sz w:val="20"/>
          <w:szCs w:val="20"/>
        </w:rPr>
      </w:pPr>
      <w:r w:rsidRPr="00CA0DF4">
        <w:rPr>
          <w:rFonts w:ascii="Verdana" w:hAnsi="Verdana"/>
          <w:sz w:val="20"/>
          <w:szCs w:val="20"/>
        </w:rPr>
        <w:t>L'étude sur le droit de déterminer les dispositions les plus appropriées en matière de droit de réparation et de mettre en place et d'équiper des groupes de guides pour promouvoir leur institution pour chacun des AIODIS.  Cette étude encouragera les entrepreneurs potentiels de l'économie circulaire à se lancer dans la réparation, la remise à neuf, la refabrication et la réutilisation de produits de plus grande valeur. Les options législatives indépendantes au niveau national pour instituer des dispositions relatives au droit à la réparation non liées à la propriété intellectuelle seront explorées.</w:t>
      </w:r>
    </w:p>
    <w:p w14:paraId="0BEBBB31" w14:textId="0D5C9E94" w:rsidR="002C56ED" w:rsidRDefault="00A25008" w:rsidP="00A25008">
      <w:pPr>
        <w:pStyle w:val="Paragraphe"/>
      </w:pPr>
      <w:r w:rsidRPr="00CA0DF4">
        <w:t>L’élaboration de p</w:t>
      </w:r>
      <w:r>
        <w:t xml:space="preserve">rojets </w:t>
      </w:r>
      <w:r w:rsidRPr="00CA0DF4">
        <w:t>régionaux</w:t>
      </w:r>
      <w:r>
        <w:t xml:space="preserve"> est en cours et sera soumis</w:t>
      </w:r>
      <w:r w:rsidR="007C4B57">
        <w:t>e</w:t>
      </w:r>
      <w:r>
        <w:t xml:space="preserve"> aux partenaires de développement après validation dans le cadre de l’</w:t>
      </w:r>
      <w:r w:rsidRPr="00CA0DF4">
        <w:t>AIODIS</w:t>
      </w:r>
      <w:r>
        <w:t>.</w:t>
      </w:r>
    </w:p>
    <w:p w14:paraId="6D30C07E" w14:textId="77777777" w:rsidR="00865755" w:rsidRDefault="00865755" w:rsidP="00A25008">
      <w:pPr>
        <w:pStyle w:val="Paragraphe"/>
        <w:rPr>
          <w:shd w:val="clear" w:color="auto" w:fill="FFFFFF"/>
        </w:rPr>
      </w:pPr>
    </w:p>
    <w:p w14:paraId="54854EB5" w14:textId="00585EF3" w:rsidR="002C56ED" w:rsidRPr="00A76B07" w:rsidRDefault="00865755" w:rsidP="00A76B07">
      <w:pPr>
        <w:pStyle w:val="Sous-partie2"/>
      </w:pPr>
      <w:r>
        <w:lastRenderedPageBreak/>
        <w:t>Economie circulaire – transformation des déchets en énergie renouvelable</w:t>
      </w:r>
    </w:p>
    <w:p w14:paraId="396652BB" w14:textId="5FC16CB2" w:rsidR="00DB5632" w:rsidRPr="00CA0DF4" w:rsidRDefault="00DB5632" w:rsidP="00DB5632">
      <w:pPr>
        <w:pStyle w:val="Paragraphe"/>
      </w:pPr>
      <w:r w:rsidRPr="00CA0DF4">
        <w:t>Une des initiatives entreprises par le secrétariat général a été d’approcher l’Organisation des États d’Afrique, des Caraïbes et du Pacifique (OEACP) dans le cadre de son enveloppe sur ‘l’innovation’ pour la mobilisation de moyen</w:t>
      </w:r>
      <w:r w:rsidR="002428B5">
        <w:t>s</w:t>
      </w:r>
      <w:r w:rsidRPr="00CA0DF4">
        <w:t xml:space="preserve"> pour la promotion de l’économie circulaire.  La négociation avec l’OEACP a conclu sur la formulation d’un projet pour faire l’inventaire du potentiel pour la transformation des déchets vers un modèle déchets-énergie dans la région du sud-ouest de l'océan Indien. Les membres de l’AIODIS ont été sollicités pour faciliter les institutions nationales concernées et après presque qu’une vingtaine de réunions de travail entre mai et novembre 2021, le secrétariat général a obtenu une subvention de 2,4 millions d'euros pour la mise en œuvre du projet. Les pays bénéficiaires sont les pays ACP de la COI et Zanzibar.</w:t>
      </w:r>
    </w:p>
    <w:p w14:paraId="21875958" w14:textId="7B5D7B06" w:rsidR="002C56ED" w:rsidRDefault="00DB5632" w:rsidP="00DB5632">
      <w:pPr>
        <w:pStyle w:val="Paragraphe"/>
      </w:pPr>
      <w:r w:rsidRPr="00CA0DF4">
        <w:t>Ce projet contribuera à développer un environnement de R&amp;I inclusif permettant la transformation vers une gestion durable de la chaîne de valeur des déchets et l'énergie à partir des déchets dans les îles de l'océan Indien occidental.</w:t>
      </w:r>
    </w:p>
    <w:p w14:paraId="4C458499" w14:textId="21FCBF52" w:rsidR="009D7154" w:rsidRDefault="009D7154" w:rsidP="00DB5632">
      <w:pPr>
        <w:pStyle w:val="Paragraphe"/>
      </w:pPr>
    </w:p>
    <w:p w14:paraId="7844692E" w14:textId="6612B2A8" w:rsidR="009D7154" w:rsidRDefault="009D7154" w:rsidP="009D7154">
      <w:pPr>
        <w:pStyle w:val="Sous-partie2"/>
      </w:pPr>
      <w:r>
        <w:t>Réduction de l’utilisation des bouteilles en plastique</w:t>
      </w:r>
    </w:p>
    <w:p w14:paraId="765CCCE4" w14:textId="7CAD7DF6" w:rsidR="009D7154" w:rsidRDefault="00321037" w:rsidP="00321037">
      <w:pPr>
        <w:pStyle w:val="Paragraphe"/>
      </w:pPr>
      <w:r w:rsidRPr="00CA0DF4">
        <w:t>Une autre activité initiée dans le domaine de l'économie circulaire concerne le développement de plans d'action régionaux et nationaux pour la réduction des bouteilles d'eau en plastique et des plastiques à usage unique dans les pays AIODIS.  L'objectif de cette activité est de réduire la pollution plastique marine due aux bouteilles d'eau en plastique et aux plastiques à usage unique.</w:t>
      </w:r>
    </w:p>
    <w:p w14:paraId="26C651E3" w14:textId="21402D56" w:rsidR="00EE618F" w:rsidRDefault="00EE618F" w:rsidP="00321037">
      <w:pPr>
        <w:pStyle w:val="Paragraphe"/>
      </w:pPr>
    </w:p>
    <w:p w14:paraId="3617F4BD" w14:textId="3076C476" w:rsidR="00EE618F" w:rsidRDefault="00EE618F" w:rsidP="00EE618F">
      <w:pPr>
        <w:pStyle w:val="Sous-partie2"/>
      </w:pPr>
      <w:r>
        <w:t>Lancement d’une étude de faisabilité pour un port écologique</w:t>
      </w:r>
    </w:p>
    <w:p w14:paraId="4315D2C9" w14:textId="754AB460" w:rsidR="00905A7A" w:rsidRPr="00CA0DF4" w:rsidRDefault="00905A7A" w:rsidP="00905A7A">
      <w:pPr>
        <w:pStyle w:val="Paragraphe"/>
      </w:pPr>
      <w:r w:rsidRPr="00CA0DF4">
        <w:t>L'élaboration d'une étude de faisabilité et le développement d'un plan pour la mise en œuvre d'un système d'alimentation électrique terrestre pour les navires à quai dans le port de Port Louis à Maurice ont débuté en décembre 2021. Le projet vise à évaluer les options disponibles pour réduire les émissions des navires à quai au terminal de croisière de Port Louis. Les objectifs spécifiques sont de mener</w:t>
      </w:r>
      <w:r w:rsidR="004F7431">
        <w:t> :</w:t>
      </w:r>
      <w:r w:rsidRPr="00CA0DF4">
        <w:t xml:space="preserve"> </w:t>
      </w:r>
    </w:p>
    <w:p w14:paraId="37444243" w14:textId="02219F1F" w:rsidR="00905A7A" w:rsidRPr="0037427D" w:rsidRDefault="004F7431" w:rsidP="004F7431">
      <w:pPr>
        <w:pStyle w:val="Paragraphe"/>
        <w:numPr>
          <w:ilvl w:val="0"/>
          <w:numId w:val="16"/>
        </w:numPr>
      </w:pPr>
      <w:r w:rsidRPr="0037427D">
        <w:t>Un</w:t>
      </w:r>
      <w:r w:rsidR="00905A7A" w:rsidRPr="0037427D">
        <w:t xml:space="preserve"> examen de tous les programmes et technologies de réduction des émissions disponibles afin de déterminer s'ils sont adaptés au terminal de croisière de Port Louis ; et </w:t>
      </w:r>
    </w:p>
    <w:p w14:paraId="50AEC4A1" w14:textId="207A93ED" w:rsidR="00905A7A" w:rsidRPr="0037427D" w:rsidRDefault="004F7431" w:rsidP="004F7431">
      <w:pPr>
        <w:pStyle w:val="Paragraphe"/>
        <w:numPr>
          <w:ilvl w:val="0"/>
          <w:numId w:val="16"/>
        </w:numPr>
      </w:pPr>
      <w:r w:rsidRPr="0037427D">
        <w:t>Une</w:t>
      </w:r>
      <w:r w:rsidR="00905A7A" w:rsidRPr="0037427D">
        <w:t xml:space="preserve"> évaluation de la faisabilité et de la rentabilité de l'alimentation électrique à terre pour les navires de croisière à quai au terminal de croisière.</w:t>
      </w:r>
    </w:p>
    <w:p w14:paraId="575BB13E" w14:textId="0C0DC045" w:rsidR="00EE618F" w:rsidRDefault="00905A7A" w:rsidP="00905A7A">
      <w:pPr>
        <w:pStyle w:val="Paragraphe"/>
      </w:pPr>
      <w:r w:rsidRPr="00CA0DF4">
        <w:t xml:space="preserve">Cette étude ‘flagship’ sera éventuellement étalée </w:t>
      </w:r>
      <w:r w:rsidRPr="00CA0DF4">
        <w:rPr>
          <w:rFonts w:cstheme="minorHAnsi"/>
        </w:rPr>
        <w:t>à</w:t>
      </w:r>
      <w:r w:rsidRPr="00CA0DF4">
        <w:t xml:space="preserve"> d’autres pays AIODIS intéressés. Cap-Vert a exprimé son intérêt.</w:t>
      </w:r>
    </w:p>
    <w:p w14:paraId="0695C30E" w14:textId="2818740A" w:rsidR="00F4060F" w:rsidRDefault="00F4060F" w:rsidP="00905A7A">
      <w:pPr>
        <w:pStyle w:val="Paragraphe"/>
      </w:pPr>
    </w:p>
    <w:p w14:paraId="4D287647" w14:textId="7DB06682" w:rsidR="00F4060F" w:rsidRDefault="00F4060F" w:rsidP="00F4060F">
      <w:pPr>
        <w:pStyle w:val="Sous-partie2"/>
      </w:pPr>
      <w:r>
        <w:t>Mise en place d’une plateforme régionale collaborative</w:t>
      </w:r>
    </w:p>
    <w:p w14:paraId="74BA1C7A" w14:textId="2FA7E153" w:rsidR="00857F25" w:rsidRDefault="00857F25" w:rsidP="00857F25">
      <w:pPr>
        <w:pStyle w:val="Paragraphe"/>
      </w:pPr>
      <w:r w:rsidRPr="00CA0DF4">
        <w:t>Une des principales recommandations formulées lors du Forum sur l'économie circulaire en décembre 2019 était la mise en place d'une plateforme régionale collaborative pour les entrepreneurs de l'économie circulaire. Le but recherché est de faire une évaluation et une cartographie des institutions et structures de soutien à l'entrepreneuriat pour l'économie circulaire, y compris les incubateurs et accélérateurs et leurs capacités à répondre à l'orientation vers une économie durable. L’exercice de recrutement n’a pas été concluant et sera relancé.</w:t>
      </w:r>
    </w:p>
    <w:p w14:paraId="50F33D0F" w14:textId="1E7A40CB" w:rsidR="006C2DCE" w:rsidRDefault="006C2DCE" w:rsidP="00857F25">
      <w:pPr>
        <w:pStyle w:val="Paragraphe"/>
      </w:pPr>
    </w:p>
    <w:p w14:paraId="53146524" w14:textId="087D2ECE" w:rsidR="006C2DCE" w:rsidRDefault="006C2DCE" w:rsidP="006C2DCE">
      <w:pPr>
        <w:pStyle w:val="Sous-partie2"/>
      </w:pPr>
      <w:r>
        <w:t>Campus des métiers de la mer</w:t>
      </w:r>
    </w:p>
    <w:p w14:paraId="457959EB" w14:textId="235916F8" w:rsidR="006C2DCE" w:rsidRDefault="00AB51F9" w:rsidP="00AB51F9">
      <w:pPr>
        <w:pStyle w:val="Paragraphe"/>
      </w:pPr>
      <w:r w:rsidRPr="00CA0DF4">
        <w:t>Une étude de faisabilité pour la mise en place d’un campus des métiers de la mer a démarré fin 2021 avec le concours du BIT. L’équipe d’expert</w:t>
      </w:r>
      <w:r w:rsidR="00790CDD">
        <w:t>s</w:t>
      </w:r>
      <w:r w:rsidRPr="00CA0DF4">
        <w:t xml:space="preserve"> a produit un premier rapport qui fera l’objet d’un atelier </w:t>
      </w:r>
      <w:r w:rsidR="00790CDD">
        <w:t xml:space="preserve">avec les Etats membres </w:t>
      </w:r>
      <w:r w:rsidRPr="00CA0DF4">
        <w:t>prochainement.</w:t>
      </w:r>
    </w:p>
    <w:p w14:paraId="7A2B5F1D" w14:textId="6CECC8B4" w:rsidR="00E43C42" w:rsidRDefault="00E43C42" w:rsidP="00AB51F9">
      <w:pPr>
        <w:pStyle w:val="Paragraphe"/>
      </w:pPr>
    </w:p>
    <w:p w14:paraId="52DC9441" w14:textId="72A94370" w:rsidR="00E43C42" w:rsidRDefault="00E43C42" w:rsidP="00E43C42">
      <w:pPr>
        <w:pStyle w:val="Sous-partie2"/>
      </w:pPr>
      <w:r>
        <w:t>Mission d’échange de connaissances</w:t>
      </w:r>
    </w:p>
    <w:p w14:paraId="17D8844A" w14:textId="77777777" w:rsidR="003754F6" w:rsidRPr="00CA0DF4" w:rsidRDefault="003754F6" w:rsidP="003754F6">
      <w:pPr>
        <w:pStyle w:val="Paragraphe"/>
      </w:pPr>
      <w:r w:rsidRPr="00CA0DF4">
        <w:t>Une mission</w:t>
      </w:r>
      <w:r w:rsidRPr="00CA0DF4">
        <w:rPr>
          <w:b/>
          <w:bCs/>
        </w:rPr>
        <w:t xml:space="preserve"> </w:t>
      </w:r>
      <w:r w:rsidRPr="00CA0DF4">
        <w:t>d’échange a été conduite par la coordinatrice régionale du projet SWIOFish2 incluant des entrepreneurs et ONG de la région (Maurice et Madagascar seulement ayant répondu à l’appel) a participé au Forum de l'innovation océanique en Afrique du Sud les 5 et 9 novembre 2021. Cette mission a permis à :</w:t>
      </w:r>
    </w:p>
    <w:p w14:paraId="6857DBE1" w14:textId="77777777" w:rsidR="003754F6" w:rsidRPr="0037427D" w:rsidRDefault="003754F6" w:rsidP="00790CDD">
      <w:pPr>
        <w:pStyle w:val="Paragraphe"/>
        <w:numPr>
          <w:ilvl w:val="0"/>
          <w:numId w:val="17"/>
        </w:numPr>
      </w:pPr>
      <w:r w:rsidRPr="0037427D">
        <w:t>L'identification de projets pilotes potentiels pour AIODIS.</w:t>
      </w:r>
    </w:p>
    <w:p w14:paraId="0D9B2E25" w14:textId="77777777" w:rsidR="003754F6" w:rsidRPr="0037427D" w:rsidRDefault="003754F6" w:rsidP="00790CDD">
      <w:pPr>
        <w:pStyle w:val="Paragraphe"/>
        <w:numPr>
          <w:ilvl w:val="0"/>
          <w:numId w:val="17"/>
        </w:numPr>
      </w:pPr>
      <w:r w:rsidRPr="0037427D">
        <w:t>L'initiation de discussions avec des partenaires potentiels pour des activités de sensibilisation dans les écoles pilotes AIODIS.</w:t>
      </w:r>
    </w:p>
    <w:p w14:paraId="1545E808" w14:textId="77777777" w:rsidR="003754F6" w:rsidRPr="0037427D" w:rsidRDefault="003754F6" w:rsidP="00790CDD">
      <w:pPr>
        <w:pStyle w:val="Paragraphe"/>
        <w:numPr>
          <w:ilvl w:val="0"/>
          <w:numId w:val="17"/>
        </w:numPr>
      </w:pPr>
      <w:r w:rsidRPr="0037427D">
        <w:t>La mise en réseau de consolidation pour les femmes entrepreneurs.</w:t>
      </w:r>
    </w:p>
    <w:p w14:paraId="35E3434A" w14:textId="6785E7FD" w:rsidR="003754F6" w:rsidRPr="00CA0DF4" w:rsidRDefault="003754F6" w:rsidP="003754F6">
      <w:pPr>
        <w:pStyle w:val="Paragraphe"/>
      </w:pPr>
      <w:r w:rsidRPr="00CA0DF4">
        <w:t>Afin d'améliorer le partage des connaissances et de promouvoir la coopération Sud-Sud</w:t>
      </w:r>
      <w:r>
        <w:t>,</w:t>
      </w:r>
      <w:r w:rsidRPr="00CA0DF4">
        <w:t xml:space="preserve"> trois missions d'échange de connaissances </w:t>
      </w:r>
      <w:r w:rsidR="00790CDD">
        <w:t xml:space="preserve">sur le recyclage </w:t>
      </w:r>
      <w:r w:rsidRPr="00CA0DF4">
        <w:t xml:space="preserve">seront organisées en 2022 </w:t>
      </w:r>
      <w:r>
        <w:t xml:space="preserve">sur les thèmes ci-dessous </w:t>
      </w:r>
      <w:r w:rsidRPr="00CA0DF4">
        <w:t>:</w:t>
      </w:r>
    </w:p>
    <w:p w14:paraId="6A993330" w14:textId="77777777" w:rsidR="003754F6" w:rsidRPr="0037427D" w:rsidRDefault="003754F6" w:rsidP="00790CDD">
      <w:pPr>
        <w:pStyle w:val="Paragraphe"/>
        <w:numPr>
          <w:ilvl w:val="0"/>
          <w:numId w:val="18"/>
        </w:numPr>
      </w:pPr>
      <w:r w:rsidRPr="0037427D">
        <w:t>Des pneus usés à la Réunion.</w:t>
      </w:r>
    </w:p>
    <w:p w14:paraId="124DB951" w14:textId="77777777" w:rsidR="003754F6" w:rsidRPr="0037427D" w:rsidRDefault="003754F6" w:rsidP="00790CDD">
      <w:pPr>
        <w:pStyle w:val="Paragraphe"/>
        <w:numPr>
          <w:ilvl w:val="0"/>
          <w:numId w:val="18"/>
        </w:numPr>
      </w:pPr>
      <w:r w:rsidRPr="0037427D">
        <w:t xml:space="preserve">Du plastique en carburant en cours d'installation aux Comores.  </w:t>
      </w:r>
    </w:p>
    <w:p w14:paraId="4ACB1C16" w14:textId="6172537B" w:rsidR="003754F6" w:rsidRDefault="003754F6" w:rsidP="00790CDD">
      <w:pPr>
        <w:pStyle w:val="Paragraphe"/>
        <w:numPr>
          <w:ilvl w:val="0"/>
          <w:numId w:val="18"/>
        </w:numPr>
      </w:pPr>
      <w:r w:rsidRPr="0037427D">
        <w:t>De déchets électriques et électroniques à Maurice.</w:t>
      </w:r>
    </w:p>
    <w:p w14:paraId="79F99283" w14:textId="76769CF4" w:rsidR="00482CA1" w:rsidRDefault="00482CA1" w:rsidP="003754F6">
      <w:pPr>
        <w:pStyle w:val="Paragraphe"/>
      </w:pPr>
    </w:p>
    <w:p w14:paraId="3F70361A" w14:textId="4A83F360" w:rsidR="00482CA1" w:rsidRPr="0037427D" w:rsidRDefault="00482CA1" w:rsidP="00482CA1">
      <w:pPr>
        <w:pStyle w:val="Sous-partie2"/>
      </w:pPr>
      <w:r>
        <w:t>Connectivité maritime</w:t>
      </w:r>
    </w:p>
    <w:p w14:paraId="628D0477" w14:textId="77777777" w:rsidR="00E43C42" w:rsidRPr="00CA0DF4" w:rsidRDefault="00E43C42" w:rsidP="00E43C42">
      <w:pPr>
        <w:pStyle w:val="Sous-partie2"/>
        <w:numPr>
          <w:ilvl w:val="0"/>
          <w:numId w:val="0"/>
        </w:numPr>
        <w:ind w:left="1080"/>
      </w:pPr>
    </w:p>
    <w:p w14:paraId="42EC56E7" w14:textId="77777777" w:rsidR="0078336B" w:rsidRPr="00CA0DF4" w:rsidRDefault="0078336B" w:rsidP="0078336B">
      <w:pPr>
        <w:jc w:val="both"/>
        <w:rPr>
          <w:rFonts w:ascii="Verdana" w:hAnsi="Verdana" w:cstheme="minorHAnsi"/>
          <w:sz w:val="20"/>
          <w:szCs w:val="20"/>
        </w:rPr>
      </w:pPr>
      <w:r w:rsidRPr="00CA0DF4">
        <w:rPr>
          <w:rFonts w:ascii="Verdana" w:hAnsi="Verdana" w:cstheme="minorHAnsi"/>
          <w:sz w:val="20"/>
          <w:szCs w:val="20"/>
        </w:rPr>
        <w:t xml:space="preserve">L’initiative de la COI a pour but d’accroître la connectivité maritime et de </w:t>
      </w:r>
      <w:r w:rsidRPr="00CA0DF4">
        <w:rPr>
          <w:rFonts w:ascii="Verdana" w:eastAsia="Times New Roman" w:hAnsi="Verdana" w:cstheme="minorHAnsi"/>
          <w:sz w:val="20"/>
          <w:szCs w:val="20"/>
        </w:rPr>
        <w:t xml:space="preserve">renforcer l’intégration régionale </w:t>
      </w:r>
      <w:r w:rsidRPr="00CA0DF4">
        <w:rPr>
          <w:rFonts w:ascii="Verdana" w:hAnsi="Verdana" w:cstheme="minorHAnsi"/>
          <w:sz w:val="20"/>
          <w:szCs w:val="20"/>
        </w:rPr>
        <w:t xml:space="preserve">dans le sud-ouest de l’océan Indien. Un financement initial a été mobilisé avec le Japon dès mars 2020, mais la pandémie n’avait pas permis un démarrage plus tôt. La COI vise à atteindre trois objectifs : </w:t>
      </w:r>
    </w:p>
    <w:p w14:paraId="35AA2179" w14:textId="77777777" w:rsidR="0078336B" w:rsidRPr="0037427D" w:rsidRDefault="0078336B" w:rsidP="0078336B">
      <w:pPr>
        <w:pStyle w:val="Paragraphedeliste"/>
        <w:numPr>
          <w:ilvl w:val="0"/>
          <w:numId w:val="14"/>
        </w:numPr>
        <w:spacing w:after="120" w:line="276" w:lineRule="auto"/>
        <w:jc w:val="both"/>
        <w:rPr>
          <w:rFonts w:ascii="Verdana" w:hAnsi="Verdana" w:cstheme="minorHAnsi"/>
          <w:sz w:val="20"/>
          <w:szCs w:val="20"/>
        </w:rPr>
      </w:pPr>
      <w:r w:rsidRPr="0037427D">
        <w:rPr>
          <w:rFonts w:ascii="Verdana" w:hAnsi="Verdana" w:cstheme="minorHAnsi"/>
          <w:sz w:val="20"/>
          <w:szCs w:val="20"/>
        </w:rPr>
        <w:t>Sensibiliser les pays à la nécessité de rationaliser les structures de gestion portuaire et de simplifier la prise de décision et créer une meilleure compréhension des améliorations requises en matière d'infrastructure et de facilitation du commerce ;</w:t>
      </w:r>
    </w:p>
    <w:p w14:paraId="5AD2E636" w14:textId="77777777" w:rsidR="0078336B" w:rsidRPr="0037427D" w:rsidRDefault="0078336B" w:rsidP="0078336B">
      <w:pPr>
        <w:pStyle w:val="Paragraphedeliste"/>
        <w:numPr>
          <w:ilvl w:val="0"/>
          <w:numId w:val="14"/>
        </w:numPr>
        <w:spacing w:after="120" w:line="276" w:lineRule="auto"/>
        <w:jc w:val="both"/>
        <w:rPr>
          <w:rFonts w:ascii="Verdana" w:hAnsi="Verdana" w:cstheme="minorHAnsi"/>
          <w:sz w:val="20"/>
          <w:szCs w:val="20"/>
        </w:rPr>
      </w:pPr>
      <w:r w:rsidRPr="0037427D">
        <w:rPr>
          <w:rFonts w:ascii="Verdana" w:hAnsi="Verdana" w:cstheme="minorHAnsi"/>
          <w:sz w:val="20"/>
          <w:szCs w:val="20"/>
        </w:rPr>
        <w:t>La mise en place d'un système de suivi régulier du commerce dans la région, en mettant l'accent sur la quantification des besoins de la région en termes de transport maritime sur la base des volumes commerciaux actuels et prévus ; et</w:t>
      </w:r>
    </w:p>
    <w:p w14:paraId="67D69BDA" w14:textId="77777777" w:rsidR="0078336B" w:rsidRPr="0037427D" w:rsidRDefault="0078336B" w:rsidP="0078336B">
      <w:pPr>
        <w:pStyle w:val="Paragraphedeliste"/>
        <w:numPr>
          <w:ilvl w:val="0"/>
          <w:numId w:val="14"/>
        </w:numPr>
        <w:spacing w:after="120" w:line="276" w:lineRule="auto"/>
        <w:jc w:val="both"/>
        <w:rPr>
          <w:rFonts w:ascii="Verdana" w:hAnsi="Verdana" w:cstheme="minorHAnsi"/>
          <w:sz w:val="20"/>
          <w:szCs w:val="20"/>
        </w:rPr>
      </w:pPr>
      <w:r w:rsidRPr="0037427D">
        <w:rPr>
          <w:rFonts w:ascii="Verdana" w:hAnsi="Verdana" w:cstheme="minorHAnsi"/>
          <w:sz w:val="20"/>
          <w:szCs w:val="20"/>
        </w:rPr>
        <w:t xml:space="preserve">La mise en place d'un guichet maritime unique comme instrument de facilitation du commerce régional. </w:t>
      </w:r>
    </w:p>
    <w:p w14:paraId="2F25EC2A" w14:textId="77777777" w:rsidR="0078336B" w:rsidRPr="00250ABE" w:rsidRDefault="0078336B" w:rsidP="0078336B">
      <w:pPr>
        <w:jc w:val="both"/>
        <w:rPr>
          <w:rFonts w:ascii="Verdana" w:hAnsi="Verdana" w:cstheme="minorHAnsi"/>
          <w:sz w:val="20"/>
          <w:szCs w:val="20"/>
        </w:rPr>
      </w:pPr>
      <w:r>
        <w:rPr>
          <w:rFonts w:ascii="Verdana" w:hAnsi="Verdana" w:cstheme="minorHAnsi"/>
          <w:sz w:val="20"/>
          <w:szCs w:val="20"/>
        </w:rPr>
        <w:t>L</w:t>
      </w:r>
      <w:r w:rsidRPr="00CA0DF4">
        <w:rPr>
          <w:rFonts w:ascii="Verdana" w:hAnsi="Verdana" w:cstheme="minorHAnsi"/>
          <w:sz w:val="20"/>
          <w:szCs w:val="20"/>
        </w:rPr>
        <w:t xml:space="preserve">es travaux ont démarré avec un premier </w:t>
      </w:r>
      <w:r>
        <w:rPr>
          <w:rFonts w:ascii="Verdana" w:hAnsi="Verdana" w:cstheme="minorHAnsi"/>
          <w:sz w:val="20"/>
          <w:szCs w:val="20"/>
        </w:rPr>
        <w:t xml:space="preserve">niveau de </w:t>
      </w:r>
      <w:r w:rsidRPr="00CA0DF4">
        <w:rPr>
          <w:rFonts w:ascii="Verdana" w:hAnsi="Verdana" w:cstheme="minorHAnsi"/>
          <w:sz w:val="20"/>
          <w:szCs w:val="20"/>
        </w:rPr>
        <w:t xml:space="preserve">dialogue entre les principales parties prenantes, c.à.d. ceux qui sont au premier rang de la chaine des logistiques de la connectivité maritime – les ports. Le secrétariat général de la COI </w:t>
      </w:r>
      <w:r>
        <w:rPr>
          <w:rFonts w:ascii="Verdana" w:hAnsi="Verdana" w:cstheme="minorHAnsi"/>
          <w:sz w:val="20"/>
          <w:szCs w:val="20"/>
        </w:rPr>
        <w:t>a organisé u</w:t>
      </w:r>
      <w:r w:rsidRPr="00CA0DF4">
        <w:rPr>
          <w:rFonts w:ascii="Verdana" w:hAnsi="Verdana" w:cstheme="minorHAnsi"/>
          <w:sz w:val="20"/>
          <w:szCs w:val="20"/>
        </w:rPr>
        <w:t xml:space="preserve">ne première réunion, </w:t>
      </w:r>
      <w:r>
        <w:rPr>
          <w:rFonts w:ascii="Verdana" w:hAnsi="Verdana" w:cstheme="minorHAnsi"/>
          <w:sz w:val="20"/>
          <w:szCs w:val="20"/>
        </w:rPr>
        <w:t>incluant</w:t>
      </w:r>
      <w:r w:rsidRPr="00CA0DF4">
        <w:rPr>
          <w:rFonts w:ascii="Verdana" w:hAnsi="Verdana" w:cstheme="minorHAnsi"/>
          <w:sz w:val="20"/>
          <w:szCs w:val="20"/>
        </w:rPr>
        <w:t xml:space="preserve"> des représentants des ports, de l’APIOI, du PMAESA et de Cap-BOI, ainsi </w:t>
      </w:r>
      <w:r w:rsidRPr="00CA0DF4">
        <w:rPr>
          <w:rFonts w:ascii="Verdana" w:hAnsi="Verdana" w:cstheme="minorHAnsi"/>
          <w:bCs/>
          <w:iCs/>
          <w:sz w:val="20"/>
          <w:szCs w:val="20"/>
        </w:rPr>
        <w:t xml:space="preserve">que les deux firmes de services-conseils, </w:t>
      </w:r>
      <w:r w:rsidRPr="00CA0DF4">
        <w:rPr>
          <w:rFonts w:ascii="Verdana" w:hAnsi="Verdana" w:cstheme="minorHAnsi"/>
          <w:bCs/>
          <w:iCs/>
          <w:noProof/>
          <w:sz w:val="20"/>
          <w:szCs w:val="20"/>
        </w:rPr>
        <w:t>Imani Development</w:t>
      </w:r>
      <w:r w:rsidRPr="00CA0DF4">
        <w:rPr>
          <w:rFonts w:ascii="Verdana" w:hAnsi="Verdana" w:cstheme="minorHAnsi"/>
          <w:bCs/>
          <w:iCs/>
          <w:sz w:val="20"/>
          <w:szCs w:val="20"/>
        </w:rPr>
        <w:t xml:space="preserve"> et Open Plan Consulting, </w:t>
      </w:r>
      <w:r w:rsidRPr="00CA0DF4">
        <w:rPr>
          <w:rFonts w:ascii="Verdana" w:hAnsi="Verdana" w:cstheme="minorHAnsi"/>
          <w:sz w:val="20"/>
          <w:szCs w:val="20"/>
        </w:rPr>
        <w:t>le 17 janvier 2022 en format hybride</w:t>
      </w:r>
      <w:r>
        <w:rPr>
          <w:rFonts w:ascii="Verdana" w:hAnsi="Verdana" w:cstheme="minorHAnsi"/>
          <w:sz w:val="20"/>
          <w:szCs w:val="20"/>
        </w:rPr>
        <w:t>,</w:t>
      </w:r>
      <w:r w:rsidRPr="00CA0DF4">
        <w:rPr>
          <w:rFonts w:ascii="Verdana" w:hAnsi="Verdana" w:cstheme="minorHAnsi"/>
          <w:sz w:val="20"/>
          <w:szCs w:val="20"/>
        </w:rPr>
        <w:t xml:space="preserve"> en présence de </w:t>
      </w:r>
      <w:r w:rsidRPr="00CA0DF4">
        <w:rPr>
          <w:rFonts w:ascii="Verdana" w:eastAsia="Times New Roman" w:hAnsi="Verdana" w:cstheme="minorHAnsi"/>
          <w:sz w:val="20"/>
          <w:szCs w:val="20"/>
        </w:rPr>
        <w:t xml:space="preserve">l’Ambassade </w:t>
      </w:r>
      <w:r w:rsidRPr="00CA0DF4">
        <w:rPr>
          <w:rFonts w:ascii="Verdana" w:hAnsi="Verdana" w:cstheme="minorHAnsi"/>
          <w:bCs/>
          <w:iCs/>
          <w:sz w:val="20"/>
          <w:szCs w:val="20"/>
        </w:rPr>
        <w:t xml:space="preserve">du Japon. </w:t>
      </w:r>
    </w:p>
    <w:p w14:paraId="5CE1C54C" w14:textId="77777777" w:rsidR="0078336B" w:rsidRPr="00CA0DF4" w:rsidRDefault="0078336B" w:rsidP="0078336B">
      <w:pPr>
        <w:jc w:val="both"/>
        <w:rPr>
          <w:rFonts w:ascii="Verdana" w:hAnsi="Verdana" w:cstheme="minorHAnsi"/>
          <w:bCs/>
          <w:iCs/>
          <w:sz w:val="20"/>
          <w:szCs w:val="20"/>
        </w:rPr>
      </w:pPr>
    </w:p>
    <w:p w14:paraId="5C5ADDBB" w14:textId="77777777" w:rsidR="0078336B" w:rsidRPr="00CA0DF4" w:rsidRDefault="0078336B" w:rsidP="0078336B">
      <w:pPr>
        <w:jc w:val="both"/>
        <w:rPr>
          <w:rFonts w:ascii="Verdana" w:hAnsi="Verdana" w:cstheme="minorHAnsi"/>
          <w:b/>
          <w:bCs/>
          <w:iCs/>
          <w:sz w:val="20"/>
          <w:szCs w:val="20"/>
        </w:rPr>
      </w:pPr>
      <w:r w:rsidRPr="00CA0DF4">
        <w:rPr>
          <w:rFonts w:ascii="Verdana" w:hAnsi="Verdana" w:cstheme="minorHAnsi"/>
          <w:bCs/>
          <w:iCs/>
          <w:sz w:val="20"/>
          <w:szCs w:val="20"/>
        </w:rPr>
        <w:t xml:space="preserve">La réunion a permis de sensibiliser les organisations associatives régionaux ainsi que les responsables des ports sur les travaux à venir et la nécessité de mobiliser les acteurs plus ciblés par les 2 composantes du projet. A l’insu de la réunion, </w:t>
      </w:r>
      <w:r>
        <w:rPr>
          <w:rFonts w:ascii="Verdana" w:hAnsi="Verdana" w:cstheme="minorHAnsi"/>
          <w:bCs/>
          <w:iCs/>
          <w:sz w:val="20"/>
          <w:szCs w:val="20"/>
        </w:rPr>
        <w:t xml:space="preserve">il a été agréé ce qui suit : </w:t>
      </w:r>
    </w:p>
    <w:p w14:paraId="0A74EDDE" w14:textId="77777777" w:rsidR="0078336B" w:rsidRPr="0037427D" w:rsidRDefault="0078336B" w:rsidP="0078336B">
      <w:pPr>
        <w:pStyle w:val="Paragraphedeliste"/>
        <w:numPr>
          <w:ilvl w:val="0"/>
          <w:numId w:val="15"/>
        </w:numPr>
        <w:spacing w:after="200" w:line="276" w:lineRule="auto"/>
        <w:jc w:val="both"/>
        <w:rPr>
          <w:rFonts w:ascii="Verdana" w:hAnsi="Verdana" w:cstheme="minorHAnsi"/>
          <w:bCs/>
          <w:iCs/>
          <w:sz w:val="20"/>
          <w:szCs w:val="20"/>
        </w:rPr>
      </w:pPr>
      <w:r>
        <w:rPr>
          <w:rFonts w:ascii="Verdana" w:hAnsi="Verdana" w:cstheme="minorHAnsi"/>
          <w:bCs/>
          <w:iCs/>
          <w:sz w:val="20"/>
          <w:szCs w:val="20"/>
        </w:rPr>
        <w:t>Une nouvelle</w:t>
      </w:r>
      <w:r w:rsidRPr="0037427D">
        <w:rPr>
          <w:rFonts w:ascii="Verdana" w:hAnsi="Verdana" w:cstheme="minorHAnsi"/>
          <w:bCs/>
          <w:iCs/>
          <w:sz w:val="20"/>
          <w:szCs w:val="20"/>
        </w:rPr>
        <w:t xml:space="preserve"> réunion technique régionale les 17 et 18 février 2022, avec un jour dédié à chaque composante du projet </w:t>
      </w:r>
      <w:r>
        <w:rPr>
          <w:rFonts w:ascii="Verdana" w:hAnsi="Verdana" w:cstheme="minorHAnsi"/>
          <w:bCs/>
          <w:iCs/>
          <w:sz w:val="20"/>
          <w:szCs w:val="20"/>
        </w:rPr>
        <w:t>(</w:t>
      </w:r>
      <w:r w:rsidRPr="0037427D">
        <w:rPr>
          <w:rFonts w:ascii="Verdana" w:hAnsi="Verdana" w:cstheme="minorHAnsi"/>
          <w:bCs/>
          <w:iCs/>
          <w:sz w:val="20"/>
          <w:szCs w:val="20"/>
        </w:rPr>
        <w:t>le suivi du commerce et le guichet unique</w:t>
      </w:r>
      <w:r>
        <w:rPr>
          <w:rFonts w:ascii="Verdana" w:hAnsi="Verdana" w:cstheme="minorHAnsi"/>
          <w:bCs/>
          <w:iCs/>
          <w:sz w:val="20"/>
          <w:szCs w:val="20"/>
        </w:rPr>
        <w:t>)</w:t>
      </w:r>
      <w:r w:rsidRPr="0037427D">
        <w:rPr>
          <w:rFonts w:ascii="Verdana" w:hAnsi="Verdana" w:cstheme="minorHAnsi"/>
          <w:bCs/>
          <w:iCs/>
          <w:sz w:val="20"/>
          <w:szCs w:val="20"/>
        </w:rPr>
        <w:t xml:space="preserve"> avec la participation des acteurs ciblés</w:t>
      </w:r>
      <w:r>
        <w:rPr>
          <w:rFonts w:ascii="Verdana" w:hAnsi="Verdana" w:cstheme="minorHAnsi"/>
          <w:bCs/>
          <w:iCs/>
          <w:sz w:val="20"/>
          <w:szCs w:val="20"/>
        </w:rPr>
        <w:t xml:space="preserve"> </w:t>
      </w:r>
      <w:r w:rsidRPr="0037427D">
        <w:rPr>
          <w:rFonts w:ascii="Verdana" w:hAnsi="Verdana" w:cstheme="minorHAnsi"/>
          <w:bCs/>
          <w:iCs/>
          <w:sz w:val="20"/>
          <w:szCs w:val="20"/>
        </w:rPr>
        <w:t>;</w:t>
      </w:r>
    </w:p>
    <w:p w14:paraId="2792BEDD" w14:textId="77777777" w:rsidR="0078336B" w:rsidRPr="0037427D" w:rsidRDefault="0078336B" w:rsidP="0078336B">
      <w:pPr>
        <w:pStyle w:val="Paragraphedeliste"/>
        <w:numPr>
          <w:ilvl w:val="0"/>
          <w:numId w:val="15"/>
        </w:numPr>
        <w:spacing w:after="200" w:line="276" w:lineRule="auto"/>
        <w:jc w:val="both"/>
        <w:rPr>
          <w:rFonts w:ascii="Verdana" w:hAnsi="Verdana" w:cstheme="minorHAnsi"/>
          <w:bCs/>
          <w:iCs/>
          <w:sz w:val="20"/>
          <w:szCs w:val="20"/>
        </w:rPr>
      </w:pPr>
      <w:r>
        <w:rPr>
          <w:rFonts w:ascii="Verdana" w:hAnsi="Verdana" w:cstheme="minorHAnsi"/>
          <w:bCs/>
          <w:iCs/>
          <w:sz w:val="20"/>
          <w:szCs w:val="20"/>
        </w:rPr>
        <w:t>Une mobilisation accrue des membres de chacun d</w:t>
      </w:r>
      <w:r w:rsidRPr="0037427D">
        <w:rPr>
          <w:rFonts w:ascii="Verdana" w:hAnsi="Verdana" w:cstheme="minorHAnsi"/>
          <w:bCs/>
          <w:iCs/>
          <w:sz w:val="20"/>
          <w:szCs w:val="20"/>
        </w:rPr>
        <w:t>es organisations associatives (PMAESA, Cap-BOI et l’APIOI) pour l</w:t>
      </w:r>
      <w:r>
        <w:rPr>
          <w:rFonts w:ascii="Verdana" w:hAnsi="Verdana" w:cstheme="minorHAnsi"/>
          <w:bCs/>
          <w:iCs/>
          <w:sz w:val="20"/>
          <w:szCs w:val="20"/>
        </w:rPr>
        <w:t>eur pleine implication dans les travaux</w:t>
      </w:r>
    </w:p>
    <w:p w14:paraId="7359736F" w14:textId="43B0DA62" w:rsidR="00F4060F" w:rsidRPr="00DB5632" w:rsidRDefault="0078336B" w:rsidP="0078336B">
      <w:pPr>
        <w:pStyle w:val="Paragraphe"/>
      </w:pPr>
      <w:r w:rsidRPr="00BE23FA">
        <w:t>Les retomb</w:t>
      </w:r>
      <w:r>
        <w:t>é</w:t>
      </w:r>
      <w:r w:rsidRPr="00BE23FA">
        <w:t xml:space="preserve">s de ces travaux permettront l’organisation </w:t>
      </w:r>
      <w:r>
        <w:t xml:space="preserve">de deux réunions de travail en mars 2022 pour finaliser le </w:t>
      </w:r>
      <w:r>
        <w:rPr>
          <w:rFonts w:cstheme="minorHAnsi"/>
          <w:iCs/>
        </w:rPr>
        <w:t>plan de travail</w:t>
      </w:r>
      <w:r>
        <w:t xml:space="preserve"> et la mise sur place du Comité technique régionale sur la connectivité maritime de la région Afrique Austral et Oriental et Océan Indien.</w:t>
      </w:r>
    </w:p>
    <w:p w14:paraId="004F8498" w14:textId="7F3EDBFB" w:rsidR="00955BB3" w:rsidRDefault="00955BB3" w:rsidP="0008468B">
      <w:pPr>
        <w:pStyle w:val="Paragraphedeliste"/>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A206295" w14:textId="041D429A" w:rsidR="00A76B07" w:rsidRPr="008B00B7" w:rsidRDefault="0008468B" w:rsidP="008B00B7">
      <w:pPr>
        <w:pStyle w:val="Paragraphe"/>
      </w:pPr>
      <w:r w:rsidRPr="004F5C4B">
        <w:t>Le Comité des OPL</w:t>
      </w:r>
      <w:r w:rsidR="00A76B07" w:rsidRPr="004F5C4B">
        <w:t xml:space="preserve"> </w:t>
      </w:r>
      <w:r w:rsidR="004A1F09">
        <w:t xml:space="preserve">prend note des informations fournies et </w:t>
      </w:r>
      <w:r w:rsidR="008B00B7">
        <w:t>propose l’inclusion de cette fiche au programme</w:t>
      </w:r>
      <w:r w:rsidR="00C66A45">
        <w:t xml:space="preserve"> du 36</w:t>
      </w:r>
      <w:r w:rsidR="00C66A45" w:rsidRPr="00C66A45">
        <w:rPr>
          <w:vertAlign w:val="superscript"/>
        </w:rPr>
        <w:t>e</w:t>
      </w:r>
      <w:r w:rsidR="00C66A45">
        <w:t xml:space="preserve"> Conseil des ministres pour information. </w:t>
      </w:r>
    </w:p>
    <w:bookmarkEnd w:id="0"/>
    <w:sectPr w:rsidR="00A76B07" w:rsidRPr="008B00B7" w:rsidSect="002428B5">
      <w:headerReference w:type="default" r:id="rId7"/>
      <w:footerReference w:type="default" r:id="rId8"/>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DB70" w14:textId="77777777" w:rsidR="00CF5DE1" w:rsidRDefault="00CF5DE1">
      <w:pPr>
        <w:spacing w:after="0" w:line="240" w:lineRule="auto"/>
      </w:pPr>
      <w:r>
        <w:separator/>
      </w:r>
    </w:p>
  </w:endnote>
  <w:endnote w:type="continuationSeparator" w:id="0">
    <w:p w14:paraId="6245298C" w14:textId="77777777" w:rsidR="00CF5DE1" w:rsidRDefault="00CF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BF55" w14:textId="77777777" w:rsidR="00CF5DE1" w:rsidRDefault="00CF5DE1">
      <w:pPr>
        <w:spacing w:after="0" w:line="240" w:lineRule="auto"/>
      </w:pPr>
      <w:r>
        <w:separator/>
      </w:r>
    </w:p>
  </w:footnote>
  <w:footnote w:type="continuationSeparator" w:id="0">
    <w:p w14:paraId="4AD29B62" w14:textId="77777777" w:rsidR="00CF5DE1" w:rsidRDefault="00CF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18E1DA18"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D7433D">
      <w:rPr>
        <w:rFonts w:ascii="Verdana" w:hAnsi="Verdana"/>
        <w:b/>
        <w:bCs/>
        <w:sz w:val="20"/>
        <w:szCs w:val="20"/>
      </w:rPr>
      <w:t>3.2.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C50426"/>
    <w:multiLevelType w:val="hybridMultilevel"/>
    <w:tmpl w:val="AABEA5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1F1F73"/>
    <w:multiLevelType w:val="hybridMultilevel"/>
    <w:tmpl w:val="4D8EA7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B80EA7"/>
    <w:multiLevelType w:val="hybridMultilevel"/>
    <w:tmpl w:val="92B00D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210544"/>
    <w:multiLevelType w:val="hybridMultilevel"/>
    <w:tmpl w:val="76284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C1017E"/>
    <w:multiLevelType w:val="hybridMultilevel"/>
    <w:tmpl w:val="EF8ED1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3547F9"/>
    <w:multiLevelType w:val="hybridMultilevel"/>
    <w:tmpl w:val="C6C408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EF30F4"/>
    <w:multiLevelType w:val="hybridMultilevel"/>
    <w:tmpl w:val="7C5C40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D25773"/>
    <w:multiLevelType w:val="hybridMultilevel"/>
    <w:tmpl w:val="3F202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F61056"/>
    <w:multiLevelType w:val="hybridMultilevel"/>
    <w:tmpl w:val="E452D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5"/>
  </w:num>
  <w:num w:numId="4">
    <w:abstractNumId w:val="0"/>
  </w:num>
  <w:num w:numId="5">
    <w:abstractNumId w:val="15"/>
  </w:num>
  <w:num w:numId="6">
    <w:abstractNumId w:val="7"/>
  </w:num>
  <w:num w:numId="7">
    <w:abstractNumId w:val="10"/>
  </w:num>
  <w:num w:numId="8">
    <w:abstractNumId w:val="5"/>
    <w:lvlOverride w:ilvl="0">
      <w:startOverride w:val="1"/>
    </w:lvlOverride>
  </w:num>
  <w:num w:numId="9">
    <w:abstractNumId w:val="4"/>
  </w:num>
  <w:num w:numId="10">
    <w:abstractNumId w:val="3"/>
  </w:num>
  <w:num w:numId="11">
    <w:abstractNumId w:val="2"/>
  </w:num>
  <w:num w:numId="12">
    <w:abstractNumId w:val="1"/>
  </w:num>
  <w:num w:numId="13">
    <w:abstractNumId w:val="11"/>
  </w:num>
  <w:num w:numId="14">
    <w:abstractNumId w:val="12"/>
  </w:num>
  <w:num w:numId="15">
    <w:abstractNumId w:val="9"/>
  </w:num>
  <w:num w:numId="16">
    <w:abstractNumId w:val="14"/>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468A"/>
    <w:rsid w:val="000B0FBD"/>
    <w:rsid w:val="000F4728"/>
    <w:rsid w:val="00107D9D"/>
    <w:rsid w:val="0017619D"/>
    <w:rsid w:val="0018252D"/>
    <w:rsid w:val="001A56F1"/>
    <w:rsid w:val="001B4738"/>
    <w:rsid w:val="002428B5"/>
    <w:rsid w:val="002750E9"/>
    <w:rsid w:val="002A0933"/>
    <w:rsid w:val="002A096E"/>
    <w:rsid w:val="002C56ED"/>
    <w:rsid w:val="002F61F7"/>
    <w:rsid w:val="00321037"/>
    <w:rsid w:val="003604B9"/>
    <w:rsid w:val="003609BF"/>
    <w:rsid w:val="003754F6"/>
    <w:rsid w:val="003772FB"/>
    <w:rsid w:val="00391152"/>
    <w:rsid w:val="003C2538"/>
    <w:rsid w:val="003D485F"/>
    <w:rsid w:val="003D5328"/>
    <w:rsid w:val="003D5DE2"/>
    <w:rsid w:val="003E4AC8"/>
    <w:rsid w:val="0041278C"/>
    <w:rsid w:val="00417683"/>
    <w:rsid w:val="00426673"/>
    <w:rsid w:val="004607F7"/>
    <w:rsid w:val="00482CA1"/>
    <w:rsid w:val="004A1F09"/>
    <w:rsid w:val="004F5C4B"/>
    <w:rsid w:val="004F7431"/>
    <w:rsid w:val="0053773D"/>
    <w:rsid w:val="00620B90"/>
    <w:rsid w:val="006356AF"/>
    <w:rsid w:val="006548BF"/>
    <w:rsid w:val="00660504"/>
    <w:rsid w:val="006C2DCE"/>
    <w:rsid w:val="006E2D9E"/>
    <w:rsid w:val="0078336B"/>
    <w:rsid w:val="00790CDD"/>
    <w:rsid w:val="007B245C"/>
    <w:rsid w:val="007C4B57"/>
    <w:rsid w:val="007C78FC"/>
    <w:rsid w:val="00816DAC"/>
    <w:rsid w:val="00824D28"/>
    <w:rsid w:val="0083290E"/>
    <w:rsid w:val="00843FF2"/>
    <w:rsid w:val="008453AB"/>
    <w:rsid w:val="00854EEA"/>
    <w:rsid w:val="008551DA"/>
    <w:rsid w:val="00857F25"/>
    <w:rsid w:val="00865755"/>
    <w:rsid w:val="00871BA0"/>
    <w:rsid w:val="008B00B7"/>
    <w:rsid w:val="008D193F"/>
    <w:rsid w:val="008F173C"/>
    <w:rsid w:val="00905A7A"/>
    <w:rsid w:val="00955BB3"/>
    <w:rsid w:val="009A38AD"/>
    <w:rsid w:val="009D7154"/>
    <w:rsid w:val="00A148A1"/>
    <w:rsid w:val="00A25008"/>
    <w:rsid w:val="00A36C09"/>
    <w:rsid w:val="00A37C9F"/>
    <w:rsid w:val="00A70123"/>
    <w:rsid w:val="00A76B07"/>
    <w:rsid w:val="00A81B98"/>
    <w:rsid w:val="00A90305"/>
    <w:rsid w:val="00AA63A3"/>
    <w:rsid w:val="00AB51F9"/>
    <w:rsid w:val="00AB5EB7"/>
    <w:rsid w:val="00AD4D97"/>
    <w:rsid w:val="00AE2453"/>
    <w:rsid w:val="00AE2DB9"/>
    <w:rsid w:val="00B05DFC"/>
    <w:rsid w:val="00B36EEA"/>
    <w:rsid w:val="00BA4B55"/>
    <w:rsid w:val="00C12C93"/>
    <w:rsid w:val="00C325F5"/>
    <w:rsid w:val="00C457E8"/>
    <w:rsid w:val="00C609B9"/>
    <w:rsid w:val="00C66A45"/>
    <w:rsid w:val="00CE2386"/>
    <w:rsid w:val="00CF5DE1"/>
    <w:rsid w:val="00D7433D"/>
    <w:rsid w:val="00DB5632"/>
    <w:rsid w:val="00E32408"/>
    <w:rsid w:val="00E43C42"/>
    <w:rsid w:val="00E845D4"/>
    <w:rsid w:val="00EC22CC"/>
    <w:rsid w:val="00ED6B69"/>
    <w:rsid w:val="00EE34F4"/>
    <w:rsid w:val="00EE618F"/>
    <w:rsid w:val="00EF22A4"/>
    <w:rsid w:val="00F4060F"/>
    <w:rsid w:val="00F54EA0"/>
    <w:rsid w:val="00F75EC5"/>
    <w:rsid w:val="00F96EE9"/>
    <w:rsid w:val="00FE2666"/>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1508</Words>
  <Characters>8294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Mohabeer</dc:creator>
  <cp:keywords/>
  <dc:description/>
  <cp:lastModifiedBy>Gilles RIBOUET</cp:lastModifiedBy>
  <cp:revision>34</cp:revision>
  <dcterms:created xsi:type="dcterms:W3CDTF">2022-02-04T07:33:00Z</dcterms:created>
  <dcterms:modified xsi:type="dcterms:W3CDTF">2022-02-04T08:01:00Z</dcterms:modified>
</cp:coreProperties>
</file>