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36398130" w:rsidR="00EC22CC" w:rsidRDefault="00001598" w:rsidP="00854EEA">
            <w:pPr>
              <w:jc w:val="center"/>
              <w:rPr>
                <w:rFonts w:ascii="Verdana" w:hAnsi="Verdana"/>
                <w:b/>
                <w:bCs/>
                <w:sz w:val="20"/>
                <w:szCs w:val="20"/>
              </w:rPr>
            </w:pPr>
            <w:r>
              <w:rPr>
                <w:rFonts w:ascii="Verdana" w:hAnsi="Verdana"/>
                <w:b/>
                <w:bCs/>
              </w:rPr>
              <w:t>Sécurité maritime</w:t>
            </w:r>
          </w:p>
        </w:tc>
      </w:tr>
      <w:tr w:rsidR="00EC22CC" w14:paraId="7F1B63D2" w14:textId="77777777" w:rsidTr="002A0933">
        <w:tc>
          <w:tcPr>
            <w:tcW w:w="7225" w:type="dxa"/>
          </w:tcPr>
          <w:p w14:paraId="056D9B10" w14:textId="4B424B00" w:rsidR="00EC22CC" w:rsidRPr="002A096E" w:rsidRDefault="00001598" w:rsidP="002A096E">
            <w:pPr>
              <w:rPr>
                <w:rFonts w:ascii="Verdana" w:hAnsi="Verdana"/>
                <w:sz w:val="20"/>
                <w:szCs w:val="20"/>
              </w:rPr>
            </w:pPr>
            <w:r>
              <w:rPr>
                <w:rFonts w:ascii="Verdana" w:hAnsi="Verdana"/>
                <w:sz w:val="20"/>
                <w:szCs w:val="20"/>
              </w:rPr>
              <w:t>Comité des OPL</w:t>
            </w:r>
            <w:r w:rsidR="00885FBF">
              <w:rPr>
                <w:rFonts w:ascii="Verdana" w:hAnsi="Verdana"/>
                <w:sz w:val="20"/>
                <w:szCs w:val="20"/>
              </w:rPr>
              <w:t xml:space="preserve"> préparatoire au 36</w:t>
            </w:r>
            <w:r w:rsidR="00885FBF" w:rsidRPr="00885FBF">
              <w:rPr>
                <w:rFonts w:ascii="Verdana" w:hAnsi="Verdana"/>
                <w:sz w:val="20"/>
                <w:szCs w:val="20"/>
                <w:vertAlign w:val="superscript"/>
              </w:rPr>
              <w:t>e</w:t>
            </w:r>
            <w:r w:rsidR="00885FBF">
              <w:rPr>
                <w:rFonts w:ascii="Verdana" w:hAnsi="Verdana"/>
                <w:sz w:val="20"/>
                <w:szCs w:val="20"/>
              </w:rPr>
              <w:t xml:space="preserve"> Conseil | 8-9 février 2022</w:t>
            </w:r>
          </w:p>
        </w:tc>
        <w:tc>
          <w:tcPr>
            <w:tcW w:w="1837" w:type="dxa"/>
          </w:tcPr>
          <w:p w14:paraId="58E25D1F" w14:textId="0E1B7FB4"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001598">
              <w:rPr>
                <w:rFonts w:ascii="Verdana" w:hAnsi="Verdana"/>
                <w:sz w:val="20"/>
                <w:szCs w:val="20"/>
              </w:rPr>
              <w:t>3.1.</w:t>
            </w:r>
          </w:p>
        </w:tc>
      </w:tr>
      <w:tr w:rsidR="00EC22CC" w14:paraId="537D1DE5" w14:textId="77777777" w:rsidTr="002A0933">
        <w:tc>
          <w:tcPr>
            <w:tcW w:w="7225" w:type="dxa"/>
          </w:tcPr>
          <w:p w14:paraId="43DEF09E" w14:textId="52CEFED4"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001598">
              <w:rPr>
                <w:rFonts w:ascii="Verdana" w:hAnsi="Verdana"/>
                <w:sz w:val="20"/>
                <w:szCs w:val="20"/>
              </w:rPr>
              <w:t xml:space="preserve">Raj </w:t>
            </w:r>
            <w:proofErr w:type="spellStart"/>
            <w:r w:rsidR="00001598">
              <w:rPr>
                <w:rFonts w:ascii="Verdana" w:hAnsi="Verdana"/>
                <w:sz w:val="20"/>
                <w:szCs w:val="20"/>
              </w:rPr>
              <w:t>Mohabeer</w:t>
            </w:r>
            <w:proofErr w:type="spellEnd"/>
            <w:r w:rsidR="00001598">
              <w:rPr>
                <w:rFonts w:ascii="Verdana" w:hAnsi="Verdana"/>
                <w:sz w:val="20"/>
                <w:szCs w:val="20"/>
              </w:rPr>
              <w:t>, chargé de mission</w:t>
            </w:r>
          </w:p>
        </w:tc>
        <w:tc>
          <w:tcPr>
            <w:tcW w:w="1837" w:type="dxa"/>
          </w:tcPr>
          <w:p w14:paraId="5AC1AFAB" w14:textId="7C991368" w:rsidR="00EC22CC" w:rsidRPr="002A0933" w:rsidRDefault="004607F7" w:rsidP="00854EEA">
            <w:pPr>
              <w:jc w:val="center"/>
              <w:rPr>
                <w:rFonts w:ascii="Verdana" w:hAnsi="Verdana"/>
                <w:sz w:val="20"/>
                <w:szCs w:val="20"/>
              </w:rPr>
            </w:pPr>
            <w:r w:rsidRPr="004607F7">
              <w:rPr>
                <w:rFonts w:ascii="Verdana" w:hAnsi="Verdana"/>
                <w:sz w:val="20"/>
                <w:szCs w:val="20"/>
                <w:highlight w:val="yellow"/>
              </w:rPr>
              <w:t xml:space="preserve">Décision </w:t>
            </w:r>
          </w:p>
        </w:tc>
      </w:tr>
      <w:tr w:rsidR="00A90305" w14:paraId="6896DB30" w14:textId="77777777" w:rsidTr="009F5233">
        <w:tc>
          <w:tcPr>
            <w:tcW w:w="9062" w:type="dxa"/>
            <w:gridSpan w:val="2"/>
          </w:tcPr>
          <w:p w14:paraId="0495241B" w14:textId="55CFEACB" w:rsidR="00A90305" w:rsidRDefault="00A90305" w:rsidP="00A90305">
            <w:pPr>
              <w:rPr>
                <w:rFonts w:ascii="Verdana" w:hAnsi="Verdana"/>
                <w:sz w:val="20"/>
                <w:szCs w:val="20"/>
              </w:rPr>
            </w:pPr>
            <w:r>
              <w:rPr>
                <w:rFonts w:ascii="Verdana" w:hAnsi="Verdana"/>
                <w:i/>
                <w:iCs/>
                <w:sz w:val="20"/>
                <w:szCs w:val="20"/>
              </w:rPr>
              <w:t xml:space="preserve">Version du </w:t>
            </w:r>
            <w:r w:rsidR="00885FBF">
              <w:rPr>
                <w:rFonts w:ascii="Verdana" w:hAnsi="Verdana"/>
                <w:i/>
                <w:iCs/>
                <w:sz w:val="20"/>
                <w:szCs w:val="20"/>
              </w:rPr>
              <w:t>25 janvier 2022</w:t>
            </w:r>
            <w:r>
              <w:rPr>
                <w:rFonts w:ascii="Verdana" w:hAnsi="Verdana"/>
                <w:i/>
                <w:iCs/>
                <w:sz w:val="20"/>
                <w:szCs w:val="20"/>
              </w:rPr>
              <w:t xml:space="preserve"> </w:t>
            </w:r>
          </w:p>
        </w:tc>
      </w:tr>
    </w:tbl>
    <w:p w14:paraId="1611BCC4" w14:textId="77777777" w:rsidR="00854EEA" w:rsidRDefault="00854EEA" w:rsidP="00816DAC">
      <w:pPr>
        <w:pStyle w:val="Paragraphe"/>
      </w:pPr>
      <w:bookmarkStart w:id="0" w:name="_Hlk24535240"/>
    </w:p>
    <w:p w14:paraId="678F0DFC" w14:textId="3923B394" w:rsidR="00854EEA" w:rsidRPr="0008468B" w:rsidRDefault="00955BB3" w:rsidP="00A70123">
      <w:pPr>
        <w:pStyle w:val="Titrepartie"/>
      </w:pPr>
      <w:r w:rsidRPr="0008468B">
        <w:t>Résumé</w:t>
      </w:r>
    </w:p>
    <w:p w14:paraId="4E747A8D" w14:textId="77777777" w:rsidR="005869C9" w:rsidRPr="000E585D" w:rsidRDefault="00065808" w:rsidP="005869C9">
      <w:pPr>
        <w:pStyle w:val="Paragraphe"/>
      </w:pPr>
      <w:r w:rsidRPr="000E585D">
        <w:t xml:space="preserve">2022 </w:t>
      </w:r>
      <w:proofErr w:type="gramStart"/>
      <w:r w:rsidRPr="000E585D">
        <w:t>marque</w:t>
      </w:r>
      <w:proofErr w:type="gramEnd"/>
      <w:r w:rsidRPr="000E585D">
        <w:t xml:space="preserve"> un tournant décisif pour la pleine mise en opération de l’Architecture de sécurité maritime de l’Indianocéanie (ASMI). Dès cette année, il convient de mobiliser des moyens pour assurer la continuité du processus sans rupture. Pour cela, la dernière réunion du Conseil a donné mandat au Secrétariat général d’engager les discussions avec les partenaires, au premier chef desquels l’Union européenne qui finance le programme MASE. </w:t>
      </w:r>
      <w:r w:rsidR="005869C9" w:rsidRPr="000E585D">
        <w:t xml:space="preserve">La proposition en cours d’élaboration par le Secrétariat général dans le cadre de la gouvernance des deux Accords MASE concerne les composantes suivantes : </w:t>
      </w:r>
    </w:p>
    <w:p w14:paraId="1FEFC7D2" w14:textId="478674BF" w:rsidR="005869C9" w:rsidRPr="000E585D" w:rsidRDefault="005869C9" w:rsidP="005869C9">
      <w:pPr>
        <w:pStyle w:val="Paragraphe"/>
        <w:numPr>
          <w:ilvl w:val="0"/>
          <w:numId w:val="12"/>
        </w:numPr>
      </w:pPr>
      <w:r w:rsidRPr="000E585D">
        <w:t>Renforcement</w:t>
      </w:r>
      <w:r w:rsidRPr="000E585D">
        <w:t xml:space="preserve"> de la capacité des Etats signataires pour leur pleine participation (processus internes (stratégies et coordination nationales et exercices), structures (centres nationaux et ressources humaines), base et capacité légales, </w:t>
      </w:r>
    </w:p>
    <w:p w14:paraId="4CD1951C" w14:textId="22A7082F" w:rsidR="005869C9" w:rsidRPr="000E585D" w:rsidRDefault="005869C9" w:rsidP="005869C9">
      <w:pPr>
        <w:pStyle w:val="Paragraphe"/>
        <w:numPr>
          <w:ilvl w:val="0"/>
          <w:numId w:val="12"/>
        </w:numPr>
      </w:pPr>
      <w:r w:rsidRPr="000E585D">
        <w:t>Amélioration</w:t>
      </w:r>
      <w:r w:rsidRPr="000E585D">
        <w:t xml:space="preserve"> d’équipements et des ressources humaines du Centre régional de fusion d’information maritime (CRFIM) et du Centre régional de coordination opérationnelle (CRCO), des centres nationaux et </w:t>
      </w:r>
      <w:r w:rsidRPr="000E585D">
        <w:t>leur mise</w:t>
      </w:r>
      <w:r w:rsidRPr="000E585D">
        <w:t xml:space="preserve"> en réseau </w:t>
      </w:r>
      <w:r w:rsidRPr="000E585D">
        <w:t>sécurisé,</w:t>
      </w:r>
      <w:r w:rsidRPr="000E585D">
        <w:t xml:space="preserve"> </w:t>
      </w:r>
    </w:p>
    <w:p w14:paraId="1F523A80" w14:textId="630FF602" w:rsidR="005869C9" w:rsidRPr="000E585D" w:rsidRDefault="005869C9" w:rsidP="005869C9">
      <w:pPr>
        <w:pStyle w:val="Paragraphe"/>
        <w:numPr>
          <w:ilvl w:val="0"/>
          <w:numId w:val="12"/>
        </w:numPr>
      </w:pPr>
      <w:r w:rsidRPr="000E585D">
        <w:t>Appui</w:t>
      </w:r>
      <w:r w:rsidRPr="000E585D">
        <w:t xml:space="preserve"> à l’action régionale coordonnée en mer,</w:t>
      </w:r>
    </w:p>
    <w:p w14:paraId="309B067C" w14:textId="7ED89EA5" w:rsidR="005869C9" w:rsidRPr="000E585D" w:rsidRDefault="005869C9" w:rsidP="005869C9">
      <w:pPr>
        <w:pStyle w:val="Paragraphe"/>
        <w:numPr>
          <w:ilvl w:val="0"/>
          <w:numId w:val="12"/>
        </w:numPr>
      </w:pPr>
      <w:r w:rsidRPr="000E585D">
        <w:t>Mise</w:t>
      </w:r>
      <w:r w:rsidRPr="000E585D">
        <w:t xml:space="preserve"> en œuvre et l’approfondissement de l’ASMI sur chacun des secteurs d’intérêt énoncés dans les Accords MASE, avec une composante spécifique pour la mise en œuvre du Plan d’Action </w:t>
      </w:r>
      <w:proofErr w:type="spellStart"/>
      <w:r w:rsidRPr="000E585D">
        <w:t>Polmar</w:t>
      </w:r>
      <w:proofErr w:type="spellEnd"/>
      <w:r w:rsidRPr="000E585D">
        <w:t xml:space="preserve"> déjà adopté, ainsi que celui sur la sécurité des câbles optiques, </w:t>
      </w:r>
    </w:p>
    <w:p w14:paraId="46548F8C" w14:textId="7975EDAA" w:rsidR="005869C9" w:rsidRPr="000E585D" w:rsidRDefault="005869C9" w:rsidP="005869C9">
      <w:pPr>
        <w:pStyle w:val="Paragraphe"/>
        <w:numPr>
          <w:ilvl w:val="0"/>
          <w:numId w:val="12"/>
        </w:numPr>
      </w:pPr>
      <w:r w:rsidRPr="000E585D">
        <w:t>Élargissement</w:t>
      </w:r>
      <w:r w:rsidRPr="000E585D">
        <w:t xml:space="preserve"> de l’ASMI à l’Afrique, l’océan Indien et la zone Pacifique,</w:t>
      </w:r>
    </w:p>
    <w:p w14:paraId="3513D928" w14:textId="6AC6EB54" w:rsidR="005869C9" w:rsidRDefault="005869C9" w:rsidP="005869C9">
      <w:pPr>
        <w:pStyle w:val="Paragraphe"/>
        <w:numPr>
          <w:ilvl w:val="0"/>
          <w:numId w:val="12"/>
        </w:numPr>
      </w:pPr>
      <w:r w:rsidRPr="000E585D">
        <w:t>Appui</w:t>
      </w:r>
      <w:r w:rsidRPr="000E585D">
        <w:t xml:space="preserve"> et coordination Groupe de contact sur les crimes et la sécurité maritime dans la région de l’océan Indien Occidental – anciennement CGPCS prioritairement centré sur la lutte contre la piraterie. </w:t>
      </w:r>
    </w:p>
    <w:p w14:paraId="0613C8E3" w14:textId="62346B8C" w:rsidR="00065808" w:rsidRPr="000E585D" w:rsidRDefault="001F2184" w:rsidP="00065808">
      <w:pPr>
        <w:pStyle w:val="Paragraphe"/>
      </w:pPr>
      <w:r>
        <w:t xml:space="preserve">Le programme serait ouvert à une participation d’autres pays avoisinants. </w:t>
      </w:r>
    </w:p>
    <w:p w14:paraId="29AD1400" w14:textId="2BB62770" w:rsidR="0041278C" w:rsidRPr="0041278C" w:rsidRDefault="0008468B" w:rsidP="00CE2386">
      <w:pPr>
        <w:pStyle w:val="Paragraphe"/>
      </w:pPr>
      <w:r>
        <w:t xml:space="preserve"> </w:t>
      </w:r>
    </w:p>
    <w:p w14:paraId="68009DDB" w14:textId="5A332AAB" w:rsidR="0008468B" w:rsidRPr="0008468B" w:rsidRDefault="00A22170" w:rsidP="00A70123">
      <w:pPr>
        <w:pStyle w:val="Titrepartie"/>
      </w:pPr>
      <w:r>
        <w:t xml:space="preserve">Champs d’action proposés </w:t>
      </w:r>
      <w:r w:rsidR="00331BF2">
        <w:t>pour une suite au programme MASE</w:t>
      </w:r>
    </w:p>
    <w:p w14:paraId="7E198EC3" w14:textId="22FD19BF" w:rsidR="00426673" w:rsidRDefault="001F2184" w:rsidP="0008468B">
      <w:pPr>
        <w:jc w:val="both"/>
        <w:rPr>
          <w:rFonts w:ascii="Verdana" w:hAnsi="Verdana" w:cs="Calibri"/>
          <w:sz w:val="20"/>
          <w:szCs w:val="20"/>
        </w:rPr>
      </w:pPr>
      <w:r>
        <w:rPr>
          <w:rFonts w:ascii="Verdana" w:hAnsi="Verdana" w:cs="Calibri"/>
          <w:sz w:val="20"/>
          <w:szCs w:val="20"/>
        </w:rPr>
        <w:t xml:space="preserve">Les éléments du programme en cours de formulation sont détaillés dans les sous-sections suivantes : </w:t>
      </w:r>
    </w:p>
    <w:p w14:paraId="7991C31A" w14:textId="77777777" w:rsidR="008D786F" w:rsidRPr="008D786F" w:rsidRDefault="001C032B" w:rsidP="001C032B">
      <w:pPr>
        <w:pStyle w:val="Sous-partie2"/>
        <w:rPr>
          <w:shd w:val="clear" w:color="auto" w:fill="FFFFFF"/>
        </w:rPr>
      </w:pPr>
      <w:r w:rsidRPr="000E585D">
        <w:t>Renforcement de la capacité des Etats signataires</w:t>
      </w:r>
      <w:r w:rsidR="008D786F">
        <w:t xml:space="preserve"> des Accords MASE</w:t>
      </w:r>
    </w:p>
    <w:p w14:paraId="2FDA6CDD" w14:textId="42A8BDB8" w:rsidR="001C032B" w:rsidRPr="00926B53" w:rsidRDefault="001C032B" w:rsidP="008D786F">
      <w:pPr>
        <w:pStyle w:val="Paragraphe"/>
      </w:pPr>
      <w:r w:rsidRPr="000E585D">
        <w:t>L’ASMI, issue des deux accords MASE,</w:t>
      </w:r>
      <w:r w:rsidRPr="000E585D">
        <w:rPr>
          <w:bCs/>
        </w:rPr>
        <w:t xml:space="preserve"> </w:t>
      </w:r>
      <w:r w:rsidRPr="000E585D">
        <w:t xml:space="preserve">doit être </w:t>
      </w:r>
      <w:r w:rsidR="008D786F">
        <w:t xml:space="preserve">pleinement appropriée et </w:t>
      </w:r>
      <w:r w:rsidR="00926B53">
        <w:t xml:space="preserve">dirigée </w:t>
      </w:r>
      <w:r w:rsidRPr="000E585D">
        <w:t>par les Etats signataires</w:t>
      </w:r>
      <w:r w:rsidR="00926B53">
        <w:t>. Cependant,</w:t>
      </w:r>
      <w:r w:rsidRPr="000E585D">
        <w:t xml:space="preserve"> sa pleine opérationnalisation repose sur la capacité de ceux-ci à y jouer leurs rôles d’une manière efficace</w:t>
      </w:r>
      <w:r w:rsidR="00926B53">
        <w:t xml:space="preserve">. </w:t>
      </w:r>
      <w:r>
        <w:t xml:space="preserve"> </w:t>
      </w:r>
    </w:p>
    <w:p w14:paraId="56362854" w14:textId="5357D8C0" w:rsidR="00E321E2" w:rsidRPr="000E585D" w:rsidRDefault="00E321E2" w:rsidP="00E321E2">
      <w:pPr>
        <w:jc w:val="both"/>
        <w:rPr>
          <w:rFonts w:ascii="Verdana" w:hAnsi="Verdana" w:cs="Segoe UI"/>
          <w:bCs/>
          <w:spacing w:val="6"/>
          <w:sz w:val="20"/>
          <w:szCs w:val="20"/>
        </w:rPr>
      </w:pPr>
      <w:r w:rsidRPr="000E585D">
        <w:rPr>
          <w:rFonts w:ascii="Verdana" w:hAnsi="Verdana" w:cs="Segoe UI"/>
          <w:b/>
          <w:spacing w:val="6"/>
          <w:sz w:val="20"/>
          <w:szCs w:val="20"/>
        </w:rPr>
        <w:t>Processus interne des pays :</w:t>
      </w:r>
      <w:r w:rsidRPr="000E585D">
        <w:rPr>
          <w:rFonts w:ascii="Verdana" w:hAnsi="Verdana" w:cs="Segoe UI"/>
          <w:bCs/>
          <w:spacing w:val="6"/>
          <w:sz w:val="20"/>
          <w:szCs w:val="20"/>
        </w:rPr>
        <w:t xml:space="preserve"> Le processus interne des pays </w:t>
      </w:r>
      <w:r w:rsidR="00DC5E66">
        <w:rPr>
          <w:rFonts w:ascii="Verdana" w:hAnsi="Verdana" w:cs="Segoe UI"/>
          <w:bCs/>
          <w:spacing w:val="6"/>
          <w:sz w:val="20"/>
          <w:szCs w:val="20"/>
        </w:rPr>
        <w:t xml:space="preserve">doit pouvoir </w:t>
      </w:r>
      <w:r w:rsidRPr="000E585D">
        <w:rPr>
          <w:rFonts w:ascii="Verdana" w:hAnsi="Verdana" w:cs="Segoe UI"/>
          <w:bCs/>
          <w:spacing w:val="6"/>
          <w:sz w:val="20"/>
          <w:szCs w:val="20"/>
        </w:rPr>
        <w:t>repose</w:t>
      </w:r>
      <w:r w:rsidR="00DC5E66">
        <w:rPr>
          <w:rFonts w:ascii="Verdana" w:hAnsi="Verdana" w:cs="Segoe UI"/>
          <w:bCs/>
          <w:spacing w:val="6"/>
          <w:sz w:val="20"/>
          <w:szCs w:val="20"/>
        </w:rPr>
        <w:t>r</w:t>
      </w:r>
      <w:r w:rsidRPr="000E585D">
        <w:rPr>
          <w:rFonts w:ascii="Verdana" w:hAnsi="Verdana" w:cs="Segoe UI"/>
          <w:bCs/>
          <w:spacing w:val="6"/>
          <w:sz w:val="20"/>
          <w:szCs w:val="20"/>
        </w:rPr>
        <w:t xml:space="preserve"> sur l’existence et</w:t>
      </w:r>
      <w:r w:rsidR="00DC5E66">
        <w:rPr>
          <w:rFonts w:ascii="Verdana" w:hAnsi="Verdana" w:cs="Segoe UI"/>
          <w:bCs/>
          <w:spacing w:val="6"/>
          <w:sz w:val="20"/>
          <w:szCs w:val="20"/>
        </w:rPr>
        <w:t>/ou</w:t>
      </w:r>
      <w:r w:rsidRPr="000E585D">
        <w:rPr>
          <w:rFonts w:ascii="Verdana" w:hAnsi="Verdana" w:cs="Segoe UI"/>
          <w:bCs/>
          <w:spacing w:val="6"/>
          <w:sz w:val="20"/>
          <w:szCs w:val="20"/>
        </w:rPr>
        <w:t xml:space="preserve"> la mise à jour d’une </w:t>
      </w:r>
      <w:r w:rsidRPr="000E585D">
        <w:rPr>
          <w:rFonts w:ascii="Verdana" w:hAnsi="Verdana" w:cs="Segoe UI"/>
          <w:b/>
          <w:spacing w:val="6"/>
          <w:sz w:val="20"/>
          <w:szCs w:val="20"/>
        </w:rPr>
        <w:t>stratégie nationale sur la sécurité maritime</w:t>
      </w:r>
      <w:r w:rsidRPr="000E585D">
        <w:rPr>
          <w:rFonts w:ascii="Verdana" w:hAnsi="Verdana" w:cs="Segoe UI"/>
          <w:bCs/>
          <w:spacing w:val="6"/>
          <w:sz w:val="20"/>
          <w:szCs w:val="20"/>
        </w:rPr>
        <w:t xml:space="preserve"> structurée autour d’</w:t>
      </w:r>
      <w:r w:rsidRPr="000E585D">
        <w:rPr>
          <w:rFonts w:ascii="Verdana" w:hAnsi="Verdana" w:cs="Segoe UI"/>
          <w:b/>
          <w:spacing w:val="6"/>
          <w:sz w:val="20"/>
          <w:szCs w:val="20"/>
        </w:rPr>
        <w:t>un comité national actif</w:t>
      </w:r>
      <w:r w:rsidRPr="000E585D">
        <w:rPr>
          <w:rFonts w:ascii="Verdana" w:hAnsi="Verdana" w:cs="Segoe UI"/>
          <w:bCs/>
          <w:spacing w:val="6"/>
          <w:sz w:val="20"/>
          <w:szCs w:val="20"/>
        </w:rPr>
        <w:t xml:space="preserve"> regroupant l’ensemble des acteurs concernés </w:t>
      </w:r>
      <w:r w:rsidR="00DC5E66">
        <w:rPr>
          <w:rFonts w:ascii="Verdana" w:hAnsi="Verdana" w:cs="Segoe UI"/>
          <w:bCs/>
          <w:spacing w:val="6"/>
          <w:sz w:val="20"/>
          <w:szCs w:val="20"/>
        </w:rPr>
        <w:t xml:space="preserve">et </w:t>
      </w:r>
      <w:r w:rsidRPr="000E585D">
        <w:rPr>
          <w:rFonts w:ascii="Verdana" w:hAnsi="Verdana" w:cs="Segoe UI"/>
          <w:bCs/>
          <w:spacing w:val="6"/>
          <w:sz w:val="20"/>
          <w:szCs w:val="20"/>
        </w:rPr>
        <w:t>ayant une</w:t>
      </w:r>
      <w:r w:rsidRPr="000E585D">
        <w:rPr>
          <w:rFonts w:ascii="Verdana" w:hAnsi="Verdana" w:cs="Segoe UI"/>
          <w:b/>
          <w:spacing w:val="6"/>
          <w:sz w:val="20"/>
          <w:szCs w:val="20"/>
        </w:rPr>
        <w:t xml:space="preserve"> connaissance avancée du domaine maritime</w:t>
      </w:r>
      <w:r w:rsidR="00DC5E66">
        <w:rPr>
          <w:rFonts w:ascii="Verdana" w:hAnsi="Verdana" w:cs="Segoe UI"/>
          <w:b/>
          <w:spacing w:val="6"/>
          <w:sz w:val="20"/>
          <w:szCs w:val="20"/>
        </w:rPr>
        <w:t xml:space="preserve">. </w:t>
      </w:r>
      <w:r w:rsidR="00DC5E66" w:rsidRPr="00DC5E66">
        <w:rPr>
          <w:rFonts w:ascii="Verdana" w:hAnsi="Verdana" w:cs="Segoe UI"/>
          <w:bCs/>
          <w:spacing w:val="6"/>
          <w:sz w:val="20"/>
          <w:szCs w:val="20"/>
        </w:rPr>
        <w:t>Ce comité</w:t>
      </w:r>
      <w:r w:rsidRPr="000E585D">
        <w:rPr>
          <w:rFonts w:ascii="Verdana" w:hAnsi="Verdana" w:cs="Segoe UI"/>
          <w:bCs/>
          <w:spacing w:val="6"/>
          <w:sz w:val="20"/>
          <w:szCs w:val="20"/>
        </w:rPr>
        <w:t xml:space="preserve"> </w:t>
      </w:r>
      <w:r w:rsidR="00B20E23">
        <w:rPr>
          <w:rFonts w:ascii="Verdana" w:hAnsi="Verdana" w:cs="Segoe UI"/>
          <w:bCs/>
          <w:spacing w:val="6"/>
          <w:sz w:val="20"/>
          <w:szCs w:val="20"/>
        </w:rPr>
        <w:t>doit pouvoir être</w:t>
      </w:r>
      <w:r w:rsidRPr="000E585D">
        <w:rPr>
          <w:rFonts w:ascii="Verdana" w:hAnsi="Verdana" w:cs="Segoe UI"/>
          <w:bCs/>
          <w:spacing w:val="6"/>
          <w:sz w:val="20"/>
          <w:szCs w:val="20"/>
        </w:rPr>
        <w:t xml:space="preserve"> alimenté par </w:t>
      </w:r>
      <w:r w:rsidRPr="000E585D">
        <w:rPr>
          <w:rFonts w:ascii="Verdana" w:hAnsi="Verdana" w:cs="Segoe UI"/>
          <w:b/>
          <w:spacing w:val="6"/>
          <w:sz w:val="20"/>
          <w:szCs w:val="20"/>
        </w:rPr>
        <w:t>un</w:t>
      </w:r>
      <w:r w:rsidRPr="000E585D">
        <w:rPr>
          <w:rFonts w:ascii="Verdana" w:hAnsi="Verdana" w:cs="Segoe UI"/>
          <w:bCs/>
          <w:spacing w:val="6"/>
          <w:sz w:val="20"/>
          <w:szCs w:val="20"/>
        </w:rPr>
        <w:t xml:space="preserve"> </w:t>
      </w:r>
      <w:r w:rsidRPr="000E585D">
        <w:rPr>
          <w:rFonts w:ascii="Verdana" w:hAnsi="Verdana" w:cs="Segoe UI"/>
          <w:b/>
          <w:spacing w:val="6"/>
          <w:sz w:val="20"/>
          <w:szCs w:val="20"/>
        </w:rPr>
        <w:t xml:space="preserve">centre suffisamment équipé en termes </w:t>
      </w:r>
      <w:r w:rsidRPr="000E585D">
        <w:rPr>
          <w:rFonts w:ascii="Verdana" w:hAnsi="Verdana" w:cs="Segoe UI"/>
          <w:b/>
          <w:spacing w:val="6"/>
          <w:sz w:val="20"/>
          <w:szCs w:val="20"/>
        </w:rPr>
        <w:lastRenderedPageBreak/>
        <w:t>de ressource humaine</w:t>
      </w:r>
      <w:r w:rsidR="00B20E23">
        <w:rPr>
          <w:rFonts w:ascii="Verdana" w:hAnsi="Verdana" w:cs="Segoe UI"/>
          <w:b/>
          <w:spacing w:val="6"/>
          <w:sz w:val="20"/>
          <w:szCs w:val="20"/>
        </w:rPr>
        <w:t>s</w:t>
      </w:r>
      <w:r w:rsidRPr="000E585D">
        <w:rPr>
          <w:rFonts w:ascii="Verdana" w:hAnsi="Verdana" w:cs="Segoe UI"/>
          <w:b/>
          <w:spacing w:val="6"/>
          <w:sz w:val="20"/>
          <w:szCs w:val="20"/>
        </w:rPr>
        <w:t xml:space="preserve"> et technologi</w:t>
      </w:r>
      <w:r w:rsidR="00B20E23">
        <w:rPr>
          <w:rFonts w:ascii="Verdana" w:hAnsi="Verdana" w:cs="Segoe UI"/>
          <w:b/>
          <w:spacing w:val="6"/>
          <w:sz w:val="20"/>
          <w:szCs w:val="20"/>
        </w:rPr>
        <w:t>que</w:t>
      </w:r>
      <w:r w:rsidRPr="000E585D">
        <w:rPr>
          <w:rFonts w:ascii="Verdana" w:hAnsi="Verdana" w:cs="Segoe UI"/>
          <w:b/>
          <w:spacing w:val="6"/>
          <w:sz w:val="20"/>
          <w:szCs w:val="20"/>
        </w:rPr>
        <w:t xml:space="preserve">s pour le partage et </w:t>
      </w:r>
      <w:r w:rsidR="00B20E23">
        <w:rPr>
          <w:rFonts w:ascii="Verdana" w:hAnsi="Verdana" w:cs="Segoe UI"/>
          <w:b/>
          <w:spacing w:val="6"/>
          <w:sz w:val="20"/>
          <w:szCs w:val="20"/>
        </w:rPr>
        <w:t>la</w:t>
      </w:r>
      <w:r w:rsidRPr="000E585D">
        <w:rPr>
          <w:rFonts w:ascii="Verdana" w:hAnsi="Verdana" w:cs="Segoe UI"/>
          <w:b/>
          <w:spacing w:val="6"/>
          <w:sz w:val="20"/>
          <w:szCs w:val="20"/>
        </w:rPr>
        <w:t xml:space="preserve"> fusion d’information maritime</w:t>
      </w:r>
      <w:r w:rsidRPr="000E585D">
        <w:rPr>
          <w:rFonts w:ascii="Verdana" w:hAnsi="Verdana" w:cs="Segoe UI"/>
          <w:bCs/>
          <w:spacing w:val="6"/>
          <w:sz w:val="20"/>
          <w:szCs w:val="20"/>
        </w:rPr>
        <w:t xml:space="preserve">. </w:t>
      </w:r>
    </w:p>
    <w:p w14:paraId="40D42C66" w14:textId="08706BF5" w:rsidR="00E321E2" w:rsidRPr="000E585D" w:rsidRDefault="00E321E2" w:rsidP="00E321E2">
      <w:pPr>
        <w:jc w:val="both"/>
        <w:rPr>
          <w:rFonts w:ascii="Verdana" w:hAnsi="Verdana" w:cs="Segoe UI"/>
          <w:bCs/>
          <w:spacing w:val="6"/>
          <w:sz w:val="20"/>
          <w:szCs w:val="20"/>
        </w:rPr>
      </w:pPr>
      <w:r w:rsidRPr="000E585D">
        <w:rPr>
          <w:rFonts w:ascii="Verdana" w:hAnsi="Verdana" w:cs="Segoe UI"/>
          <w:bCs/>
          <w:spacing w:val="6"/>
          <w:sz w:val="20"/>
          <w:szCs w:val="20"/>
        </w:rPr>
        <w:t>La stratégie nationale devrait permettre l’Etat concerné d’avoir une vue globale</w:t>
      </w:r>
      <w:r w:rsidR="00B20E23">
        <w:rPr>
          <w:rFonts w:ascii="Verdana" w:hAnsi="Verdana" w:cs="Segoe UI"/>
          <w:bCs/>
          <w:spacing w:val="6"/>
          <w:sz w:val="20"/>
          <w:szCs w:val="20"/>
        </w:rPr>
        <w:t xml:space="preserve"> et régulièrement mise à jour</w:t>
      </w:r>
      <w:r w:rsidRPr="000E585D">
        <w:rPr>
          <w:rFonts w:ascii="Verdana" w:hAnsi="Verdana" w:cs="Segoe UI"/>
          <w:bCs/>
          <w:spacing w:val="6"/>
          <w:sz w:val="20"/>
          <w:szCs w:val="20"/>
        </w:rPr>
        <w:t xml:space="preserve"> de la situation de sécurité maritime </w:t>
      </w:r>
      <w:r w:rsidR="00B07749">
        <w:rPr>
          <w:rFonts w:ascii="Verdana" w:hAnsi="Verdana" w:cs="Segoe UI"/>
          <w:bCs/>
          <w:spacing w:val="6"/>
          <w:sz w:val="20"/>
          <w:szCs w:val="20"/>
        </w:rPr>
        <w:t>pour</w:t>
      </w:r>
      <w:r w:rsidRPr="000E585D">
        <w:rPr>
          <w:rFonts w:ascii="Verdana" w:hAnsi="Verdana" w:cs="Segoe UI"/>
          <w:bCs/>
          <w:spacing w:val="6"/>
          <w:sz w:val="20"/>
          <w:szCs w:val="20"/>
        </w:rPr>
        <w:t xml:space="preserve"> identifier les priorités nationales d’actions</w:t>
      </w:r>
      <w:r w:rsidR="00B07749">
        <w:rPr>
          <w:rFonts w:ascii="Verdana" w:hAnsi="Verdana" w:cs="Segoe UI"/>
          <w:bCs/>
          <w:spacing w:val="6"/>
          <w:sz w:val="20"/>
          <w:szCs w:val="20"/>
        </w:rPr>
        <w:t xml:space="preserve"> et</w:t>
      </w:r>
      <w:r w:rsidRPr="000E585D">
        <w:rPr>
          <w:rFonts w:ascii="Verdana" w:hAnsi="Verdana" w:cs="Segoe UI"/>
          <w:bCs/>
          <w:spacing w:val="6"/>
          <w:sz w:val="20"/>
          <w:szCs w:val="20"/>
        </w:rPr>
        <w:t xml:space="preserve"> </w:t>
      </w:r>
      <w:r w:rsidR="00B07749">
        <w:rPr>
          <w:rFonts w:ascii="Verdana" w:hAnsi="Verdana" w:cs="Segoe UI"/>
          <w:bCs/>
          <w:spacing w:val="6"/>
          <w:sz w:val="20"/>
          <w:szCs w:val="20"/>
        </w:rPr>
        <w:t>mobiliser</w:t>
      </w:r>
      <w:r w:rsidRPr="000E585D">
        <w:rPr>
          <w:rFonts w:ascii="Verdana" w:hAnsi="Verdana" w:cs="Segoe UI"/>
          <w:bCs/>
          <w:spacing w:val="6"/>
          <w:sz w:val="20"/>
          <w:szCs w:val="20"/>
        </w:rPr>
        <w:t xml:space="preserve"> </w:t>
      </w:r>
      <w:r w:rsidRPr="000E585D">
        <w:rPr>
          <w:rFonts w:ascii="Verdana" w:hAnsi="Verdana"/>
          <w:color w:val="3D3D3D"/>
          <w:sz w:val="20"/>
          <w:szCs w:val="20"/>
          <w:shd w:val="clear" w:color="auto" w:fill="FFFFFF"/>
        </w:rPr>
        <w:t xml:space="preserve">des moyens </w:t>
      </w:r>
      <w:r w:rsidR="00B07749">
        <w:rPr>
          <w:rFonts w:ascii="Verdana" w:hAnsi="Verdana"/>
          <w:color w:val="3D3D3D"/>
          <w:sz w:val="20"/>
          <w:szCs w:val="20"/>
          <w:shd w:val="clear" w:color="auto" w:fill="FFFFFF"/>
        </w:rPr>
        <w:t xml:space="preserve">pour </w:t>
      </w:r>
      <w:r w:rsidRPr="000E585D">
        <w:rPr>
          <w:rFonts w:ascii="Verdana" w:hAnsi="Verdana"/>
          <w:color w:val="3D3D3D"/>
          <w:sz w:val="20"/>
          <w:szCs w:val="20"/>
          <w:shd w:val="clear" w:color="auto" w:fill="FFFFFF"/>
        </w:rPr>
        <w:t>effectuer une surveillance ciblée des zones maritimes d’intérêt.</w:t>
      </w:r>
      <w:r w:rsidRPr="000E585D">
        <w:rPr>
          <w:rFonts w:ascii="Verdana" w:hAnsi="Verdana" w:cs="Segoe UI"/>
          <w:bCs/>
          <w:spacing w:val="6"/>
          <w:sz w:val="20"/>
          <w:szCs w:val="20"/>
        </w:rPr>
        <w:t xml:space="preserve"> Le Comité national devrait faciliter le</w:t>
      </w:r>
      <w:r w:rsidRPr="000E585D">
        <w:rPr>
          <w:rFonts w:ascii="Verdana" w:hAnsi="Verdana"/>
          <w:color w:val="3D3D3D"/>
          <w:sz w:val="20"/>
          <w:szCs w:val="20"/>
          <w:shd w:val="clear" w:color="auto" w:fill="FFFFFF"/>
        </w:rPr>
        <w:t xml:space="preserve"> partage d’information</w:t>
      </w:r>
      <w:r w:rsidR="00B07749">
        <w:rPr>
          <w:rFonts w:ascii="Verdana" w:hAnsi="Verdana"/>
          <w:color w:val="3D3D3D"/>
          <w:sz w:val="20"/>
          <w:szCs w:val="20"/>
          <w:shd w:val="clear" w:color="auto" w:fill="FFFFFF"/>
        </w:rPr>
        <w:t>s</w:t>
      </w:r>
      <w:r w:rsidRPr="000E585D">
        <w:rPr>
          <w:rFonts w:ascii="Verdana" w:hAnsi="Verdana"/>
          <w:color w:val="3D3D3D"/>
          <w:sz w:val="20"/>
          <w:szCs w:val="20"/>
          <w:shd w:val="clear" w:color="auto" w:fill="FFFFFF"/>
        </w:rPr>
        <w:t xml:space="preserve"> pertinent</w:t>
      </w:r>
      <w:r w:rsidR="00B07749">
        <w:rPr>
          <w:rFonts w:ascii="Verdana" w:hAnsi="Verdana"/>
          <w:color w:val="3D3D3D"/>
          <w:sz w:val="20"/>
          <w:szCs w:val="20"/>
          <w:shd w:val="clear" w:color="auto" w:fill="FFFFFF"/>
        </w:rPr>
        <w:t>e</w:t>
      </w:r>
      <w:r w:rsidRPr="000E585D">
        <w:rPr>
          <w:rFonts w:ascii="Verdana" w:hAnsi="Verdana"/>
          <w:color w:val="3D3D3D"/>
          <w:sz w:val="20"/>
          <w:szCs w:val="20"/>
          <w:shd w:val="clear" w:color="auto" w:fill="FFFFFF"/>
        </w:rPr>
        <w:t>s sur la criminalité et la sécurité maritime sur une base régulière,</w:t>
      </w:r>
      <w:r w:rsidRPr="000E585D">
        <w:rPr>
          <w:rFonts w:ascii="Verdana" w:hAnsi="Verdana" w:cs="Segoe UI"/>
          <w:bCs/>
          <w:spacing w:val="6"/>
          <w:sz w:val="20"/>
          <w:szCs w:val="20"/>
        </w:rPr>
        <w:t xml:space="preserve"> la collaboration inter-gouvernementale </w:t>
      </w:r>
      <w:r w:rsidRPr="000E585D">
        <w:rPr>
          <w:rFonts w:ascii="Verdana" w:hAnsi="Verdana" w:cs="Segoe UI"/>
          <w:spacing w:val="6"/>
          <w:sz w:val="20"/>
          <w:szCs w:val="20"/>
        </w:rPr>
        <w:t>en charge des questions liées à l’action de l’Etat en mer et soutenir la coopération inter-projets dans le domaine de la sécurité maritime (sécurité portuaire, pêches, économie bleue) au niveau national pour une meilleure coordination</w:t>
      </w:r>
      <w:r w:rsidR="00EB3146">
        <w:rPr>
          <w:rFonts w:ascii="Verdana" w:hAnsi="Verdana" w:cs="Segoe UI"/>
          <w:spacing w:val="6"/>
          <w:sz w:val="20"/>
          <w:szCs w:val="20"/>
        </w:rPr>
        <w:t xml:space="preserve">, notamment </w:t>
      </w:r>
      <w:r w:rsidRPr="000E585D">
        <w:rPr>
          <w:rFonts w:ascii="Verdana" w:hAnsi="Verdana" w:cs="Segoe UI"/>
          <w:spacing w:val="6"/>
          <w:sz w:val="20"/>
          <w:szCs w:val="20"/>
        </w:rPr>
        <w:t>lors des exercices et opérations</w:t>
      </w:r>
      <w:r w:rsidR="00EB3146">
        <w:rPr>
          <w:rFonts w:ascii="Verdana" w:hAnsi="Verdana" w:cs="Segoe UI"/>
          <w:spacing w:val="6"/>
          <w:sz w:val="20"/>
          <w:szCs w:val="20"/>
        </w:rPr>
        <w:t>,</w:t>
      </w:r>
      <w:r w:rsidRPr="000E585D">
        <w:rPr>
          <w:rFonts w:ascii="Verdana" w:hAnsi="Verdana" w:cs="Segoe UI"/>
          <w:spacing w:val="6"/>
          <w:sz w:val="20"/>
          <w:szCs w:val="20"/>
        </w:rPr>
        <w:t xml:space="preserve"> et</w:t>
      </w:r>
      <w:r w:rsidR="00EB3146">
        <w:rPr>
          <w:rFonts w:ascii="Verdana" w:hAnsi="Verdana" w:cs="Segoe UI"/>
          <w:spacing w:val="6"/>
          <w:sz w:val="20"/>
          <w:szCs w:val="20"/>
        </w:rPr>
        <w:t xml:space="preserve"> une meilleure</w:t>
      </w:r>
      <w:r w:rsidRPr="000E585D">
        <w:rPr>
          <w:rFonts w:ascii="Verdana" w:hAnsi="Verdana" w:cs="Segoe UI"/>
          <w:spacing w:val="6"/>
          <w:sz w:val="20"/>
          <w:szCs w:val="20"/>
        </w:rPr>
        <w:t xml:space="preserve"> optimisation des objectifs partagés.</w:t>
      </w:r>
      <w:r w:rsidRPr="000E585D">
        <w:rPr>
          <w:rFonts w:ascii="Verdana" w:hAnsi="Verdana" w:cs="Segoe UI"/>
          <w:bCs/>
          <w:spacing w:val="6"/>
          <w:sz w:val="20"/>
          <w:szCs w:val="20"/>
        </w:rPr>
        <w:t xml:space="preserve"> Le centre national devrait faciliter le transfert de technologies et d’équipement</w:t>
      </w:r>
      <w:r w:rsidR="001301AE">
        <w:rPr>
          <w:rFonts w:ascii="Verdana" w:hAnsi="Verdana" w:cs="Segoe UI"/>
          <w:bCs/>
          <w:spacing w:val="6"/>
          <w:sz w:val="20"/>
          <w:szCs w:val="20"/>
        </w:rPr>
        <w:t>s</w:t>
      </w:r>
      <w:r w:rsidRPr="000E585D">
        <w:rPr>
          <w:rFonts w:ascii="Verdana" w:hAnsi="Verdana" w:cs="Segoe UI"/>
          <w:bCs/>
          <w:spacing w:val="6"/>
          <w:sz w:val="20"/>
          <w:szCs w:val="20"/>
        </w:rPr>
        <w:t xml:space="preserve"> ainsi que la transmission des dernières informations sur les tactiques, les techniques et les procédures aux organismes d’application de la loi maritime, </w:t>
      </w:r>
      <w:r w:rsidR="00373304">
        <w:rPr>
          <w:rFonts w:ascii="Verdana" w:hAnsi="Verdana" w:cs="Segoe UI"/>
          <w:bCs/>
          <w:spacing w:val="6"/>
          <w:sz w:val="20"/>
          <w:szCs w:val="20"/>
        </w:rPr>
        <w:t xml:space="preserve">participer à </w:t>
      </w:r>
      <w:r w:rsidRPr="000E585D">
        <w:rPr>
          <w:rFonts w:ascii="Verdana" w:hAnsi="Verdana" w:cs="Segoe UI"/>
          <w:bCs/>
          <w:spacing w:val="6"/>
          <w:sz w:val="20"/>
          <w:szCs w:val="20"/>
        </w:rPr>
        <w:t xml:space="preserve">l’élaboration d’outils pratiques et opérationnels pour la collecte, le regroupement, l’analyse et la diffusion de renseignements sur la criminalité maritime et la sécurité avec les pays régionaux et les partenaires internationaux, </w:t>
      </w:r>
      <w:r w:rsidR="00373304">
        <w:rPr>
          <w:rFonts w:ascii="Verdana" w:hAnsi="Verdana" w:cs="Segoe UI"/>
          <w:bCs/>
          <w:spacing w:val="6"/>
          <w:sz w:val="20"/>
          <w:szCs w:val="20"/>
        </w:rPr>
        <w:t>faciliter la circulation interne</w:t>
      </w:r>
      <w:r w:rsidRPr="000E585D">
        <w:rPr>
          <w:rFonts w:ascii="Verdana" w:hAnsi="Verdana" w:cs="Segoe UI"/>
          <w:bCs/>
          <w:spacing w:val="6"/>
          <w:sz w:val="20"/>
          <w:szCs w:val="20"/>
        </w:rPr>
        <w:t xml:space="preserve"> d’information</w:t>
      </w:r>
      <w:r w:rsidR="00373304">
        <w:rPr>
          <w:rFonts w:ascii="Verdana" w:hAnsi="Verdana" w:cs="Segoe UI"/>
          <w:bCs/>
          <w:spacing w:val="6"/>
          <w:sz w:val="20"/>
          <w:szCs w:val="20"/>
        </w:rPr>
        <w:t>s</w:t>
      </w:r>
      <w:r w:rsidRPr="000E585D">
        <w:rPr>
          <w:rFonts w:ascii="Verdana" w:hAnsi="Verdana" w:cs="Segoe UI"/>
          <w:bCs/>
          <w:spacing w:val="6"/>
          <w:sz w:val="20"/>
          <w:szCs w:val="20"/>
        </w:rPr>
        <w:t xml:space="preserve">, l’interaction avec d’autres Centres nationaux, régionaux et internationaux et aussi assurer le secrétariat du Comité national. </w:t>
      </w:r>
    </w:p>
    <w:p w14:paraId="26B823FE" w14:textId="77777777" w:rsidR="00E321E2" w:rsidRPr="000E585D" w:rsidRDefault="00E321E2" w:rsidP="00E321E2">
      <w:pPr>
        <w:jc w:val="both"/>
        <w:rPr>
          <w:rFonts w:ascii="Verdana" w:hAnsi="Verdana" w:cs="Segoe UI"/>
          <w:bCs/>
          <w:spacing w:val="6"/>
          <w:sz w:val="20"/>
          <w:szCs w:val="20"/>
        </w:rPr>
      </w:pPr>
    </w:p>
    <w:p w14:paraId="01498013" w14:textId="71F2E18A" w:rsidR="00E321E2" w:rsidRDefault="00E321E2" w:rsidP="00E321E2">
      <w:pPr>
        <w:jc w:val="both"/>
        <w:rPr>
          <w:rFonts w:ascii="Verdana" w:hAnsi="Verdana" w:cs="Segoe UI"/>
          <w:bCs/>
          <w:spacing w:val="6"/>
          <w:sz w:val="20"/>
          <w:szCs w:val="20"/>
        </w:rPr>
      </w:pPr>
      <w:r w:rsidRPr="000E585D">
        <w:rPr>
          <w:rFonts w:ascii="Verdana" w:hAnsi="Verdana" w:cs="Segoe UI"/>
          <w:b/>
          <w:spacing w:val="6"/>
          <w:sz w:val="20"/>
          <w:szCs w:val="20"/>
        </w:rPr>
        <w:t>Base et capacit</w:t>
      </w:r>
      <w:r w:rsidR="00462312">
        <w:rPr>
          <w:rFonts w:ascii="Verdana" w:hAnsi="Verdana" w:cs="Segoe UI"/>
          <w:b/>
          <w:spacing w:val="6"/>
          <w:sz w:val="20"/>
          <w:szCs w:val="20"/>
        </w:rPr>
        <w:t>é</w:t>
      </w:r>
      <w:r w:rsidRPr="000E585D">
        <w:rPr>
          <w:rFonts w:ascii="Verdana" w:hAnsi="Verdana" w:cs="Segoe UI"/>
          <w:b/>
          <w:spacing w:val="6"/>
          <w:sz w:val="20"/>
          <w:szCs w:val="20"/>
        </w:rPr>
        <w:t xml:space="preserve"> légal</w:t>
      </w:r>
      <w:r w:rsidR="00462312">
        <w:rPr>
          <w:rFonts w:ascii="Verdana" w:hAnsi="Verdana" w:cs="Segoe UI"/>
          <w:b/>
          <w:spacing w:val="6"/>
          <w:sz w:val="20"/>
          <w:szCs w:val="20"/>
        </w:rPr>
        <w:t>e</w:t>
      </w:r>
      <w:r w:rsidRPr="000E585D">
        <w:rPr>
          <w:rFonts w:ascii="Verdana" w:hAnsi="Verdana" w:cs="Segoe UI"/>
          <w:b/>
          <w:spacing w:val="6"/>
          <w:sz w:val="20"/>
          <w:szCs w:val="20"/>
        </w:rPr>
        <w:t> :</w:t>
      </w:r>
      <w:r w:rsidRPr="000E585D">
        <w:rPr>
          <w:rFonts w:ascii="Verdana" w:hAnsi="Verdana" w:cs="Segoe UI"/>
          <w:bCs/>
          <w:spacing w:val="6"/>
          <w:sz w:val="20"/>
          <w:szCs w:val="20"/>
        </w:rPr>
        <w:t xml:space="preserve"> La COI a déjà engagé</w:t>
      </w:r>
      <w:r w:rsidR="00462312" w:rsidRPr="00462312">
        <w:rPr>
          <w:rFonts w:ascii="Verdana" w:hAnsi="Verdana" w:cs="Segoe UI"/>
          <w:bCs/>
          <w:spacing w:val="6"/>
          <w:sz w:val="20"/>
          <w:szCs w:val="20"/>
        </w:rPr>
        <w:t xml:space="preserve"> </w:t>
      </w:r>
      <w:r w:rsidR="00462312" w:rsidRPr="000E585D">
        <w:rPr>
          <w:rFonts w:ascii="Verdana" w:hAnsi="Verdana" w:cs="Segoe UI"/>
          <w:bCs/>
          <w:spacing w:val="6"/>
          <w:sz w:val="20"/>
          <w:szCs w:val="20"/>
        </w:rPr>
        <w:t>l’UNODC</w:t>
      </w:r>
      <w:r w:rsidRPr="000E585D">
        <w:rPr>
          <w:rFonts w:ascii="Verdana" w:hAnsi="Verdana" w:cs="Segoe UI"/>
          <w:bCs/>
          <w:spacing w:val="6"/>
          <w:sz w:val="20"/>
          <w:szCs w:val="20"/>
        </w:rPr>
        <w:t xml:space="preserve">, au travers </w:t>
      </w:r>
      <w:r w:rsidR="00462312">
        <w:rPr>
          <w:rFonts w:ascii="Verdana" w:hAnsi="Verdana" w:cs="Segoe UI"/>
          <w:bCs/>
          <w:spacing w:val="6"/>
          <w:sz w:val="20"/>
          <w:szCs w:val="20"/>
        </w:rPr>
        <w:t>du</w:t>
      </w:r>
      <w:r w:rsidRPr="000E585D">
        <w:rPr>
          <w:rFonts w:ascii="Verdana" w:hAnsi="Verdana" w:cs="Segoe UI"/>
          <w:bCs/>
          <w:spacing w:val="6"/>
          <w:sz w:val="20"/>
          <w:szCs w:val="20"/>
        </w:rPr>
        <w:t xml:space="preserve"> programme MASE, pour une évaluation</w:t>
      </w:r>
      <w:r w:rsidR="004818F2">
        <w:rPr>
          <w:rFonts w:ascii="Verdana" w:hAnsi="Verdana" w:cs="Segoe UI"/>
          <w:bCs/>
          <w:spacing w:val="6"/>
          <w:sz w:val="20"/>
          <w:szCs w:val="20"/>
        </w:rPr>
        <w:t xml:space="preserve"> (i)</w:t>
      </w:r>
      <w:r w:rsidRPr="000E585D">
        <w:rPr>
          <w:rFonts w:ascii="Verdana" w:hAnsi="Verdana" w:cs="Segoe UI"/>
          <w:bCs/>
          <w:spacing w:val="6"/>
          <w:sz w:val="20"/>
          <w:szCs w:val="20"/>
        </w:rPr>
        <w:t xml:space="preserve"> des cadres juridiques nationaux </w:t>
      </w:r>
      <w:r w:rsidR="00462312">
        <w:rPr>
          <w:rFonts w:ascii="Verdana" w:hAnsi="Verdana" w:cs="Segoe UI"/>
          <w:bCs/>
          <w:spacing w:val="6"/>
          <w:sz w:val="20"/>
          <w:szCs w:val="20"/>
        </w:rPr>
        <w:t xml:space="preserve">relatifs </w:t>
      </w:r>
      <w:r w:rsidRPr="000E585D">
        <w:rPr>
          <w:rFonts w:ascii="Verdana" w:hAnsi="Verdana" w:cs="Segoe UI"/>
          <w:bCs/>
          <w:spacing w:val="6"/>
          <w:sz w:val="20"/>
          <w:szCs w:val="20"/>
        </w:rPr>
        <w:t>aux crimes maritimes prioritaires</w:t>
      </w:r>
      <w:r w:rsidR="004818F2">
        <w:rPr>
          <w:rFonts w:ascii="Verdana" w:hAnsi="Verdana" w:cs="Segoe UI"/>
          <w:bCs/>
          <w:spacing w:val="6"/>
          <w:sz w:val="20"/>
          <w:szCs w:val="20"/>
        </w:rPr>
        <w:t xml:space="preserve"> ; (ii) </w:t>
      </w:r>
      <w:r w:rsidR="00462312">
        <w:rPr>
          <w:rFonts w:ascii="Verdana" w:hAnsi="Verdana" w:cs="Segoe UI"/>
          <w:bCs/>
          <w:spacing w:val="6"/>
          <w:sz w:val="20"/>
          <w:szCs w:val="20"/>
        </w:rPr>
        <w:t>du niveau d</w:t>
      </w:r>
      <w:r w:rsidR="00FD550D">
        <w:rPr>
          <w:rFonts w:ascii="Verdana" w:hAnsi="Verdana" w:cs="Segoe UI"/>
          <w:bCs/>
          <w:spacing w:val="6"/>
          <w:sz w:val="20"/>
          <w:szCs w:val="20"/>
        </w:rPr>
        <w:t>’incorporation ou de ratification des conventions internationales pertinentes et des Accords MASE</w:t>
      </w:r>
      <w:r w:rsidR="004818F2">
        <w:rPr>
          <w:rFonts w:ascii="Verdana" w:hAnsi="Verdana" w:cs="Segoe UI"/>
          <w:bCs/>
          <w:spacing w:val="6"/>
          <w:sz w:val="20"/>
          <w:szCs w:val="20"/>
        </w:rPr>
        <w:t xml:space="preserve"> ; et (iii) de </w:t>
      </w:r>
      <w:r w:rsidRPr="000E585D">
        <w:rPr>
          <w:rFonts w:ascii="Verdana" w:hAnsi="Verdana" w:cs="Segoe UI"/>
          <w:bCs/>
          <w:spacing w:val="6"/>
          <w:sz w:val="20"/>
          <w:szCs w:val="20"/>
        </w:rPr>
        <w:t>la compatibilité des provisions légales dans la région. L’évaluation</w:t>
      </w:r>
      <w:r w:rsidR="004818F2">
        <w:rPr>
          <w:rFonts w:ascii="Verdana" w:hAnsi="Verdana" w:cs="Segoe UI"/>
          <w:bCs/>
          <w:spacing w:val="6"/>
          <w:sz w:val="20"/>
          <w:szCs w:val="20"/>
        </w:rPr>
        <w:t xml:space="preserve"> en cours</w:t>
      </w:r>
      <w:r w:rsidRPr="000E585D">
        <w:rPr>
          <w:rFonts w:ascii="Verdana" w:hAnsi="Verdana" w:cs="Segoe UI"/>
          <w:bCs/>
          <w:spacing w:val="6"/>
          <w:sz w:val="20"/>
          <w:szCs w:val="20"/>
        </w:rPr>
        <w:t xml:space="preserve"> cernera aussi </w:t>
      </w:r>
      <w:r w:rsidR="004818F2">
        <w:rPr>
          <w:rFonts w:ascii="Verdana" w:hAnsi="Verdana" w:cs="Segoe UI"/>
          <w:bCs/>
          <w:spacing w:val="6"/>
          <w:sz w:val="20"/>
          <w:szCs w:val="20"/>
        </w:rPr>
        <w:t>l’</w:t>
      </w:r>
      <w:r w:rsidRPr="000E585D">
        <w:rPr>
          <w:rFonts w:ascii="Verdana" w:hAnsi="Verdana" w:cs="Segoe UI"/>
          <w:bCs/>
          <w:spacing w:val="6"/>
          <w:sz w:val="20"/>
          <w:szCs w:val="20"/>
        </w:rPr>
        <w:t xml:space="preserve">existence ou l’absence de provisions d’infractions à la criminalité maritime dans la loi, les diverses dispositions relatives aux infractions à la criminalité maritime, les sanctions applicables (et le degré d’harmonisation entre les signataires régionaux), la compétence en matière d’incidents de criminalité maritime, les lois sur la preuve, les lois sur la procédure pénale et l’existence de traités d’extradition et/ou d’entraide juridique entre les signataires régionaux. Cette évaluation qui concerne les Etats signataires (hors France) donnera de la matière pour une réforme juridique visant à </w:t>
      </w:r>
      <w:r w:rsidR="00CC76E6">
        <w:rPr>
          <w:rFonts w:ascii="Verdana" w:hAnsi="Verdana" w:cs="Segoe UI"/>
          <w:bCs/>
          <w:spacing w:val="6"/>
          <w:sz w:val="20"/>
          <w:szCs w:val="20"/>
        </w:rPr>
        <w:t>aplanir les éventuels</w:t>
      </w:r>
      <w:r w:rsidR="00370124">
        <w:rPr>
          <w:rFonts w:ascii="Verdana" w:hAnsi="Verdana" w:cs="Segoe UI"/>
          <w:bCs/>
          <w:spacing w:val="6"/>
          <w:sz w:val="20"/>
          <w:szCs w:val="20"/>
        </w:rPr>
        <w:t xml:space="preserve"> freins</w:t>
      </w:r>
      <w:r w:rsidRPr="000E585D">
        <w:rPr>
          <w:rFonts w:ascii="Verdana" w:hAnsi="Verdana" w:cs="Segoe UI"/>
          <w:bCs/>
          <w:spacing w:val="6"/>
          <w:sz w:val="20"/>
          <w:szCs w:val="20"/>
        </w:rPr>
        <w:t xml:space="preserve"> dans la lutte contre la criminalité maritime</w:t>
      </w:r>
      <w:r w:rsidR="00370124">
        <w:rPr>
          <w:rFonts w:ascii="Verdana" w:hAnsi="Verdana" w:cs="Segoe UI"/>
          <w:bCs/>
          <w:spacing w:val="6"/>
          <w:sz w:val="20"/>
          <w:szCs w:val="20"/>
        </w:rPr>
        <w:t xml:space="preserve"> tout au long de la chaine d’intervention (</w:t>
      </w:r>
      <w:r w:rsidR="00A221CC">
        <w:rPr>
          <w:rFonts w:ascii="Verdana" w:hAnsi="Verdana" w:cs="Segoe UI"/>
          <w:bCs/>
          <w:spacing w:val="6"/>
          <w:sz w:val="20"/>
          <w:szCs w:val="20"/>
        </w:rPr>
        <w:t xml:space="preserve">information, </w:t>
      </w:r>
      <w:r w:rsidRPr="000E585D">
        <w:rPr>
          <w:rFonts w:ascii="Verdana" w:hAnsi="Verdana" w:cs="Segoe UI"/>
          <w:bCs/>
          <w:spacing w:val="6"/>
          <w:sz w:val="20"/>
          <w:szCs w:val="20"/>
        </w:rPr>
        <w:t xml:space="preserve">intervention, </w:t>
      </w:r>
      <w:r w:rsidR="00A221CC">
        <w:rPr>
          <w:rFonts w:ascii="Verdana" w:hAnsi="Verdana" w:cs="Segoe UI"/>
          <w:bCs/>
          <w:spacing w:val="6"/>
          <w:sz w:val="20"/>
          <w:szCs w:val="20"/>
        </w:rPr>
        <w:t>p</w:t>
      </w:r>
      <w:r w:rsidRPr="000E585D">
        <w:rPr>
          <w:rFonts w:ascii="Verdana" w:hAnsi="Verdana" w:cs="Segoe UI"/>
          <w:bCs/>
          <w:spacing w:val="6"/>
          <w:sz w:val="20"/>
          <w:szCs w:val="20"/>
        </w:rPr>
        <w:t>oursuite</w:t>
      </w:r>
      <w:r w:rsidR="00A221CC">
        <w:rPr>
          <w:rFonts w:ascii="Verdana" w:hAnsi="Verdana" w:cs="Segoe UI"/>
          <w:bCs/>
          <w:spacing w:val="6"/>
          <w:sz w:val="20"/>
          <w:szCs w:val="20"/>
        </w:rPr>
        <w:t>, détention)</w:t>
      </w:r>
      <w:r w:rsidRPr="000E585D">
        <w:rPr>
          <w:rFonts w:ascii="Verdana" w:hAnsi="Verdana" w:cs="Segoe UI"/>
          <w:bCs/>
          <w:spacing w:val="6"/>
          <w:sz w:val="20"/>
          <w:szCs w:val="20"/>
        </w:rPr>
        <w:t>. Le programme inclura aussi de</w:t>
      </w:r>
      <w:r w:rsidR="00A221CC">
        <w:rPr>
          <w:rFonts w:ascii="Verdana" w:hAnsi="Verdana" w:cs="Segoe UI"/>
          <w:bCs/>
          <w:spacing w:val="6"/>
          <w:sz w:val="20"/>
          <w:szCs w:val="20"/>
        </w:rPr>
        <w:t>s</w:t>
      </w:r>
      <w:r w:rsidRPr="000E585D">
        <w:rPr>
          <w:rFonts w:ascii="Verdana" w:hAnsi="Verdana" w:cs="Segoe UI"/>
          <w:bCs/>
          <w:spacing w:val="6"/>
          <w:sz w:val="20"/>
          <w:szCs w:val="20"/>
        </w:rPr>
        <w:t xml:space="preserve"> provision</w:t>
      </w:r>
      <w:r w:rsidR="00A221CC">
        <w:rPr>
          <w:rFonts w:ascii="Verdana" w:hAnsi="Verdana" w:cs="Segoe UI"/>
          <w:bCs/>
          <w:spacing w:val="6"/>
          <w:sz w:val="20"/>
          <w:szCs w:val="20"/>
        </w:rPr>
        <w:t>s</w:t>
      </w:r>
      <w:r w:rsidRPr="000E585D">
        <w:rPr>
          <w:rFonts w:ascii="Verdana" w:hAnsi="Verdana" w:cs="Segoe UI"/>
          <w:bCs/>
          <w:spacing w:val="6"/>
          <w:sz w:val="20"/>
          <w:szCs w:val="20"/>
        </w:rPr>
        <w:t xml:space="preserve"> pour les pratiques actuelles en matière de crimes maritimes transfrontaliers afin d’avoir les formations les plus réalistes et les plus récentes </w:t>
      </w:r>
      <w:r w:rsidR="00A221CC">
        <w:rPr>
          <w:rFonts w:ascii="Verdana" w:hAnsi="Verdana" w:cs="Segoe UI"/>
          <w:bCs/>
          <w:spacing w:val="6"/>
          <w:sz w:val="20"/>
          <w:szCs w:val="20"/>
        </w:rPr>
        <w:t>pour renforcer les capacités</w:t>
      </w:r>
      <w:r w:rsidR="005529D1">
        <w:rPr>
          <w:rFonts w:ascii="Verdana" w:hAnsi="Verdana" w:cs="Segoe UI"/>
          <w:bCs/>
          <w:spacing w:val="6"/>
          <w:sz w:val="20"/>
          <w:szCs w:val="20"/>
        </w:rPr>
        <w:t xml:space="preserve"> d’</w:t>
      </w:r>
      <w:r w:rsidRPr="000E585D">
        <w:rPr>
          <w:rFonts w:ascii="Verdana" w:hAnsi="Verdana" w:cs="Segoe UI"/>
          <w:bCs/>
          <w:spacing w:val="6"/>
          <w:sz w:val="20"/>
          <w:szCs w:val="20"/>
        </w:rPr>
        <w:t xml:space="preserve">enquête, </w:t>
      </w:r>
      <w:r w:rsidR="005529D1">
        <w:rPr>
          <w:rFonts w:ascii="Verdana" w:hAnsi="Verdana" w:cs="Segoe UI"/>
          <w:bCs/>
          <w:spacing w:val="6"/>
          <w:sz w:val="20"/>
          <w:szCs w:val="20"/>
        </w:rPr>
        <w:t>d</w:t>
      </w:r>
      <w:r w:rsidRPr="000E585D">
        <w:rPr>
          <w:rFonts w:ascii="Verdana" w:hAnsi="Verdana" w:cs="Segoe UI"/>
          <w:bCs/>
          <w:spacing w:val="6"/>
          <w:sz w:val="20"/>
          <w:szCs w:val="20"/>
        </w:rPr>
        <w:t xml:space="preserve">’arrestation et </w:t>
      </w:r>
      <w:r w:rsidR="005529D1">
        <w:rPr>
          <w:rFonts w:ascii="Verdana" w:hAnsi="Verdana" w:cs="Segoe UI"/>
          <w:bCs/>
          <w:spacing w:val="6"/>
          <w:sz w:val="20"/>
          <w:szCs w:val="20"/>
        </w:rPr>
        <w:t>de</w:t>
      </w:r>
      <w:r w:rsidRPr="000E585D">
        <w:rPr>
          <w:rFonts w:ascii="Verdana" w:hAnsi="Verdana" w:cs="Segoe UI"/>
          <w:bCs/>
          <w:spacing w:val="6"/>
          <w:sz w:val="20"/>
          <w:szCs w:val="20"/>
        </w:rPr>
        <w:t xml:space="preserve"> poursuite. L’objectif est d’établir une base légal</w:t>
      </w:r>
      <w:r w:rsidR="005529D1">
        <w:rPr>
          <w:rFonts w:ascii="Verdana" w:hAnsi="Verdana" w:cs="Segoe UI"/>
          <w:bCs/>
          <w:spacing w:val="6"/>
          <w:sz w:val="20"/>
          <w:szCs w:val="20"/>
        </w:rPr>
        <w:t>e</w:t>
      </w:r>
      <w:r w:rsidRPr="000E585D">
        <w:rPr>
          <w:rFonts w:ascii="Verdana" w:hAnsi="Verdana" w:cs="Segoe UI"/>
          <w:bCs/>
          <w:spacing w:val="6"/>
          <w:sz w:val="20"/>
          <w:szCs w:val="20"/>
        </w:rPr>
        <w:t xml:space="preserve"> solide </w:t>
      </w:r>
      <w:r w:rsidR="005529D1">
        <w:rPr>
          <w:rFonts w:ascii="Verdana" w:hAnsi="Verdana" w:cs="Segoe UI"/>
          <w:bCs/>
          <w:spacing w:val="6"/>
          <w:sz w:val="20"/>
          <w:szCs w:val="20"/>
        </w:rPr>
        <w:t>permettant de lutter plus efficacement</w:t>
      </w:r>
      <w:r w:rsidRPr="000E585D">
        <w:rPr>
          <w:rFonts w:ascii="Verdana" w:hAnsi="Verdana" w:cs="Segoe UI"/>
          <w:bCs/>
          <w:spacing w:val="6"/>
          <w:sz w:val="20"/>
          <w:szCs w:val="20"/>
        </w:rPr>
        <w:t xml:space="preserve"> contre les crimes maritimes transfrontaliers.</w:t>
      </w:r>
      <w:r w:rsidR="00A83E23">
        <w:rPr>
          <w:rFonts w:ascii="Verdana" w:hAnsi="Verdana" w:cs="Segoe UI"/>
          <w:bCs/>
          <w:spacing w:val="6"/>
          <w:sz w:val="20"/>
          <w:szCs w:val="20"/>
        </w:rPr>
        <w:t xml:space="preserve"> Dans ce contexte, il pourrait s’avérer nécessaire de disposer d’un </w:t>
      </w:r>
      <w:r w:rsidR="00A83E23" w:rsidRPr="00A83E23">
        <w:rPr>
          <w:rFonts w:ascii="Verdana" w:hAnsi="Verdana" w:cs="Segoe UI"/>
          <w:bCs/>
          <w:spacing w:val="6"/>
          <w:sz w:val="20"/>
          <w:szCs w:val="20"/>
        </w:rPr>
        <w:t xml:space="preserve">Accord régional de coopération entre les pays de la région </w:t>
      </w:r>
      <w:r w:rsidR="0011385D">
        <w:rPr>
          <w:rFonts w:ascii="Verdana" w:hAnsi="Verdana" w:cs="Segoe UI"/>
          <w:bCs/>
          <w:spacing w:val="6"/>
          <w:sz w:val="20"/>
          <w:szCs w:val="20"/>
        </w:rPr>
        <w:t xml:space="preserve">facilitant les </w:t>
      </w:r>
      <w:r w:rsidR="00A83E23" w:rsidRPr="00A83E23">
        <w:rPr>
          <w:rFonts w:ascii="Verdana" w:hAnsi="Verdana" w:cs="Segoe UI"/>
          <w:bCs/>
          <w:spacing w:val="6"/>
          <w:sz w:val="20"/>
          <w:szCs w:val="20"/>
        </w:rPr>
        <w:t>poursuite</w:t>
      </w:r>
      <w:r w:rsidR="0011385D">
        <w:rPr>
          <w:rFonts w:ascii="Verdana" w:hAnsi="Verdana" w:cs="Segoe UI"/>
          <w:bCs/>
          <w:spacing w:val="6"/>
          <w:sz w:val="20"/>
          <w:szCs w:val="20"/>
        </w:rPr>
        <w:t>s contre l</w:t>
      </w:r>
      <w:r w:rsidR="00A83E23" w:rsidRPr="00A83E23">
        <w:rPr>
          <w:rFonts w:ascii="Verdana" w:hAnsi="Verdana" w:cs="Segoe UI"/>
          <w:bCs/>
          <w:spacing w:val="6"/>
          <w:sz w:val="20"/>
          <w:szCs w:val="20"/>
        </w:rPr>
        <w:t xml:space="preserve">es crimes maritimes </w:t>
      </w:r>
      <w:r w:rsidR="0011385D">
        <w:rPr>
          <w:rFonts w:ascii="Verdana" w:hAnsi="Verdana" w:cs="Segoe UI"/>
          <w:bCs/>
          <w:spacing w:val="6"/>
          <w:sz w:val="20"/>
          <w:szCs w:val="20"/>
        </w:rPr>
        <w:t xml:space="preserve">(trafics de </w:t>
      </w:r>
      <w:r w:rsidR="00A83E23" w:rsidRPr="00A83E23">
        <w:rPr>
          <w:rFonts w:ascii="Verdana" w:hAnsi="Verdana" w:cs="Segoe UI"/>
          <w:bCs/>
          <w:spacing w:val="6"/>
          <w:sz w:val="20"/>
          <w:szCs w:val="20"/>
        </w:rPr>
        <w:t>drogues/armes</w:t>
      </w:r>
      <w:r w:rsidR="0011385D">
        <w:rPr>
          <w:rFonts w:ascii="Verdana" w:hAnsi="Verdana" w:cs="Segoe UI"/>
          <w:bCs/>
          <w:spacing w:val="6"/>
          <w:sz w:val="20"/>
          <w:szCs w:val="20"/>
        </w:rPr>
        <w:t xml:space="preserve">). En effet, </w:t>
      </w:r>
      <w:r w:rsidR="002774D5">
        <w:rPr>
          <w:rFonts w:ascii="Verdana" w:hAnsi="Verdana" w:cs="Segoe UI"/>
          <w:bCs/>
          <w:spacing w:val="6"/>
          <w:sz w:val="20"/>
          <w:szCs w:val="20"/>
        </w:rPr>
        <w:t xml:space="preserve">faute d’un cadre régional agréé, il faudrait alors pouvoir disposer d’une résolution du Conseil de sécurité de l’ONU, à l’image de l’UE au sujet de la Somalie, pour engager </w:t>
      </w:r>
      <w:r w:rsidR="00A83E23" w:rsidRPr="00A83E23">
        <w:rPr>
          <w:rFonts w:ascii="Verdana" w:hAnsi="Verdana" w:cs="Segoe UI"/>
          <w:bCs/>
          <w:spacing w:val="6"/>
          <w:sz w:val="20"/>
          <w:szCs w:val="20"/>
        </w:rPr>
        <w:t>des poursuites</w:t>
      </w:r>
      <w:r w:rsidR="002774D5">
        <w:rPr>
          <w:rFonts w:ascii="Verdana" w:hAnsi="Verdana" w:cs="Segoe UI"/>
          <w:bCs/>
          <w:spacing w:val="6"/>
          <w:sz w:val="20"/>
          <w:szCs w:val="20"/>
        </w:rPr>
        <w:t>.</w:t>
      </w:r>
    </w:p>
    <w:p w14:paraId="54854EB5" w14:textId="75C39DE8" w:rsidR="002C56ED" w:rsidRPr="00A76B07" w:rsidRDefault="00BF0017" w:rsidP="00A76B07">
      <w:pPr>
        <w:pStyle w:val="Sous-partie2"/>
      </w:pPr>
      <w:r>
        <w:t>Renforcement des capacités humaines et technologiques des Centres régionaux et mise en réseau sécurisée</w:t>
      </w:r>
    </w:p>
    <w:p w14:paraId="0430ACC1" w14:textId="253CA19D" w:rsidR="00E0114E" w:rsidRPr="000E585D" w:rsidRDefault="00E0114E" w:rsidP="00E0114E">
      <w:pPr>
        <w:pStyle w:val="Paragraphe"/>
      </w:pPr>
      <w:r w:rsidRPr="00CE6F72">
        <w:t>L</w:t>
      </w:r>
      <w:r w:rsidRPr="000E585D">
        <w:t>’opérationnalisation de l’ASMI dépend de :</w:t>
      </w:r>
    </w:p>
    <w:p w14:paraId="5A600DE0" w14:textId="3DED25C2" w:rsidR="00E0114E" w:rsidRPr="000E585D" w:rsidRDefault="00DD3334" w:rsidP="00DD3334">
      <w:pPr>
        <w:pStyle w:val="Paragraphe"/>
        <w:numPr>
          <w:ilvl w:val="0"/>
          <w:numId w:val="14"/>
        </w:numPr>
      </w:pPr>
      <w:r>
        <w:lastRenderedPageBreak/>
        <w:t>La c</w:t>
      </w:r>
      <w:r w:rsidRPr="000E585D">
        <w:t>apacité</w:t>
      </w:r>
      <w:r w:rsidR="00E0114E" w:rsidRPr="000E585D">
        <w:t xml:space="preserve"> des deux centres régionaux (le CRFIM et le CRCO) ainsi que les centres nationaux à accomplir leurs rôles. Ces centres ont été équipés avec des systèmes qui nécessitent une maintenance et </w:t>
      </w:r>
      <w:r>
        <w:t xml:space="preserve">une </w:t>
      </w:r>
      <w:r w:rsidR="00E0114E" w:rsidRPr="000E585D">
        <w:t>amélioration constante, ainsi qu’une formation accrue et adéquates des ressources humaines existant</w:t>
      </w:r>
      <w:r>
        <w:t>e</w:t>
      </w:r>
      <w:r w:rsidR="00E0114E" w:rsidRPr="000E585D">
        <w:t>s ;</w:t>
      </w:r>
    </w:p>
    <w:p w14:paraId="32013932" w14:textId="41F8F5D5" w:rsidR="00E0114E" w:rsidRPr="000E585D" w:rsidRDefault="00DD3334" w:rsidP="00DD3334">
      <w:pPr>
        <w:pStyle w:val="Paragraphe"/>
        <w:numPr>
          <w:ilvl w:val="0"/>
          <w:numId w:val="14"/>
        </w:numPr>
      </w:pPr>
      <w:r w:rsidRPr="000E585D">
        <w:t>La</w:t>
      </w:r>
      <w:r w:rsidR="00E0114E" w:rsidRPr="000E585D">
        <w:t xml:space="preserve"> mise en réseau des centres régionaux, nationaux et internationaux ainsi que l’animation du réseau </w:t>
      </w:r>
      <w:r>
        <w:t xml:space="preserve">de manière </w:t>
      </w:r>
      <w:r w:rsidR="00E0114E" w:rsidRPr="000E585D">
        <w:t xml:space="preserve">sécurisée. </w:t>
      </w:r>
    </w:p>
    <w:p w14:paraId="25836872" w14:textId="6936E031" w:rsidR="00E0114E" w:rsidRPr="000E585D" w:rsidRDefault="00E0114E" w:rsidP="00E0114E">
      <w:pPr>
        <w:pStyle w:val="Paragraphe"/>
      </w:pPr>
      <w:r w:rsidRPr="000E585D">
        <w:t xml:space="preserve">Le </w:t>
      </w:r>
      <w:r w:rsidRPr="00CE6F72">
        <w:t xml:space="preserve">rôle du CRFIM est </w:t>
      </w:r>
      <w:r w:rsidR="00DD3334">
        <w:t>d’assurer</w:t>
      </w:r>
      <w:r w:rsidRPr="00CE6F72">
        <w:t xml:space="preserve"> la surveillance en temps réel de la zone maritime identifiée dans l’accord MASE en intégrant et fusionnant l’information maritime, améliorant la connaissance du domaine maritime, facilitant et promouvant l’échange et le partage d’information maritime, ainsi que la mise en réseau avec des partenaires institutionnels nationaux, régionaux et internationaux. </w:t>
      </w:r>
    </w:p>
    <w:p w14:paraId="73236FC9" w14:textId="0E933C52" w:rsidR="00E0114E" w:rsidRPr="000E585D" w:rsidRDefault="00E0114E" w:rsidP="00E0114E">
      <w:pPr>
        <w:pStyle w:val="Paragraphe"/>
      </w:pPr>
      <w:r w:rsidRPr="0061154C">
        <w:t>Le rôle du CRCO est de planifier et coordonner les actions en mer d’intérêt régional, faciliter la coopération régionale et internationale avec les agences et partenaires institutionnels pour assurer et promouvoir la sûreté et la sécurité maritimes</w:t>
      </w:r>
      <w:r w:rsidRPr="000E585D">
        <w:t xml:space="preserve">. Le CRCO coordonne avec ses partenaires institutionnels nationaux (centres d’opérations maritimes) des pays signataires pour tenir un inventaire des actifs nationaux mis à sa disposition </w:t>
      </w:r>
      <w:r w:rsidR="00DD3334">
        <w:t>pour</w:t>
      </w:r>
      <w:r w:rsidRPr="000E585D">
        <w:t xml:space="preserve"> des opérations maritimes coordonnées. Le CRCO peut éventuellement faciliter la mise en réseau avec d’autres forces navales internationales et mobiliser son soutien dans le cadre d’opérations maritimes graves et complexes. </w:t>
      </w:r>
    </w:p>
    <w:p w14:paraId="41EDBD24" w14:textId="0F48903B" w:rsidR="00E0114E" w:rsidRPr="0061154C" w:rsidRDefault="00E0114E" w:rsidP="00E0114E">
      <w:pPr>
        <w:pStyle w:val="Paragraphe"/>
      </w:pPr>
      <w:r w:rsidRPr="000E585D">
        <w:t>Le centre national devrait pouvoir accéder</w:t>
      </w:r>
      <w:r w:rsidR="00DD3334">
        <w:t xml:space="preserve"> à</w:t>
      </w:r>
      <w:r w:rsidRPr="000E585D">
        <w:t xml:space="preserve"> l’information maritime, l’analyser, faire le lien entre d’autres Centres nationaux, régionaux et internationaux. Plusieurs pays n’ont toujours pas de centres nationaux et ceux qui l’ont ne sont pas suffisamment structurés, équipés et formés. </w:t>
      </w:r>
    </w:p>
    <w:p w14:paraId="73B7F733" w14:textId="0207D60C" w:rsidR="00E0114E" w:rsidRPr="00CE6F72" w:rsidRDefault="00E0114E" w:rsidP="00E0114E">
      <w:pPr>
        <w:pStyle w:val="Paragraphe"/>
      </w:pPr>
      <w:r w:rsidRPr="000E585D">
        <w:t xml:space="preserve">La mise en réseau de tous les centres permettra de structurer l’échange de connaissances et le partage de l’information dans la communauté des utilisateurs et des opérations </w:t>
      </w:r>
      <w:r w:rsidR="00DD3334" w:rsidRPr="000E585D">
        <w:t>maritime</w:t>
      </w:r>
      <w:r w:rsidR="00DD3334">
        <w:t>s</w:t>
      </w:r>
      <w:r w:rsidR="00DD3334" w:rsidRPr="000E585D">
        <w:t xml:space="preserve"> </w:t>
      </w:r>
      <w:r w:rsidRPr="000E585D">
        <w:t xml:space="preserve">(nationales, régionales et internationales). </w:t>
      </w:r>
    </w:p>
    <w:p w14:paraId="77FD3867" w14:textId="31295D38" w:rsidR="00E0114E" w:rsidRDefault="00E0114E" w:rsidP="00E0114E">
      <w:pPr>
        <w:pStyle w:val="Paragraphe"/>
      </w:pPr>
      <w:r w:rsidRPr="000E585D">
        <w:t xml:space="preserve">Il faudra aussi soutenir l’élaboration et mise en œuvre d’un plan de travail pour la pérennisation de ces centres en conformité </w:t>
      </w:r>
      <w:r w:rsidR="00DD3334">
        <w:t>avec l</w:t>
      </w:r>
      <w:r w:rsidRPr="000E585D">
        <w:t>es accords de siège et incluant les postes des officiers de liaison internationaux, ainsi que la</w:t>
      </w:r>
      <w:r w:rsidRPr="000E585D">
        <w:rPr>
          <w:b/>
        </w:rPr>
        <w:t xml:space="preserve"> </w:t>
      </w:r>
      <w:r w:rsidRPr="000E585D">
        <w:t>mise en place d’un dispositif de protection et recouvrement des données des deux centres MASE.</w:t>
      </w:r>
    </w:p>
    <w:p w14:paraId="1AE9EB50" w14:textId="77777777" w:rsidR="007750CA" w:rsidRPr="000E585D" w:rsidRDefault="007750CA" w:rsidP="00E0114E">
      <w:pPr>
        <w:pStyle w:val="Paragraphe"/>
      </w:pPr>
    </w:p>
    <w:p w14:paraId="004F8498" w14:textId="3FB4B05F" w:rsidR="00955BB3" w:rsidRDefault="007750CA" w:rsidP="007750CA">
      <w:pPr>
        <w:pStyle w:val="Sous-partie2"/>
      </w:pPr>
      <w:r>
        <w:t>Appui à l’action régionale coordonnée en mer</w:t>
      </w:r>
    </w:p>
    <w:p w14:paraId="1904F47C" w14:textId="2FD701B0" w:rsidR="001A6657" w:rsidRDefault="001A6657" w:rsidP="001A6657">
      <w:pPr>
        <w:pStyle w:val="Paragraphe"/>
      </w:pPr>
      <w:r w:rsidRPr="000E585D">
        <w:t xml:space="preserve">L’opérationnalisation de l’ASMI </w:t>
      </w:r>
      <w:r>
        <w:t xml:space="preserve">ne </w:t>
      </w:r>
      <w:r w:rsidRPr="000E585D">
        <w:t>sera compl</w:t>
      </w:r>
      <w:r>
        <w:t xml:space="preserve">étée qu’à partir du moment où </w:t>
      </w:r>
      <w:r w:rsidRPr="000E585D">
        <w:t>le mécanisme démontrera son efficacité en inspectant les bateaux d’intérêt qui traversent plusieurs zones maritimes. C’est justement l’objet de l’accord régional sur la coordination des opérations en mer. Dans ce contexte, u</w:t>
      </w:r>
      <w:r w:rsidRPr="001F220A">
        <w:t xml:space="preserve">n </w:t>
      </w:r>
      <w:r w:rsidRPr="000E585D">
        <w:t>d</w:t>
      </w:r>
      <w:r w:rsidRPr="001F220A">
        <w:t>ispositif</w:t>
      </w:r>
      <w:r w:rsidRPr="000E585D">
        <w:t xml:space="preserve"> </w:t>
      </w:r>
      <w:r w:rsidRPr="001F220A">
        <w:t xml:space="preserve">a été mis en place et testé </w:t>
      </w:r>
      <w:r w:rsidRPr="000E585D">
        <w:t>afin de</w:t>
      </w:r>
      <w:r w:rsidRPr="001F220A">
        <w:t xml:space="preserve"> faciliter la coopération régionale et internationale avec les agences et partenaires institutionnels en conformité avec les provisions de l’accord MASE, c.à.d. que les moyens restent sous la responsabilité du pays concerné. Un fonds initial a été alimenté sous MASE pour un montant de 3</w:t>
      </w:r>
      <w:r w:rsidRPr="000E585D">
        <w:t>.6</w:t>
      </w:r>
      <w:r w:rsidRPr="001F220A">
        <w:t xml:space="preserve"> MEUR au travers de contrats de subvention </w:t>
      </w:r>
      <w:r w:rsidRPr="000E585D">
        <w:t>élaborés, conclu</w:t>
      </w:r>
      <w:r>
        <w:t>s</w:t>
      </w:r>
      <w:r w:rsidRPr="000E585D">
        <w:t xml:space="preserve"> et </w:t>
      </w:r>
      <w:r w:rsidRPr="001F220A">
        <w:t xml:space="preserve">supervisés par la COI afin de couvrir les coûts additionnels par rapport à ce qui est le cas pour des actions purement nationales. </w:t>
      </w:r>
      <w:r>
        <w:t xml:space="preserve">Il est nécessaire de prévoir une continuité de cet appui. </w:t>
      </w:r>
    </w:p>
    <w:p w14:paraId="66687E20" w14:textId="16433BCF" w:rsidR="004E128C" w:rsidRDefault="004E128C" w:rsidP="001A6657">
      <w:pPr>
        <w:pStyle w:val="Paragraphe"/>
      </w:pPr>
    </w:p>
    <w:p w14:paraId="2C5A3610" w14:textId="1BD8D0B1" w:rsidR="00D20190" w:rsidRDefault="00D20190" w:rsidP="001A6657">
      <w:pPr>
        <w:pStyle w:val="Paragraphe"/>
      </w:pPr>
    </w:p>
    <w:p w14:paraId="67CAD7B6" w14:textId="77777777" w:rsidR="00D20190" w:rsidRDefault="00D20190" w:rsidP="001A6657">
      <w:pPr>
        <w:pStyle w:val="Paragraphe"/>
      </w:pPr>
    </w:p>
    <w:p w14:paraId="1E3EC418" w14:textId="0F572DCF" w:rsidR="004E128C" w:rsidRDefault="004E128C" w:rsidP="004E128C">
      <w:pPr>
        <w:pStyle w:val="Sous-partie2"/>
      </w:pPr>
      <w:r>
        <w:lastRenderedPageBreak/>
        <w:t>Approfondissement de l’ASMI sur chacune des thématiques des Accords MASE</w:t>
      </w:r>
    </w:p>
    <w:p w14:paraId="00732D5B" w14:textId="25A55419" w:rsidR="00E76B2B" w:rsidRPr="00D55431" w:rsidRDefault="00E76B2B" w:rsidP="00E76B2B">
      <w:pPr>
        <w:pStyle w:val="Paragraphe"/>
      </w:pPr>
      <w:r w:rsidRPr="00D55431">
        <w:t xml:space="preserve">Les deux Accords MASE font mention spécifique des crimes et menaces en mer récurrents tels que pêche INN, trafic de drogue, humains, d’armes, pollution maritime (déversement d’hydrocarbure, produits chimiques), sauvetage en mer (SAR). Il est donc important de décliner des plans de travail sur </w:t>
      </w:r>
      <w:r>
        <w:t>chacun de ces axes</w:t>
      </w:r>
      <w:r w:rsidRPr="00D55431">
        <w:t xml:space="preserve"> dans le cadre de l’opérationnalisation de l’ASMI</w:t>
      </w:r>
      <w:r>
        <w:t xml:space="preserve">, à commencer par le </w:t>
      </w:r>
      <w:proofErr w:type="spellStart"/>
      <w:r>
        <w:t>Polmar</w:t>
      </w:r>
      <w:proofErr w:type="spellEnd"/>
      <w:r>
        <w:t xml:space="preserve">, la sécurité des câbles et le trafic humain. Les plans de travail sur les autres crimes et menaces restent à être définis et mis en œuvre.  </w:t>
      </w:r>
    </w:p>
    <w:p w14:paraId="5154B57F" w14:textId="3932DC84" w:rsidR="00E76B2B" w:rsidRPr="000E585D" w:rsidRDefault="00E76B2B" w:rsidP="00E76B2B">
      <w:pPr>
        <w:pStyle w:val="Paragraphe"/>
      </w:pPr>
      <w:proofErr w:type="spellStart"/>
      <w:r w:rsidRPr="00E76B2B">
        <w:rPr>
          <w:b/>
          <w:bCs/>
        </w:rPr>
        <w:t>Polmar</w:t>
      </w:r>
      <w:proofErr w:type="spellEnd"/>
      <w:r w:rsidRPr="00E76B2B">
        <w:rPr>
          <w:b/>
          <w:bCs/>
        </w:rPr>
        <w:t> :</w:t>
      </w:r>
      <w:r w:rsidRPr="000E585D">
        <w:t xml:space="preserve"> </w:t>
      </w:r>
      <w:r>
        <w:t xml:space="preserve">Le </w:t>
      </w:r>
      <w:proofErr w:type="spellStart"/>
      <w:r>
        <w:t>CoPIL</w:t>
      </w:r>
      <w:proofErr w:type="spellEnd"/>
      <w:r>
        <w:t xml:space="preserve"> MASE a adopté un Plan de travail, </w:t>
      </w:r>
      <w:r w:rsidRPr="000E585D">
        <w:t>sur la base des acquis des projets régionaux passés</w:t>
      </w:r>
      <w:r>
        <w:t>,</w:t>
      </w:r>
      <w:r w:rsidRPr="000E585D">
        <w:t xml:space="preserve"> </w:t>
      </w:r>
      <w:r>
        <w:t xml:space="preserve">incluant </w:t>
      </w:r>
      <w:r w:rsidRPr="000E585D">
        <w:t xml:space="preserve">: </w:t>
      </w:r>
      <w:bookmarkStart w:id="1" w:name="_Hlk53404504"/>
      <w:r w:rsidRPr="000E585D">
        <w:t>(i) l’actualisation du Plan régional de contingence contre la pollution en mer qui a été développé dans le cadre du projet de lutte contre les déversements des hydrocarbures en mer et de mise en place d’une autoroute maritime (2008-2012) ; (ii) l’actualisation des plans de contingence nationaux ; ainsi que (iii) l’adaptation du rôle de coordination par les deux centres MASE</w:t>
      </w:r>
      <w:bookmarkEnd w:id="1"/>
      <w:r w:rsidRPr="000E585D">
        <w:t>. Ce</w:t>
      </w:r>
      <w:r>
        <w:t xml:space="preserve"> Plan inclut la participation des pays avoisinants, ainsi que de</w:t>
      </w:r>
      <w:r>
        <w:t>s</w:t>
      </w:r>
      <w:r>
        <w:t xml:space="preserve"> partenaires internationaux et régionaux, tels l’OIM et la Convention de Nairobi. Néanmoins, l’exécution du Plan sera étalée sur trois fronts – au niveau de la COI, des pays signataires de MASE et la région élargie. Des</w:t>
      </w:r>
      <w:r w:rsidRPr="000E585D">
        <w:rPr>
          <w:spacing w:val="-1"/>
        </w:rPr>
        <w:t xml:space="preserve"> initiatives nationales et bilatérales </w:t>
      </w:r>
      <w:r>
        <w:rPr>
          <w:spacing w:val="-1"/>
        </w:rPr>
        <w:t>telles,</w:t>
      </w:r>
      <w:r w:rsidRPr="000E585D">
        <w:rPr>
          <w:spacing w:val="-1"/>
        </w:rPr>
        <w:t xml:space="preserve"> la/les </w:t>
      </w:r>
      <w:proofErr w:type="spellStart"/>
      <w:proofErr w:type="gramStart"/>
      <w:r w:rsidRPr="000E585D">
        <w:t>zone.s</w:t>
      </w:r>
      <w:proofErr w:type="spellEnd"/>
      <w:proofErr w:type="gramEnd"/>
      <w:r w:rsidRPr="000E585D">
        <w:t xml:space="preserve"> à éviter et le système de compte rendu obligatoire </w:t>
      </w:r>
      <w:r w:rsidRPr="000E585D">
        <w:rPr>
          <w:spacing w:val="-1"/>
        </w:rPr>
        <w:t>(</w:t>
      </w:r>
      <w:proofErr w:type="spellStart"/>
      <w:r w:rsidRPr="000E585D">
        <w:rPr>
          <w:spacing w:val="-1"/>
        </w:rPr>
        <w:t>ATBAs</w:t>
      </w:r>
      <w:proofErr w:type="spellEnd"/>
      <w:r w:rsidRPr="000E585D">
        <w:rPr>
          <w:spacing w:val="-1"/>
        </w:rPr>
        <w:t>)</w:t>
      </w:r>
      <w:r>
        <w:rPr>
          <w:spacing w:val="-1"/>
        </w:rPr>
        <w:t xml:space="preserve"> seront priorisées</w:t>
      </w:r>
      <w:r w:rsidRPr="000E585D">
        <w:rPr>
          <w:spacing w:val="-1"/>
        </w:rPr>
        <w:t xml:space="preserve"> au sein de l’Architecture MASE. </w:t>
      </w:r>
    </w:p>
    <w:p w14:paraId="20338F4C" w14:textId="7139C9ED" w:rsidR="00E76B2B" w:rsidRPr="000E585D" w:rsidRDefault="00E76B2B" w:rsidP="00E76B2B">
      <w:pPr>
        <w:pStyle w:val="Paragraphe"/>
      </w:pPr>
      <w:r w:rsidRPr="00E76B2B">
        <w:rPr>
          <w:b/>
          <w:bCs/>
        </w:rPr>
        <w:t>Protection et la résilience des câbles sous-marins :</w:t>
      </w:r>
      <w:r w:rsidRPr="000E585D">
        <w:t xml:space="preserve"> La sécurité des câbles sous-marins reliant les pays membres de la COI </w:t>
      </w:r>
      <w:r>
        <w:t xml:space="preserve">reste </w:t>
      </w:r>
      <w:r w:rsidRPr="000E585D">
        <w:t>une préoccupation majeure. Un cadre régional</w:t>
      </w:r>
      <w:r>
        <w:t>, élaboré avec l’appui de l’ONUDC,</w:t>
      </w:r>
      <w:r w:rsidRPr="000E585D">
        <w:t xml:space="preserve"> a été </w:t>
      </w:r>
      <w:r>
        <w:t>validé par le Conseil extraordinaire des ministres de la COI</w:t>
      </w:r>
      <w:r w:rsidRPr="000E585D">
        <w:t xml:space="preserve"> </w:t>
      </w:r>
      <w:r>
        <w:t>en novembre 2021.</w:t>
      </w:r>
      <w:r>
        <w:t xml:space="preserve"> Il est maintenant question de</w:t>
      </w:r>
      <w:r>
        <w:t xml:space="preserve"> la</w:t>
      </w:r>
      <w:r>
        <w:t xml:space="preserve"> mise en </w:t>
      </w:r>
      <w:r w:rsidRPr="000E585D">
        <w:t>œuvre</w:t>
      </w:r>
      <w:r w:rsidRPr="00E749D2">
        <w:t xml:space="preserve"> </w:t>
      </w:r>
      <w:r>
        <w:t>d’un</w:t>
      </w:r>
      <w:r w:rsidRPr="000E585D">
        <w:t xml:space="preserve"> plan </w:t>
      </w:r>
      <w:r>
        <w:t xml:space="preserve">d’action </w:t>
      </w:r>
      <w:r w:rsidRPr="000E585D">
        <w:t xml:space="preserve">régional sur la protection et la résilience des câbles sous-marins. </w:t>
      </w:r>
      <w:r>
        <w:t xml:space="preserve">Un premier soutien de </w:t>
      </w:r>
      <w:r>
        <w:t>l</w:t>
      </w:r>
      <w:r>
        <w:t>a France d’un montant de 80,000 EUR a été mobilisé pour les actions en 2022. Il sera nécessaire d’assurer le suivi et la mise en œuvre du cadre régional pour ensuite promouvoir la sécurité des câbles au-delà de la zone de l’Indianoc</w:t>
      </w:r>
      <w:r>
        <w:t>é</w:t>
      </w:r>
      <w:r>
        <w:t xml:space="preserve">anie. </w:t>
      </w:r>
      <w:r w:rsidRPr="000E585D">
        <w:t xml:space="preserve"> </w:t>
      </w:r>
    </w:p>
    <w:p w14:paraId="1E850863" w14:textId="57CE1D83" w:rsidR="004E128C" w:rsidRDefault="00E76B2B" w:rsidP="00E76B2B">
      <w:pPr>
        <w:pStyle w:val="Paragraphe"/>
      </w:pPr>
      <w:r w:rsidRPr="00E76B2B">
        <w:rPr>
          <w:b/>
          <w:bCs/>
          <w:spacing w:val="6"/>
        </w:rPr>
        <w:t>Trafic humain :</w:t>
      </w:r>
      <w:r w:rsidRPr="000E585D">
        <w:rPr>
          <w:spacing w:val="6"/>
        </w:rPr>
        <w:t xml:space="preserve"> La collaboration avec l’Organisation Internationale pour les Migrations continue </w:t>
      </w:r>
      <w:r w:rsidRPr="000E585D">
        <w:t xml:space="preserve">:(i) </w:t>
      </w:r>
      <w:r w:rsidRPr="000E585D">
        <w:rPr>
          <w:spacing w:val="6"/>
        </w:rPr>
        <w:t xml:space="preserve">pour améliorer </w:t>
      </w:r>
      <w:r w:rsidRPr="000E585D">
        <w:t>la gestion intégrée des frontières, la traite et le trafic des personnes, la recherche et sauvetage en mer et migration, la détection de fraudes et sécurité des documents. (ii) la mise en place d'un réseau et d'une base de données sécurisée pour les données liées à la migration dans le contexte maritime ; (iii) comprendre les flux et tendances migratoires dans la région et (iv) la mise en œuvre d’exercices de simulation afin de renforcer les capacités des institutions sur les questions de migration et mobilité humaine.</w:t>
      </w:r>
    </w:p>
    <w:p w14:paraId="194EFFC7" w14:textId="77777777" w:rsidR="00D20996" w:rsidRDefault="00D20996" w:rsidP="00E76B2B">
      <w:pPr>
        <w:pStyle w:val="Paragraphe"/>
      </w:pPr>
    </w:p>
    <w:p w14:paraId="03F48CE7" w14:textId="1579039C" w:rsidR="00D20996" w:rsidRDefault="00D20996" w:rsidP="00D20996">
      <w:pPr>
        <w:pStyle w:val="Sous-partie2"/>
      </w:pPr>
      <w:r>
        <w:t>Elargissement de l’ASMI à l’Afrique, l’océan Indien et le Pacifique</w:t>
      </w:r>
    </w:p>
    <w:p w14:paraId="266BEFF6" w14:textId="77777777" w:rsidR="00F21A8D" w:rsidRDefault="00F21A8D" w:rsidP="00F21A8D">
      <w:pPr>
        <w:pStyle w:val="Paragraphe"/>
      </w:pPr>
      <w:r w:rsidRPr="000E585D">
        <w:t xml:space="preserve">L’ASMI repose sur le suivi des navires et l’identification de bateaux d’intérêts. Etant donné que la plupart des navires traversent tous les océans, </w:t>
      </w:r>
      <w:r w:rsidRPr="00477B63">
        <w:t>l’opérationnalisation de l’ASMI devra élargir sa zone d’actions au travers de partenariats et incorporer la situation maritime des océans avoisinants.</w:t>
      </w:r>
      <w:r w:rsidRPr="000E585D">
        <w:t xml:space="preserve"> </w:t>
      </w:r>
    </w:p>
    <w:p w14:paraId="0754F261" w14:textId="77777777" w:rsidR="00F21A8D" w:rsidRPr="000E585D" w:rsidRDefault="00F21A8D" w:rsidP="00F21A8D">
      <w:pPr>
        <w:pStyle w:val="Paragraphe"/>
      </w:pPr>
      <w:r>
        <w:t>U</w:t>
      </w:r>
      <w:r w:rsidRPr="000E585D">
        <w:t xml:space="preserve">ne première réunion </w:t>
      </w:r>
      <w:r w:rsidRPr="00477B63">
        <w:t>des Centres de fusion et partage d’information maritime de l’océan Indien, du Pacifique et de l’Atlantique eu lieu en 29 septembre 2021 qui a conclu sur la</w:t>
      </w:r>
      <w:r w:rsidRPr="000E585D">
        <w:t xml:space="preserve"> mise en réseau de tous les centres comme une opportunité de renforcer les capacités globales de sécurité et sûreté maritimes. Ce réseau permettra la coopération élargie </w:t>
      </w:r>
      <w:proofErr w:type="spellStart"/>
      <w:r w:rsidRPr="000E585D">
        <w:t>Indo-Pacifique</w:t>
      </w:r>
      <w:proofErr w:type="spellEnd"/>
      <w:r w:rsidRPr="000E585D">
        <w:t xml:space="preserve"> par une formalisation et une structuration des échanges des Centres de fusion et partage d’information maritime en conformité avec les provisions des accords MASE qui prévoit la concrétisation de partenariats et de collaborations institutionnelles avec des États tiers au-delà de l'océan Indien occidental. Les actions concrètes pour </w:t>
      </w:r>
      <w:proofErr w:type="gramStart"/>
      <w:r w:rsidRPr="000E585D">
        <w:t>suite à</w:t>
      </w:r>
      <w:proofErr w:type="gramEnd"/>
      <w:r w:rsidRPr="000E585D">
        <w:t xml:space="preserve"> donner sont : </w:t>
      </w:r>
    </w:p>
    <w:p w14:paraId="063CC18D" w14:textId="77777777" w:rsidR="00F21A8D" w:rsidRPr="000E585D" w:rsidRDefault="00F21A8D" w:rsidP="00A01AC8">
      <w:pPr>
        <w:pStyle w:val="Paragraphe"/>
        <w:numPr>
          <w:ilvl w:val="0"/>
          <w:numId w:val="16"/>
        </w:numPr>
      </w:pPr>
      <w:r w:rsidRPr="000E585D">
        <w:lastRenderedPageBreak/>
        <w:t xml:space="preserve">Convenir des moyens pour structurer les collaborations entre les centres régionaux de partage d’informations maritimes et définir des mécanismes pérennes d’échanges, notamment le partage d’expériences et de leçons apprises, des exercices conjoints ou encore des formations ; </w:t>
      </w:r>
    </w:p>
    <w:p w14:paraId="63D9F897" w14:textId="57EE8C42" w:rsidR="00F21A8D" w:rsidRPr="000E585D" w:rsidRDefault="00F21A8D" w:rsidP="00A01AC8">
      <w:pPr>
        <w:pStyle w:val="Paragraphe"/>
        <w:numPr>
          <w:ilvl w:val="0"/>
          <w:numId w:val="16"/>
        </w:numPr>
      </w:pPr>
      <w:r w:rsidRPr="000E585D">
        <w:t xml:space="preserve">Formaliser les partenariats avec les centres régionaux à travers des </w:t>
      </w:r>
      <w:proofErr w:type="spellStart"/>
      <w:r w:rsidRPr="000E585D">
        <w:t>MoU</w:t>
      </w:r>
      <w:proofErr w:type="spellEnd"/>
      <w:r w:rsidR="00CB7929">
        <w:t> ;</w:t>
      </w:r>
      <w:r w:rsidRPr="000E585D">
        <w:t xml:space="preserve"> </w:t>
      </w:r>
    </w:p>
    <w:p w14:paraId="3C22A5CD" w14:textId="7587B23D" w:rsidR="00F21A8D" w:rsidRPr="000E585D" w:rsidRDefault="00F21A8D" w:rsidP="00A01AC8">
      <w:pPr>
        <w:pStyle w:val="Paragraphe"/>
        <w:numPr>
          <w:ilvl w:val="0"/>
          <w:numId w:val="16"/>
        </w:numPr>
      </w:pPr>
      <w:r w:rsidRPr="000E585D">
        <w:t xml:space="preserve">Discuter des possibilités d’harmoniser les manières de faire, les cadres légaux qui régissent ces centres ainsi que la sécurisation des données et plus largement l’interopérabilité des centres ; </w:t>
      </w:r>
    </w:p>
    <w:p w14:paraId="183F875C" w14:textId="77777777" w:rsidR="00F21A8D" w:rsidRPr="000E585D" w:rsidRDefault="00F21A8D" w:rsidP="00A01AC8">
      <w:pPr>
        <w:pStyle w:val="Paragraphe"/>
        <w:numPr>
          <w:ilvl w:val="0"/>
          <w:numId w:val="16"/>
        </w:numPr>
      </w:pPr>
      <w:r w:rsidRPr="000E585D">
        <w:t xml:space="preserve">Renforcer les capacités nationales pour garantir un degré minimal de capacités maritimes permettant la mise en réseau au niveau régional ; </w:t>
      </w:r>
    </w:p>
    <w:p w14:paraId="58389EC0" w14:textId="7D9BD063" w:rsidR="00F21A8D" w:rsidRPr="000E585D" w:rsidRDefault="00F21A8D" w:rsidP="00A01AC8">
      <w:pPr>
        <w:pStyle w:val="Paragraphe"/>
        <w:numPr>
          <w:ilvl w:val="0"/>
          <w:numId w:val="16"/>
        </w:numPr>
      </w:pPr>
      <w:r w:rsidRPr="000E585D">
        <w:t>Renforcer le lien entre les centres de partage d’information et des mécanismes d’actions coordonnées en mer, notamment par des centres dédiés à l’image du CRCO</w:t>
      </w:r>
      <w:r w:rsidR="00A2349B">
        <w:t> ;</w:t>
      </w:r>
      <w:r w:rsidRPr="000E585D">
        <w:t xml:space="preserve"> </w:t>
      </w:r>
    </w:p>
    <w:p w14:paraId="0F2F0CC9" w14:textId="6DB2132D" w:rsidR="00F21A8D" w:rsidRPr="000E585D" w:rsidRDefault="00F21A8D" w:rsidP="00A01AC8">
      <w:pPr>
        <w:pStyle w:val="Paragraphe"/>
        <w:numPr>
          <w:ilvl w:val="0"/>
          <w:numId w:val="16"/>
        </w:numPr>
      </w:pPr>
      <w:r w:rsidRPr="000E585D">
        <w:t>Réfléchir aux moyens d’améliorer le « </w:t>
      </w:r>
      <w:proofErr w:type="spellStart"/>
      <w:r w:rsidRPr="000E585D">
        <w:t>legal</w:t>
      </w:r>
      <w:proofErr w:type="spellEnd"/>
      <w:r w:rsidRPr="000E585D">
        <w:t xml:space="preserve"> finish » afin que les infractions constatées en mer puissent donner lieu à des actions légales</w:t>
      </w:r>
      <w:r w:rsidR="00A2349B">
        <w:t>.</w:t>
      </w:r>
      <w:r w:rsidRPr="000E585D">
        <w:t xml:space="preserve"> </w:t>
      </w:r>
    </w:p>
    <w:p w14:paraId="71F120EF" w14:textId="77777777" w:rsidR="00F21A8D" w:rsidRPr="000E585D" w:rsidRDefault="00F21A8D" w:rsidP="00F21A8D">
      <w:pPr>
        <w:pStyle w:val="Paragraphe"/>
        <w:rPr>
          <w:rFonts w:cs="Segoe UI"/>
          <w:spacing w:val="6"/>
        </w:rPr>
      </w:pPr>
      <w:r>
        <w:rPr>
          <w:rFonts w:cs="Segoe UI"/>
          <w:spacing w:val="6"/>
        </w:rPr>
        <w:t>L</w:t>
      </w:r>
      <w:r w:rsidRPr="000E585D">
        <w:rPr>
          <w:rFonts w:cs="Segoe UI"/>
          <w:spacing w:val="6"/>
        </w:rPr>
        <w:t xml:space="preserve">e dialogue avec les États de la région (Tanzanie, Mozambique, Afrique du Sud et Somalie) </w:t>
      </w:r>
      <w:r>
        <w:rPr>
          <w:rFonts w:cs="Segoe UI"/>
          <w:spacing w:val="6"/>
        </w:rPr>
        <w:t xml:space="preserve">devra continuer </w:t>
      </w:r>
      <w:r w:rsidRPr="000E585D">
        <w:rPr>
          <w:rFonts w:cs="Segoe UI"/>
          <w:spacing w:val="6"/>
        </w:rPr>
        <w:t>pour les inviter à adopter ces accords et attirer d’autres Etats et partenaires extérieurs à la région, incluant les observateurs auprès de la COI à coopérer pour la pleine opérationnalisation de</w:t>
      </w:r>
      <w:r w:rsidRPr="000E585D">
        <w:rPr>
          <w:spacing w:val="6"/>
        </w:rPr>
        <w:t xml:space="preserve"> l’</w:t>
      </w:r>
      <w:r>
        <w:rPr>
          <w:spacing w:val="6"/>
        </w:rPr>
        <w:t>ASMI</w:t>
      </w:r>
      <w:r w:rsidRPr="000E585D">
        <w:rPr>
          <w:rFonts w:cs="Segoe UI"/>
          <w:spacing w:val="6"/>
        </w:rPr>
        <w:t xml:space="preserve">. </w:t>
      </w:r>
    </w:p>
    <w:p w14:paraId="13A86367" w14:textId="77777777" w:rsidR="00F21A8D" w:rsidRPr="000E585D" w:rsidRDefault="00F21A8D" w:rsidP="00F21A8D">
      <w:pPr>
        <w:pStyle w:val="Paragraphe"/>
        <w:rPr>
          <w:rFonts w:cs="Segoe UI"/>
          <w:spacing w:val="6"/>
        </w:rPr>
      </w:pPr>
      <w:r>
        <w:rPr>
          <w:rFonts w:cs="Segoe UI"/>
          <w:spacing w:val="6"/>
        </w:rPr>
        <w:t xml:space="preserve">La mobilisation régionale et internationale </w:t>
      </w:r>
      <w:r w:rsidRPr="000E585D">
        <w:rPr>
          <w:rFonts w:cs="Segoe UI"/>
          <w:spacing w:val="6"/>
        </w:rPr>
        <w:t>pour renforcer l’ASMI et son opérationnalisatio</w:t>
      </w:r>
      <w:r>
        <w:rPr>
          <w:rFonts w:cs="Segoe UI"/>
          <w:spacing w:val="6"/>
        </w:rPr>
        <w:t xml:space="preserve">n par le biais de </w:t>
      </w:r>
      <w:r w:rsidRPr="000E585D">
        <w:rPr>
          <w:rFonts w:cs="Segoe UI"/>
          <w:spacing w:val="6"/>
        </w:rPr>
        <w:t>rencontres ministérielles régulière</w:t>
      </w:r>
      <w:r>
        <w:rPr>
          <w:rFonts w:cs="Segoe UI"/>
          <w:spacing w:val="6"/>
        </w:rPr>
        <w:t xml:space="preserve">s doivent continuer, tout en </w:t>
      </w:r>
      <w:r w:rsidRPr="000E585D">
        <w:rPr>
          <w:rFonts w:cs="Segoe UI"/>
          <w:spacing w:val="6"/>
        </w:rPr>
        <w:t>évit</w:t>
      </w:r>
      <w:r>
        <w:rPr>
          <w:rFonts w:cs="Segoe UI"/>
          <w:spacing w:val="6"/>
        </w:rPr>
        <w:t>ant</w:t>
      </w:r>
      <w:r w:rsidRPr="000E585D">
        <w:rPr>
          <w:rFonts w:cs="Segoe UI"/>
          <w:spacing w:val="6"/>
        </w:rPr>
        <w:t xml:space="preserve"> une multiplication d’actions non-coordonnées et dispersées. </w:t>
      </w:r>
    </w:p>
    <w:p w14:paraId="7EEEB392" w14:textId="501B921F" w:rsidR="00F21A8D" w:rsidRDefault="00F21A8D" w:rsidP="00F21A8D">
      <w:pPr>
        <w:pStyle w:val="Titrepartie"/>
        <w:numPr>
          <w:ilvl w:val="0"/>
          <w:numId w:val="0"/>
        </w:numPr>
        <w:ind w:left="720" w:hanging="360"/>
      </w:pPr>
    </w:p>
    <w:p w14:paraId="4CC186C8" w14:textId="5A9318F5" w:rsidR="0005023B" w:rsidRPr="000E585D" w:rsidRDefault="0005023B" w:rsidP="0005023B">
      <w:pPr>
        <w:pStyle w:val="Sous-partie2"/>
      </w:pPr>
      <w:r>
        <w:t xml:space="preserve">Appui et coordination du Groupe de contact sur les crimes maritimes dans l’océan Indien </w:t>
      </w:r>
      <w:r w:rsidR="00D23E5C">
        <w:t>occidental</w:t>
      </w:r>
    </w:p>
    <w:p w14:paraId="753A7332" w14:textId="79D67178" w:rsidR="00D23E5C" w:rsidRPr="000E585D" w:rsidRDefault="00D23E5C" w:rsidP="00D23E5C">
      <w:pPr>
        <w:pStyle w:val="Paragraphe"/>
      </w:pPr>
      <w:r w:rsidRPr="00462742">
        <w:t xml:space="preserve">La résolution 2608 du </w:t>
      </w:r>
      <w:r>
        <w:t>C</w:t>
      </w:r>
      <w:r w:rsidRPr="00462742">
        <w:t xml:space="preserve">onseil de sécurité des Nations Unies de décembre 2021 a poussé la communauté Internationale et le groupe de contact </w:t>
      </w:r>
      <w:r>
        <w:t xml:space="preserve">sur la piraterie au large des côtes somaliennes (CGPCS) </w:t>
      </w:r>
      <w:r w:rsidRPr="00462742">
        <w:t xml:space="preserve">à revoir l’orientation </w:t>
      </w:r>
      <w:r>
        <w:t>du groupe pour tendre</w:t>
      </w:r>
      <w:r w:rsidRPr="00462742">
        <w:t xml:space="preserve"> vers l’ensemble des crimes et de défis de sécurité maritime dans la région de l’</w:t>
      </w:r>
      <w:r>
        <w:t>o</w:t>
      </w:r>
      <w:r w:rsidRPr="00462742">
        <w:t xml:space="preserve">céan Indien </w:t>
      </w:r>
      <w:r>
        <w:t>o</w:t>
      </w:r>
      <w:r w:rsidRPr="00462742">
        <w:t>ccidental</w:t>
      </w:r>
      <w:r>
        <w:t xml:space="preserve">. Cette réorientation du mandat du CGPCS consacre un rapprochement avec les missions de </w:t>
      </w:r>
      <w:r w:rsidRPr="00462742">
        <w:t xml:space="preserve">l’ASMI </w:t>
      </w:r>
      <w:r>
        <w:t>impulsée par la COI dans le cadre de MASE</w:t>
      </w:r>
      <w:r w:rsidRPr="00462742">
        <w:t xml:space="preserve">. </w:t>
      </w:r>
    </w:p>
    <w:p w14:paraId="7A3D0234" w14:textId="7181D2D1" w:rsidR="00D23E5C" w:rsidRPr="000E585D" w:rsidRDefault="00D23E5C" w:rsidP="00D23E5C">
      <w:pPr>
        <w:pStyle w:val="Paragraphe"/>
        <w:rPr>
          <w:highlight w:val="yellow"/>
        </w:rPr>
      </w:pPr>
      <w:r w:rsidRPr="000E585D">
        <w:t xml:space="preserve">Le </w:t>
      </w:r>
      <w:r>
        <w:t>S</w:t>
      </w:r>
      <w:r w:rsidRPr="000E585D">
        <w:t xml:space="preserve">ecrétariat général de la COI assuré le secrétariat du </w:t>
      </w:r>
      <w:r>
        <w:t>CGPCS</w:t>
      </w:r>
      <w:r w:rsidRPr="000E585D">
        <w:t xml:space="preserve"> depuis plus de quatre ans </w:t>
      </w:r>
      <w:r>
        <w:t xml:space="preserve">et </w:t>
      </w:r>
      <w:r w:rsidRPr="000E585D">
        <w:t xml:space="preserve">sera appelé encore à jouer un rôle important pour le rapprochement entre les </w:t>
      </w:r>
      <w:r>
        <w:t>missions révisées de l’ex-CGPCS et celles de la COI</w:t>
      </w:r>
      <w:r w:rsidRPr="000E585D">
        <w:t xml:space="preserve">, ainsi qu’une continuité des actions qui étaient entreprises sous le fonds fiduciaire géré par les Nations Unies, mais qui a été arrêté depuis 2021. </w:t>
      </w:r>
    </w:p>
    <w:p w14:paraId="5DF40396" w14:textId="6BC250E8" w:rsidR="00D23E5C" w:rsidRDefault="00D23E5C" w:rsidP="001A6657">
      <w:pPr>
        <w:pStyle w:val="Paragraphe"/>
      </w:pPr>
    </w:p>
    <w:p w14:paraId="18A6D4C9" w14:textId="533DEA47" w:rsidR="00D20190" w:rsidRDefault="00D20190" w:rsidP="001A6657">
      <w:pPr>
        <w:pStyle w:val="Paragraphe"/>
      </w:pPr>
    </w:p>
    <w:p w14:paraId="095175AC" w14:textId="151BECBA" w:rsidR="00D20190" w:rsidRDefault="00D20190" w:rsidP="001A6657">
      <w:pPr>
        <w:pStyle w:val="Paragraphe"/>
      </w:pPr>
    </w:p>
    <w:p w14:paraId="6B55599C" w14:textId="445B9ECC" w:rsidR="00D20190" w:rsidRDefault="00D20190" w:rsidP="001A6657">
      <w:pPr>
        <w:pStyle w:val="Paragraphe"/>
      </w:pPr>
    </w:p>
    <w:p w14:paraId="09E7CBF5" w14:textId="1C88334C" w:rsidR="00D20190" w:rsidRDefault="00D20190" w:rsidP="001A6657">
      <w:pPr>
        <w:pStyle w:val="Paragraphe"/>
      </w:pPr>
    </w:p>
    <w:p w14:paraId="3024B46A" w14:textId="77777777" w:rsidR="00D20190" w:rsidRDefault="00D20190" w:rsidP="001A6657">
      <w:pPr>
        <w:pStyle w:val="Paragraphe"/>
      </w:pPr>
    </w:p>
    <w:p w14:paraId="2F7F5914" w14:textId="608AD6BB" w:rsidR="00955BB3" w:rsidRPr="0008468B" w:rsidRDefault="00955BB3" w:rsidP="00A70123">
      <w:pPr>
        <w:pStyle w:val="Titrepartie"/>
      </w:pPr>
      <w:r w:rsidRPr="0008468B">
        <w:lastRenderedPageBreak/>
        <w:t>Proposition de décision</w:t>
      </w:r>
    </w:p>
    <w:p w14:paraId="367D6942" w14:textId="68A17D4B" w:rsidR="008536FA" w:rsidRDefault="008536FA" w:rsidP="008536FA">
      <w:pPr>
        <w:pStyle w:val="Paragraphe"/>
      </w:pPr>
      <w:r w:rsidRPr="00E41888">
        <w:t xml:space="preserve">Le Comité des OPL recommande au Conseil des ministres </w:t>
      </w:r>
      <w:r>
        <w:t xml:space="preserve">à : </w:t>
      </w:r>
    </w:p>
    <w:p w14:paraId="52C35991" w14:textId="77777777" w:rsidR="006D07A0" w:rsidRDefault="008536FA" w:rsidP="008536FA">
      <w:pPr>
        <w:pStyle w:val="Paragraphe"/>
        <w:numPr>
          <w:ilvl w:val="0"/>
          <w:numId w:val="17"/>
        </w:numPr>
      </w:pPr>
      <w:r>
        <w:t xml:space="preserve">Encourager le Secrétariat général à poursuivre la </w:t>
      </w:r>
      <w:r w:rsidRPr="00E41888">
        <w:t>formulation d</w:t>
      </w:r>
      <w:r>
        <w:t>’un</w:t>
      </w:r>
      <w:r w:rsidRPr="00E41888">
        <w:t xml:space="preserve"> Programme MASE II sur la base des six champs d’actions proposés</w:t>
      </w:r>
      <w:r w:rsidR="006D07A0">
        <w:t xml:space="preserve"> ; </w:t>
      </w:r>
    </w:p>
    <w:p w14:paraId="241B7349" w14:textId="5635DF37" w:rsidR="008536FA" w:rsidRPr="00E41888" w:rsidRDefault="006D07A0" w:rsidP="008536FA">
      <w:pPr>
        <w:pStyle w:val="Paragraphe"/>
        <w:numPr>
          <w:ilvl w:val="0"/>
          <w:numId w:val="17"/>
        </w:numPr>
      </w:pPr>
      <w:r>
        <w:t xml:space="preserve">Demander au Secrétariat général de présenter </w:t>
      </w:r>
      <w:r w:rsidR="00407CAC">
        <w:t>aux Etats membres une proposition de programme dans les meilleurs délais en vue d’une décision dans le cour</w:t>
      </w:r>
      <w:r w:rsidR="0009058C">
        <w:t xml:space="preserve">s de l’année afin d’assurer une continuité sans interruption des activités en cours dans le cadre du programme MASE ; </w:t>
      </w:r>
    </w:p>
    <w:p w14:paraId="495CA3D7" w14:textId="103660EE" w:rsidR="0008468B" w:rsidRPr="00D20190" w:rsidRDefault="0009058C" w:rsidP="009E39C3">
      <w:pPr>
        <w:pStyle w:val="Paragraphedeliste"/>
        <w:numPr>
          <w:ilvl w:val="0"/>
          <w:numId w:val="17"/>
        </w:numPr>
        <w:rPr>
          <w:rFonts w:ascii="Verdana" w:hAnsi="Verdana" w:cs="Calibri"/>
          <w:sz w:val="20"/>
          <w:szCs w:val="20"/>
        </w:rPr>
      </w:pPr>
      <w:r w:rsidRPr="00D20190">
        <w:rPr>
          <w:rFonts w:ascii="Verdana" w:hAnsi="Verdana"/>
          <w:sz w:val="20"/>
          <w:szCs w:val="20"/>
        </w:rPr>
        <w:t xml:space="preserve">Encourager le Secrétariat général à </w:t>
      </w:r>
      <w:r w:rsidR="00A40021" w:rsidRPr="00D20190">
        <w:rPr>
          <w:rFonts w:ascii="Verdana" w:hAnsi="Verdana"/>
          <w:sz w:val="20"/>
          <w:szCs w:val="20"/>
        </w:rPr>
        <w:t xml:space="preserve">solliciter les membres observateurs et les partenaires pour </w:t>
      </w:r>
      <w:r w:rsidR="009E39C3" w:rsidRPr="00D20190">
        <w:rPr>
          <w:rFonts w:ascii="Verdana" w:hAnsi="Verdana"/>
          <w:sz w:val="20"/>
          <w:szCs w:val="20"/>
        </w:rPr>
        <w:t xml:space="preserve">mettre en œuvre le large éventail d’actions proposés. </w:t>
      </w:r>
    </w:p>
    <w:p w14:paraId="113154B8" w14:textId="77777777" w:rsidR="00D20190" w:rsidRPr="008536FA" w:rsidRDefault="00D20190" w:rsidP="00D20190">
      <w:pPr>
        <w:pStyle w:val="Paragraphedeliste"/>
        <w:rPr>
          <w:rFonts w:ascii="Verdana" w:hAnsi="Verdana" w:cs="Calibri"/>
          <w:sz w:val="20"/>
          <w:szCs w:val="20"/>
        </w:rPr>
      </w:pPr>
    </w:p>
    <w:p w14:paraId="7EAEB404" w14:textId="72ACB4A7" w:rsidR="00955BB3" w:rsidRPr="0008468B" w:rsidRDefault="00955BB3" w:rsidP="00FE285D">
      <w:pPr>
        <w:pStyle w:val="Titrepartie"/>
      </w:pPr>
      <w:r w:rsidRPr="0008468B">
        <w:t>Rappel des décisions antérieures</w:t>
      </w:r>
    </w:p>
    <w:bookmarkEnd w:id="0"/>
    <w:p w14:paraId="623000D0" w14:textId="109EE72A" w:rsidR="0008468B" w:rsidRPr="00FE285D" w:rsidRDefault="00FE285D" w:rsidP="00060CA0">
      <w:pPr>
        <w:pStyle w:val="Exergue"/>
      </w:pPr>
      <w:r>
        <w:t>Cf.</w:t>
      </w:r>
      <w:r w:rsidR="0008468B" w:rsidRPr="00FE285D">
        <w:t xml:space="preserve"> Décision </w:t>
      </w:r>
      <w:r w:rsidR="0047109B">
        <w:t>8</w:t>
      </w:r>
      <w:r w:rsidR="0008468B" w:rsidRPr="00FE285D">
        <w:t xml:space="preserve">. </w:t>
      </w:r>
      <w:r w:rsidR="0047109B">
        <w:t>Conseil extraordinaire des ministres de la COI, novembre 2021</w:t>
      </w:r>
    </w:p>
    <w:p w14:paraId="669C15E2" w14:textId="76E1123F" w:rsidR="0008468B" w:rsidRPr="0008468B" w:rsidRDefault="0047109B" w:rsidP="00060CA0">
      <w:pPr>
        <w:pStyle w:val="Paragraphe"/>
      </w:pPr>
      <w:r>
        <w:t xml:space="preserve">Notamment alinéa m) – demandant au Secrétariat général d’élaborer un </w:t>
      </w:r>
      <w:r w:rsidR="00D20190">
        <w:t xml:space="preserve">programme permettant d’assurer une suite du programme MASE pour soumission à l’Union européenne. </w:t>
      </w:r>
    </w:p>
    <w:sectPr w:rsidR="0008468B" w:rsidRPr="0008468B" w:rsidSect="00D20190">
      <w:headerReference w:type="default" r:id="rId7"/>
      <w:footerReference w:type="default" r:id="rId8"/>
      <w:pgSz w:w="11906" w:h="16838"/>
      <w:pgMar w:top="1843"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2DB70" w14:textId="77777777" w:rsidR="00CF5DE1" w:rsidRDefault="00CF5DE1">
      <w:pPr>
        <w:spacing w:after="0" w:line="240" w:lineRule="auto"/>
      </w:pPr>
      <w:r>
        <w:separator/>
      </w:r>
    </w:p>
  </w:endnote>
  <w:endnote w:type="continuationSeparator" w:id="0">
    <w:p w14:paraId="6245298C" w14:textId="77777777" w:rsidR="00CF5DE1" w:rsidRDefault="00CF5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4BF55" w14:textId="77777777" w:rsidR="00CF5DE1" w:rsidRDefault="00CF5DE1">
      <w:pPr>
        <w:spacing w:after="0" w:line="240" w:lineRule="auto"/>
      </w:pPr>
      <w:r>
        <w:separator/>
      </w:r>
    </w:p>
  </w:footnote>
  <w:footnote w:type="continuationSeparator" w:id="0">
    <w:p w14:paraId="4AD29B62" w14:textId="77777777" w:rsidR="00CF5DE1" w:rsidRDefault="00CF5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6C79" w14:textId="15AE620B"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001598">
      <w:rPr>
        <w:rFonts w:ascii="Verdana" w:hAnsi="Verdana"/>
        <w:b/>
        <w:bCs/>
        <w:sz w:val="20"/>
        <w:szCs w:val="20"/>
      </w:rPr>
      <w:t>3.1.</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84E"/>
    <w:multiLevelType w:val="hybridMultilevel"/>
    <w:tmpl w:val="336C0F8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63349D"/>
    <w:multiLevelType w:val="hybridMultilevel"/>
    <w:tmpl w:val="5F6E9DBE"/>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7484C32"/>
    <w:multiLevelType w:val="hybridMultilevel"/>
    <w:tmpl w:val="84E011B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EF331F"/>
    <w:multiLevelType w:val="hybridMultilevel"/>
    <w:tmpl w:val="BE3E0A5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784E2E"/>
    <w:multiLevelType w:val="hybridMultilevel"/>
    <w:tmpl w:val="E3A0067A"/>
    <w:lvl w:ilvl="0" w:tplc="E21037E4">
      <w:start w:val="1"/>
      <w:numFmt w:val="lowerRoman"/>
      <w:lvlText w:val="(%1)"/>
      <w:lvlJc w:val="left"/>
      <w:pPr>
        <w:ind w:left="1440" w:hanging="1080"/>
      </w:pPr>
      <w:rPr>
        <w:rFonts w:cs="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AA76906"/>
    <w:multiLevelType w:val="hybridMultilevel"/>
    <w:tmpl w:val="B208748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7250C97"/>
    <w:multiLevelType w:val="hybridMultilevel"/>
    <w:tmpl w:val="C70A5AE2"/>
    <w:lvl w:ilvl="0" w:tplc="CBFC3312">
      <w:start w:val="1"/>
      <w:numFmt w:val="lowerRoman"/>
      <w:lvlText w:val="(%1)"/>
      <w:lvlJc w:val="left"/>
      <w:pPr>
        <w:ind w:left="1440" w:hanging="108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4"/>
  </w:num>
  <w:num w:numId="4">
    <w:abstractNumId w:val="1"/>
  </w:num>
  <w:num w:numId="5">
    <w:abstractNumId w:val="13"/>
  </w:num>
  <w:num w:numId="6">
    <w:abstractNumId w:val="6"/>
  </w:num>
  <w:num w:numId="7">
    <w:abstractNumId w:val="9"/>
  </w:num>
  <w:num w:numId="8">
    <w:abstractNumId w:val="4"/>
    <w:lvlOverride w:ilvl="0">
      <w:startOverride w:val="1"/>
    </w:lvlOverride>
  </w:num>
  <w:num w:numId="9">
    <w:abstractNumId w:val="3"/>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1"/>
  </w:num>
  <w:num w:numId="13">
    <w:abstractNumId w:val="10"/>
  </w:num>
  <w:num w:numId="14">
    <w:abstractNumId w:val="0"/>
  </w:num>
  <w:num w:numId="15">
    <w:abstractNumId w:val="2"/>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1598"/>
    <w:rsid w:val="000373B2"/>
    <w:rsid w:val="00042CF5"/>
    <w:rsid w:val="0005023B"/>
    <w:rsid w:val="00060CA0"/>
    <w:rsid w:val="00063A26"/>
    <w:rsid w:val="00065808"/>
    <w:rsid w:val="0008468B"/>
    <w:rsid w:val="0009058C"/>
    <w:rsid w:val="000A468A"/>
    <w:rsid w:val="000B0FBD"/>
    <w:rsid w:val="000F4728"/>
    <w:rsid w:val="00107D9D"/>
    <w:rsid w:val="0011385D"/>
    <w:rsid w:val="001301AE"/>
    <w:rsid w:val="0017619D"/>
    <w:rsid w:val="0018252D"/>
    <w:rsid w:val="001A56F1"/>
    <w:rsid w:val="001A6657"/>
    <w:rsid w:val="001B4738"/>
    <w:rsid w:val="001C032B"/>
    <w:rsid w:val="001F2184"/>
    <w:rsid w:val="002774D5"/>
    <w:rsid w:val="002A0933"/>
    <w:rsid w:val="002A096E"/>
    <w:rsid w:val="002C56ED"/>
    <w:rsid w:val="00331BF2"/>
    <w:rsid w:val="003604B9"/>
    <w:rsid w:val="00370124"/>
    <w:rsid w:val="00373304"/>
    <w:rsid w:val="003772FB"/>
    <w:rsid w:val="00391152"/>
    <w:rsid w:val="003C2538"/>
    <w:rsid w:val="003D485F"/>
    <w:rsid w:val="003D5328"/>
    <w:rsid w:val="003D7659"/>
    <w:rsid w:val="00407CAC"/>
    <w:rsid w:val="0041278C"/>
    <w:rsid w:val="00417683"/>
    <w:rsid w:val="00426673"/>
    <w:rsid w:val="004607F7"/>
    <w:rsid w:val="00462312"/>
    <w:rsid w:val="0047109B"/>
    <w:rsid w:val="004818F2"/>
    <w:rsid w:val="004E128C"/>
    <w:rsid w:val="004F5C4B"/>
    <w:rsid w:val="0053773D"/>
    <w:rsid w:val="005529D1"/>
    <w:rsid w:val="005869C9"/>
    <w:rsid w:val="00620B90"/>
    <w:rsid w:val="006356AF"/>
    <w:rsid w:val="006548BF"/>
    <w:rsid w:val="00660504"/>
    <w:rsid w:val="006644B8"/>
    <w:rsid w:val="006D07A0"/>
    <w:rsid w:val="006E2D9E"/>
    <w:rsid w:val="0075504C"/>
    <w:rsid w:val="007750CA"/>
    <w:rsid w:val="0079231D"/>
    <w:rsid w:val="007B245C"/>
    <w:rsid w:val="007C78FC"/>
    <w:rsid w:val="00816DAC"/>
    <w:rsid w:val="0083290E"/>
    <w:rsid w:val="00843FF2"/>
    <w:rsid w:val="008453AB"/>
    <w:rsid w:val="008536FA"/>
    <w:rsid w:val="00854EEA"/>
    <w:rsid w:val="008551DA"/>
    <w:rsid w:val="00885FBF"/>
    <w:rsid w:val="008D193F"/>
    <w:rsid w:val="008D786F"/>
    <w:rsid w:val="008F173C"/>
    <w:rsid w:val="00926B53"/>
    <w:rsid w:val="00950A8B"/>
    <w:rsid w:val="00955BB3"/>
    <w:rsid w:val="009A38AD"/>
    <w:rsid w:val="009E39C3"/>
    <w:rsid w:val="00A01AC8"/>
    <w:rsid w:val="00A148A1"/>
    <w:rsid w:val="00A22170"/>
    <w:rsid w:val="00A221CC"/>
    <w:rsid w:val="00A2349B"/>
    <w:rsid w:val="00A36C09"/>
    <w:rsid w:val="00A37C9F"/>
    <w:rsid w:val="00A40021"/>
    <w:rsid w:val="00A70123"/>
    <w:rsid w:val="00A76B07"/>
    <w:rsid w:val="00A81B98"/>
    <w:rsid w:val="00A83E23"/>
    <w:rsid w:val="00A90305"/>
    <w:rsid w:val="00AA63A3"/>
    <w:rsid w:val="00AB5EB7"/>
    <w:rsid w:val="00AD4D97"/>
    <w:rsid w:val="00AE2453"/>
    <w:rsid w:val="00B05DFC"/>
    <w:rsid w:val="00B07749"/>
    <w:rsid w:val="00B20E23"/>
    <w:rsid w:val="00B36EEA"/>
    <w:rsid w:val="00BA4B55"/>
    <w:rsid w:val="00BF0017"/>
    <w:rsid w:val="00C12C93"/>
    <w:rsid w:val="00C325F5"/>
    <w:rsid w:val="00C457E8"/>
    <w:rsid w:val="00C609B9"/>
    <w:rsid w:val="00CB7929"/>
    <w:rsid w:val="00CC76E6"/>
    <w:rsid w:val="00CE2386"/>
    <w:rsid w:val="00CF5DE1"/>
    <w:rsid w:val="00D20190"/>
    <w:rsid w:val="00D20996"/>
    <w:rsid w:val="00D23E5C"/>
    <w:rsid w:val="00DC5E66"/>
    <w:rsid w:val="00DD3334"/>
    <w:rsid w:val="00E0114E"/>
    <w:rsid w:val="00E31EDD"/>
    <w:rsid w:val="00E321E2"/>
    <w:rsid w:val="00E32408"/>
    <w:rsid w:val="00E76B2B"/>
    <w:rsid w:val="00E845D4"/>
    <w:rsid w:val="00EB3146"/>
    <w:rsid w:val="00EC22CC"/>
    <w:rsid w:val="00ED6B69"/>
    <w:rsid w:val="00EE34F4"/>
    <w:rsid w:val="00EF22A4"/>
    <w:rsid w:val="00F21A8D"/>
    <w:rsid w:val="00F54EA0"/>
    <w:rsid w:val="00F96EE9"/>
    <w:rsid w:val="00FD550D"/>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196064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Pages>
  <Words>2632</Words>
  <Characters>14479</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MOHABEER</dc:creator>
  <cp:keywords/>
  <dc:description/>
  <cp:lastModifiedBy>Gilles RIBOUET</cp:lastModifiedBy>
  <cp:revision>56</cp:revision>
  <dcterms:created xsi:type="dcterms:W3CDTF">2022-01-27T12:22:00Z</dcterms:created>
  <dcterms:modified xsi:type="dcterms:W3CDTF">2022-01-27T13:13:00Z</dcterms:modified>
</cp:coreProperties>
</file>