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5F31B597" w:rsidR="00EC22CC" w:rsidRDefault="00082093" w:rsidP="00854EEA">
            <w:pPr>
              <w:jc w:val="center"/>
              <w:rPr>
                <w:rFonts w:ascii="Verdana" w:hAnsi="Verdana"/>
                <w:b/>
                <w:bCs/>
                <w:sz w:val="20"/>
                <w:szCs w:val="20"/>
              </w:rPr>
            </w:pPr>
            <w:r>
              <w:rPr>
                <w:rFonts w:ascii="Verdana" w:hAnsi="Verdana"/>
                <w:b/>
                <w:bCs/>
              </w:rPr>
              <w:t>Appui institutionnel à la COI</w:t>
            </w:r>
            <w:r w:rsidR="00D56835">
              <w:rPr>
                <w:rFonts w:ascii="Verdana" w:hAnsi="Verdana"/>
                <w:b/>
                <w:bCs/>
              </w:rPr>
              <w:t xml:space="preserve"> et Plan de développement stratégique</w:t>
            </w:r>
            <w:r>
              <w:rPr>
                <w:rFonts w:ascii="Verdana" w:hAnsi="Verdana"/>
                <w:b/>
                <w:bCs/>
              </w:rPr>
              <w:t xml:space="preserve"> </w:t>
            </w:r>
          </w:p>
        </w:tc>
      </w:tr>
      <w:tr w:rsidR="00EC22CC" w14:paraId="7F1B63D2" w14:textId="77777777" w:rsidTr="002A0933">
        <w:tc>
          <w:tcPr>
            <w:tcW w:w="7225" w:type="dxa"/>
          </w:tcPr>
          <w:p w14:paraId="056D9B10" w14:textId="2C979AFE" w:rsidR="00EC22CC" w:rsidRPr="002A096E" w:rsidRDefault="00082093" w:rsidP="002A096E">
            <w:pPr>
              <w:rPr>
                <w:rFonts w:ascii="Verdana" w:hAnsi="Verdana"/>
                <w:sz w:val="20"/>
                <w:szCs w:val="20"/>
              </w:rPr>
            </w:pPr>
            <w:r>
              <w:rPr>
                <w:rFonts w:ascii="Verdana" w:hAnsi="Verdana"/>
                <w:sz w:val="20"/>
                <w:szCs w:val="20"/>
              </w:rPr>
              <w:t>Conseil des Ministres, Paris, février 2022</w:t>
            </w:r>
          </w:p>
        </w:tc>
        <w:tc>
          <w:tcPr>
            <w:tcW w:w="1837" w:type="dxa"/>
          </w:tcPr>
          <w:p w14:paraId="58E25D1F" w14:textId="2333C1FE"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B36DF1">
              <w:rPr>
                <w:rFonts w:ascii="Verdana" w:hAnsi="Verdana"/>
                <w:sz w:val="20"/>
                <w:szCs w:val="20"/>
              </w:rPr>
              <w:t>2.5.</w:t>
            </w:r>
          </w:p>
        </w:tc>
      </w:tr>
      <w:tr w:rsidR="00EC22CC" w14:paraId="537D1DE5" w14:textId="77777777" w:rsidTr="002A0933">
        <w:tc>
          <w:tcPr>
            <w:tcW w:w="7225" w:type="dxa"/>
          </w:tcPr>
          <w:p w14:paraId="43DEF09E" w14:textId="2122C4BF" w:rsidR="00EC22CC" w:rsidRPr="00A37C9F" w:rsidRDefault="00A148A1" w:rsidP="002A096E">
            <w:pPr>
              <w:rPr>
                <w:rFonts w:ascii="Verdana" w:hAnsi="Verdana"/>
                <w:sz w:val="20"/>
                <w:szCs w:val="20"/>
              </w:rPr>
            </w:pPr>
            <w:r w:rsidRPr="00395B96">
              <w:rPr>
                <w:rFonts w:ascii="Verdana" w:hAnsi="Verdana"/>
                <w:i/>
                <w:iCs/>
                <w:sz w:val="20"/>
                <w:szCs w:val="20"/>
              </w:rPr>
              <w:t>Dossier suivi par :</w:t>
            </w:r>
            <w:r w:rsidR="00EC22CC" w:rsidRPr="00395B96">
              <w:rPr>
                <w:rFonts w:ascii="Verdana" w:hAnsi="Verdana"/>
                <w:sz w:val="20"/>
                <w:szCs w:val="20"/>
              </w:rPr>
              <w:t xml:space="preserve"> </w:t>
            </w:r>
            <w:r w:rsidR="00B36DF1" w:rsidRPr="00395B96">
              <w:rPr>
                <w:rFonts w:ascii="Verdana" w:hAnsi="Verdana"/>
                <w:sz w:val="20"/>
                <w:szCs w:val="20"/>
              </w:rPr>
              <w:t>Dev Phokeer, directeur</w:t>
            </w:r>
          </w:p>
        </w:tc>
        <w:tc>
          <w:tcPr>
            <w:tcW w:w="1837" w:type="dxa"/>
          </w:tcPr>
          <w:p w14:paraId="5AC1AFAB" w14:textId="6AEBE4D8" w:rsidR="00EC22CC" w:rsidRPr="002A0933" w:rsidRDefault="004607F7" w:rsidP="00854EEA">
            <w:pPr>
              <w:jc w:val="center"/>
              <w:rPr>
                <w:rFonts w:ascii="Verdana" w:hAnsi="Verdana"/>
                <w:sz w:val="20"/>
                <w:szCs w:val="20"/>
              </w:rPr>
            </w:pPr>
            <w:r w:rsidRPr="00082093">
              <w:rPr>
                <w:rFonts w:ascii="Verdana" w:hAnsi="Verdana"/>
                <w:sz w:val="20"/>
                <w:szCs w:val="20"/>
              </w:rPr>
              <w:t xml:space="preserve">Décision  </w:t>
            </w:r>
          </w:p>
        </w:tc>
      </w:tr>
      <w:tr w:rsidR="00A90305" w14:paraId="6896DB30" w14:textId="77777777" w:rsidTr="009F5233">
        <w:tc>
          <w:tcPr>
            <w:tcW w:w="9062" w:type="dxa"/>
            <w:gridSpan w:val="2"/>
          </w:tcPr>
          <w:p w14:paraId="0495241B" w14:textId="2F9CC154" w:rsidR="00A90305" w:rsidRDefault="00A90305" w:rsidP="00A90305">
            <w:pPr>
              <w:rPr>
                <w:rFonts w:ascii="Verdana" w:hAnsi="Verdana"/>
                <w:sz w:val="20"/>
                <w:szCs w:val="20"/>
              </w:rPr>
            </w:pPr>
            <w:r>
              <w:rPr>
                <w:rFonts w:ascii="Verdana" w:hAnsi="Verdana"/>
                <w:i/>
                <w:iCs/>
                <w:sz w:val="20"/>
                <w:szCs w:val="20"/>
              </w:rPr>
              <w:t xml:space="preserve">Version du </w:t>
            </w:r>
            <w:r w:rsidR="00B36DF1">
              <w:rPr>
                <w:rFonts w:ascii="Verdana" w:hAnsi="Verdana"/>
                <w:i/>
                <w:iCs/>
                <w:sz w:val="20"/>
                <w:szCs w:val="20"/>
              </w:rPr>
              <w:t>19</w:t>
            </w:r>
            <w:r w:rsidR="00082093">
              <w:rPr>
                <w:rFonts w:ascii="Verdana" w:hAnsi="Verdana"/>
                <w:i/>
                <w:iCs/>
                <w:sz w:val="20"/>
                <w:szCs w:val="20"/>
              </w:rPr>
              <w:t xml:space="preserve"> janvier 2022</w:t>
            </w:r>
            <w:r w:rsidRPr="00741875">
              <w:rPr>
                <w:rFonts w:ascii="Verdana" w:hAnsi="Verdana"/>
                <w:i/>
                <w:iCs/>
                <w:color w:val="FF0000"/>
                <w:sz w:val="20"/>
                <w:szCs w:val="20"/>
              </w:rPr>
              <w:t xml:space="preserve"> </w:t>
            </w:r>
            <w:r w:rsidR="00D56835">
              <w:rPr>
                <w:rFonts w:ascii="Verdana" w:hAnsi="Verdana"/>
                <w:i/>
                <w:iCs/>
                <w:color w:val="FF0000"/>
                <w:sz w:val="20"/>
                <w:szCs w:val="20"/>
              </w:rPr>
              <w:t>révisée le 01/02/22</w:t>
            </w:r>
          </w:p>
        </w:tc>
      </w:tr>
    </w:tbl>
    <w:p w14:paraId="1611BCC4" w14:textId="04EC44DF" w:rsidR="00854EEA" w:rsidRDefault="00854EEA" w:rsidP="00816DAC">
      <w:pPr>
        <w:pStyle w:val="Paragraphe"/>
      </w:pPr>
      <w:bookmarkStart w:id="0" w:name="_Hlk24535240"/>
    </w:p>
    <w:p w14:paraId="6D40D590" w14:textId="1945F706" w:rsidR="00035CAB" w:rsidRDefault="00955BB3" w:rsidP="00B36DF1">
      <w:pPr>
        <w:pStyle w:val="Titrepartie"/>
      </w:pPr>
      <w:r w:rsidRPr="0008468B">
        <w:t>Résumé</w:t>
      </w:r>
    </w:p>
    <w:p w14:paraId="3DA330DB" w14:textId="694E19CB" w:rsidR="00035CAB" w:rsidRDefault="00035CAB" w:rsidP="00B36DF1">
      <w:pPr>
        <w:pStyle w:val="Paragraphe"/>
      </w:pPr>
      <w:r>
        <w:t xml:space="preserve">En application des décisions 4.e et 4.f du Conseil extraordinaire des ministres de novembre 2021, le Secrétariat général a entamé les discussions avec l’Union européenne et l’Agence française de développement pour définir les contours d’un nouvel appui institutionnel. Cet appui pourrait prendre deux formes : </w:t>
      </w:r>
    </w:p>
    <w:p w14:paraId="74408272" w14:textId="0978E415" w:rsidR="00035CAB" w:rsidRDefault="00035CAB" w:rsidP="00035CAB">
      <w:pPr>
        <w:pStyle w:val="Paragraphe"/>
        <w:numPr>
          <w:ilvl w:val="0"/>
          <w:numId w:val="18"/>
        </w:numPr>
      </w:pPr>
      <w:r>
        <w:t xml:space="preserve">Un accompagnement technique et méthodologique pour l’élaboration du nouveau Plan de développement stratégique (PDS) de l’organisation. Le PDS constitue un cadre de référence stratégique et opérationnel pour la COI en (i) identifiant les secteurs prioritaires de l’action régionale ; (ii) définissant des objectifs pour l’organisation ; (iii) identifiant les besoins en ressources humaines, financières et matérielles nécessaires à l’atteinte des résultats recherchés ; (iv) soutenant la transformation de la COI ; (v) donnant une base de référence pour les partenaires techniques et financiers ; </w:t>
      </w:r>
    </w:p>
    <w:p w14:paraId="51E5DA6E" w14:textId="77777777" w:rsidR="00035CAB" w:rsidRDefault="00035CAB" w:rsidP="00035CAB">
      <w:pPr>
        <w:pStyle w:val="Paragraphe"/>
        <w:numPr>
          <w:ilvl w:val="0"/>
          <w:numId w:val="18"/>
        </w:numPr>
      </w:pPr>
      <w:r>
        <w:t xml:space="preserve">Un appui dégressif en termes de ressources humaines et techniques permettant (i) de répondre aux critères de conformité aux 9 piliers de l’UE et de l’accréditation auprès du Fonds vert pour le climat ; (ii) de mettre en place un système de gestion axée sur les résultats ; (iii) de gérer efficacement un volume croissant de financements et d’activités. </w:t>
      </w:r>
    </w:p>
    <w:p w14:paraId="271F472B" w14:textId="77777777" w:rsidR="00035CAB" w:rsidRDefault="00035CAB" w:rsidP="00035CAB">
      <w:pPr>
        <w:pStyle w:val="Paragraphe"/>
      </w:pPr>
      <w:r>
        <w:t xml:space="preserve">A la suite du Conseil extraordinaire des ministres, l’assistance technique INCA financée par l’UE a poursuivi ses travaux de modernisation des processus, procédures et textes de gestion au bénéfice du Secrétariat général (cf. fiche 2.4.). Ces améliorations permettent d’envisager de passer les tests d’accréditation aux 9 piliers de l’UE d’ici mi-2022. Des formations sont en cours afin d’assurer une pleine appropriation des outils et procédures modernisés. </w:t>
      </w:r>
    </w:p>
    <w:p w14:paraId="123A2A2D" w14:textId="2809F374" w:rsidR="00F637B8" w:rsidRDefault="00035CAB" w:rsidP="00035CAB">
      <w:pPr>
        <w:pStyle w:val="Paragraphe"/>
      </w:pPr>
      <w:r>
        <w:t>Dans le même temps, la fin de la période de mise en œuvre du PDS n°2 de la COI</w:t>
      </w:r>
      <w:r w:rsidR="00F637B8">
        <w:t xml:space="preserve"> a conduit le Secrétariat général à débuter la réflexion autour du prochain PDS sur la base des premiers échanges facilités par l’assistance technique INCA. Dans la mesure où le PDS doit constituer une base référentielle de premier ordre pour les Etats membres, le Secrétariat général ainsi que les membres observateurs et les partenaires, il apparait pertinent de lier les deux exercices de définition d’un nouveau PDS et d’instruction d’un nouveau projet d’appui institutionnel. C’est dans ce sens que le Secrétariat général de la COI,</w:t>
      </w:r>
      <w:r w:rsidR="00495DA1">
        <w:t xml:space="preserve"> en collaboration avec</w:t>
      </w:r>
      <w:r w:rsidR="00F637B8">
        <w:t xml:space="preserve"> les antennes de l’AFD et la Délégation de l’UE</w:t>
      </w:r>
      <w:r w:rsidR="00495DA1">
        <w:t>,</w:t>
      </w:r>
      <w:r w:rsidR="00F637B8">
        <w:t xml:space="preserve"> </w:t>
      </w:r>
      <w:r w:rsidR="00495DA1">
        <w:t>a</w:t>
      </w:r>
      <w:r w:rsidR="00F637B8">
        <w:t xml:space="preserve"> défini un accord de méthode permettant de répondre, d’une part, aux décisions du Conseil susmentionnées, et, d’autre part, de lancer l’élaboration d’un nouveau PDS. </w:t>
      </w:r>
    </w:p>
    <w:p w14:paraId="20CD8082" w14:textId="77777777" w:rsidR="00755009" w:rsidRDefault="00755009" w:rsidP="00035CAB">
      <w:pPr>
        <w:pStyle w:val="Paragraphe"/>
      </w:pPr>
    </w:p>
    <w:p w14:paraId="68009DDB" w14:textId="06AAE9C2" w:rsidR="0008468B" w:rsidRPr="0008468B" w:rsidRDefault="00955BB3" w:rsidP="00A70123">
      <w:pPr>
        <w:pStyle w:val="Titrepartie"/>
      </w:pPr>
      <w:r w:rsidRPr="0008468B">
        <w:t>Etat d’avancement</w:t>
      </w:r>
    </w:p>
    <w:p w14:paraId="061E6DCA" w14:textId="35AB0BF5" w:rsidR="00A6501D" w:rsidRDefault="00A6501D" w:rsidP="00D56835">
      <w:pPr>
        <w:pStyle w:val="Sous-partie2"/>
      </w:pPr>
      <w:r>
        <w:t>Renforcement en ressources humaines</w:t>
      </w:r>
    </w:p>
    <w:p w14:paraId="4E6D612C" w14:textId="54457533" w:rsidR="00A6501D" w:rsidRDefault="00A6501D" w:rsidP="00A6501D">
      <w:pPr>
        <w:pStyle w:val="Paragraphe"/>
      </w:pPr>
      <w:r>
        <w:t>Pour passer à un nouvel échelon de fonctionnement et relever les défis d’une meilleure gestion du portefeuille croissant de programmes et projets de</w:t>
      </w:r>
      <w:r w:rsidRPr="00355197">
        <w:t xml:space="preserve"> l’obtention et </w:t>
      </w:r>
      <w:r>
        <w:t>d</w:t>
      </w:r>
      <w:r w:rsidRPr="00355197">
        <w:t>u maintien des accréditations</w:t>
      </w:r>
      <w:r>
        <w:t xml:space="preserve">, la COI doit, entre autres, disposer de ressources humaines renforcées </w:t>
      </w:r>
      <w:r>
        <w:lastRenderedPageBreak/>
        <w:t xml:space="preserve">et additionnelles. La suite du projet INCA pourrait, de ce fait, </w:t>
      </w:r>
      <w:r w:rsidR="00410349">
        <w:t>participer au renforcement des capacités dans les domaines suivants :</w:t>
      </w:r>
      <w:r>
        <w:t xml:space="preserve"> </w:t>
      </w:r>
    </w:p>
    <w:p w14:paraId="5535BF02" w14:textId="77777777" w:rsidR="00A6501D" w:rsidRPr="00933B20" w:rsidRDefault="00A6501D" w:rsidP="00A6501D">
      <w:pPr>
        <w:pStyle w:val="Paragraphe"/>
        <w:numPr>
          <w:ilvl w:val="0"/>
          <w:numId w:val="17"/>
        </w:numPr>
        <w:ind w:left="714" w:hanging="357"/>
        <w:contextualSpacing/>
      </w:pPr>
      <w:r>
        <w:t>R</w:t>
      </w:r>
      <w:r w:rsidRPr="00933B20">
        <w:t xml:space="preserve">essources humaines </w:t>
      </w:r>
    </w:p>
    <w:p w14:paraId="09ED8A65" w14:textId="77777777" w:rsidR="00A6501D" w:rsidRDefault="00A6501D" w:rsidP="00A6501D">
      <w:pPr>
        <w:pStyle w:val="Paragraphe"/>
        <w:numPr>
          <w:ilvl w:val="0"/>
          <w:numId w:val="17"/>
        </w:numPr>
        <w:ind w:left="714" w:hanging="357"/>
        <w:contextualSpacing/>
      </w:pPr>
      <w:r>
        <w:t>F</w:t>
      </w:r>
      <w:r w:rsidRPr="00933B20">
        <w:t>ormation, séminaire et ateliers</w:t>
      </w:r>
    </w:p>
    <w:p w14:paraId="78E2EFEC" w14:textId="77777777" w:rsidR="00A6501D" w:rsidRDefault="00A6501D" w:rsidP="00A6501D">
      <w:pPr>
        <w:pStyle w:val="Paragraphe"/>
        <w:numPr>
          <w:ilvl w:val="0"/>
          <w:numId w:val="17"/>
        </w:numPr>
        <w:ind w:left="714" w:hanging="357"/>
        <w:contextualSpacing/>
      </w:pPr>
      <w:r>
        <w:t>É</w:t>
      </w:r>
      <w:r w:rsidRPr="00B46216">
        <w:t>tudes</w:t>
      </w:r>
      <w:r w:rsidRPr="00933B20">
        <w:t xml:space="preserve"> et planification, </w:t>
      </w:r>
    </w:p>
    <w:p w14:paraId="351B2985" w14:textId="77777777" w:rsidR="00A6501D" w:rsidRDefault="00A6501D" w:rsidP="00A6501D">
      <w:pPr>
        <w:pStyle w:val="Paragraphe"/>
        <w:numPr>
          <w:ilvl w:val="0"/>
          <w:numId w:val="17"/>
        </w:numPr>
        <w:ind w:left="714" w:hanging="357"/>
        <w:contextualSpacing/>
      </w:pPr>
      <w:r>
        <w:t>A</w:t>
      </w:r>
      <w:r w:rsidRPr="00933B20">
        <w:t>cquisition des petits équipements et outils de gestion</w:t>
      </w:r>
      <w:r>
        <w:t>,</w:t>
      </w:r>
      <w:r w:rsidRPr="00933B20">
        <w:t xml:space="preserve"> </w:t>
      </w:r>
    </w:p>
    <w:p w14:paraId="6E14A5A9" w14:textId="77777777" w:rsidR="00A6501D" w:rsidRDefault="00A6501D" w:rsidP="00A6501D">
      <w:pPr>
        <w:pStyle w:val="Paragraphe"/>
        <w:numPr>
          <w:ilvl w:val="0"/>
          <w:numId w:val="17"/>
        </w:numPr>
        <w:ind w:left="714" w:hanging="357"/>
        <w:contextualSpacing/>
      </w:pPr>
      <w:r>
        <w:t>C</w:t>
      </w:r>
      <w:r w:rsidRPr="00933B20">
        <w:t xml:space="preserve">ommunication et sensibilisation, </w:t>
      </w:r>
    </w:p>
    <w:p w14:paraId="29243623" w14:textId="77777777" w:rsidR="00A6501D" w:rsidRDefault="00A6501D" w:rsidP="00A6501D">
      <w:pPr>
        <w:pStyle w:val="Paragraphe"/>
        <w:numPr>
          <w:ilvl w:val="0"/>
          <w:numId w:val="17"/>
        </w:numPr>
        <w:ind w:left="714" w:hanging="357"/>
        <w:contextualSpacing/>
      </w:pPr>
      <w:r>
        <w:t>S</w:t>
      </w:r>
      <w:r w:rsidRPr="00933B20">
        <w:t xml:space="preserve">uivi et évaluation </w:t>
      </w:r>
    </w:p>
    <w:p w14:paraId="6D3DAC5C" w14:textId="77777777" w:rsidR="00A6501D" w:rsidRDefault="00A6501D" w:rsidP="00A6501D">
      <w:pPr>
        <w:pStyle w:val="Paragraphe"/>
        <w:numPr>
          <w:ilvl w:val="0"/>
          <w:numId w:val="17"/>
        </w:numPr>
        <w:ind w:left="714" w:hanging="357"/>
        <w:contextualSpacing/>
      </w:pPr>
      <w:r w:rsidRPr="00A10B23">
        <w:t>A</w:t>
      </w:r>
      <w:r w:rsidRPr="00933B20">
        <w:t>udit</w:t>
      </w:r>
      <w:r>
        <w:t>.</w:t>
      </w:r>
      <w:r w:rsidRPr="00933B20">
        <w:t xml:space="preserve"> </w:t>
      </w:r>
    </w:p>
    <w:p w14:paraId="0F997764" w14:textId="0C986462" w:rsidR="00A6501D" w:rsidRDefault="00A6501D" w:rsidP="00A6501D">
      <w:pPr>
        <w:pStyle w:val="Paragraphe"/>
      </w:pPr>
      <w:r>
        <w:t xml:space="preserve">Concernant les ressources humaines, </w:t>
      </w:r>
      <w:r w:rsidRPr="00326D40">
        <w:t>les analyses des auditeurs, experts et partenaires au développement démontrent l’insuffisance des ressources humaines en quantité et en qualité pour mettre en œuvre efficacement les activités de la COI et préconisent une augmentation substantielle en personnel</w:t>
      </w:r>
      <w:r w:rsidR="00410349">
        <w:t>. U</w:t>
      </w:r>
      <w:r w:rsidRPr="003B4CB4">
        <w:t xml:space="preserve">ne </w:t>
      </w:r>
      <w:r>
        <w:t xml:space="preserve">première </w:t>
      </w:r>
      <w:r w:rsidRPr="003B4CB4">
        <w:t xml:space="preserve">analyse des besoins </w:t>
      </w:r>
      <w:r>
        <w:t>ainsi qu’un plan de renforcement en ressources humaines</w:t>
      </w:r>
      <w:r w:rsidRPr="003B4CB4">
        <w:t xml:space="preserve"> </w:t>
      </w:r>
      <w:r>
        <w:t>ont</w:t>
      </w:r>
      <w:r w:rsidRPr="003B4CB4">
        <w:t xml:space="preserve"> été réalisé</w:t>
      </w:r>
      <w:r>
        <w:t>s.</w:t>
      </w:r>
    </w:p>
    <w:p w14:paraId="30C0BF64" w14:textId="5EC1423E" w:rsidR="00A6501D" w:rsidRDefault="00A6501D" w:rsidP="00A6501D">
      <w:pPr>
        <w:jc w:val="both"/>
        <w:rPr>
          <w:rFonts w:ascii="Verdana" w:eastAsia="Calibri" w:hAnsi="Verdana" w:cs="Calibri"/>
          <w:sz w:val="20"/>
          <w:szCs w:val="20"/>
        </w:rPr>
      </w:pPr>
      <w:r>
        <w:rPr>
          <w:rFonts w:ascii="Verdana" w:hAnsi="Verdana" w:cs="Calibri"/>
          <w:sz w:val="20"/>
          <w:szCs w:val="20"/>
        </w:rPr>
        <w:t>Cette action de renforcement et son volet en ressources humaines avait été présenté succinctement lors du 35</w:t>
      </w:r>
      <w:r w:rsidRPr="00A95FB9">
        <w:rPr>
          <w:rFonts w:ascii="Verdana" w:hAnsi="Verdana" w:cs="Calibri"/>
          <w:sz w:val="20"/>
          <w:szCs w:val="20"/>
          <w:vertAlign w:val="superscript"/>
        </w:rPr>
        <w:t>e</w:t>
      </w:r>
      <w:r>
        <w:rPr>
          <w:rFonts w:ascii="Verdana" w:hAnsi="Verdana" w:cs="Calibri"/>
          <w:sz w:val="20"/>
          <w:szCs w:val="20"/>
        </w:rPr>
        <w:t xml:space="preserve"> Conseil des ministres de la COI en novembre 2021 dans le cadre de la </w:t>
      </w:r>
      <w:r w:rsidRPr="00933B20">
        <w:rPr>
          <w:rFonts w:ascii="Verdana" w:hAnsi="Verdana" w:cs="Calibri"/>
          <w:sz w:val="20"/>
          <w:szCs w:val="20"/>
        </w:rPr>
        <w:t xml:space="preserve">programmation Europe Globale 2021-2027 </w:t>
      </w:r>
      <w:r>
        <w:rPr>
          <w:rFonts w:ascii="Verdana" w:hAnsi="Verdana" w:cs="Calibri"/>
          <w:sz w:val="20"/>
          <w:szCs w:val="20"/>
        </w:rPr>
        <w:t xml:space="preserve">puis pris sur le fond lors de l’atelier </w:t>
      </w:r>
      <w:r w:rsidR="00410349">
        <w:rPr>
          <w:rFonts w:ascii="Verdana" w:hAnsi="Verdana" w:cs="Calibri"/>
          <w:sz w:val="20"/>
          <w:szCs w:val="20"/>
        </w:rPr>
        <w:t>Sg-COI-OPL-</w:t>
      </w:r>
      <w:r>
        <w:rPr>
          <w:rFonts w:ascii="Verdana" w:hAnsi="Verdana" w:cs="Calibri"/>
          <w:sz w:val="20"/>
          <w:szCs w:val="20"/>
        </w:rPr>
        <w:t xml:space="preserve">INCA le 13 janvier 2022. </w:t>
      </w:r>
      <w:r w:rsidR="00410349" w:rsidRPr="00D56835">
        <w:rPr>
          <w:rFonts w:ascii="Verdana" w:eastAsia="Calibri" w:hAnsi="Verdana" w:cs="Calibri"/>
          <w:sz w:val="20"/>
          <w:szCs w:val="20"/>
        </w:rPr>
        <w:t>L’annexe à cette fiche présente</w:t>
      </w:r>
      <w:r>
        <w:rPr>
          <w:rFonts w:ascii="Verdana" w:eastAsia="Calibri" w:hAnsi="Verdana" w:cs="Calibri"/>
          <w:sz w:val="20"/>
          <w:szCs w:val="20"/>
        </w:rPr>
        <w:t xml:space="preserve"> l’a</w:t>
      </w:r>
      <w:r w:rsidRPr="00CE3022">
        <w:rPr>
          <w:rFonts w:ascii="Verdana" w:hAnsi="Verdana" w:cs="Calibri"/>
          <w:sz w:val="20"/>
          <w:szCs w:val="20"/>
        </w:rPr>
        <w:t xml:space="preserve">nalyse des besoins </w:t>
      </w:r>
      <w:r>
        <w:rPr>
          <w:rFonts w:ascii="Verdana" w:hAnsi="Verdana" w:cs="Calibri"/>
          <w:sz w:val="20"/>
          <w:szCs w:val="20"/>
        </w:rPr>
        <w:t>et</w:t>
      </w:r>
      <w:r w:rsidRPr="00CE3022">
        <w:rPr>
          <w:rFonts w:ascii="Verdana" w:hAnsi="Verdana" w:cs="Calibri"/>
          <w:sz w:val="20"/>
          <w:szCs w:val="20"/>
        </w:rPr>
        <w:t xml:space="preserve"> </w:t>
      </w:r>
      <w:r w:rsidR="00410349">
        <w:rPr>
          <w:rFonts w:ascii="Verdana" w:hAnsi="Verdana" w:cs="Calibri"/>
          <w:sz w:val="20"/>
          <w:szCs w:val="20"/>
        </w:rPr>
        <w:t xml:space="preserve">les grandes lignes d’un </w:t>
      </w:r>
      <w:r w:rsidRPr="00CE3022">
        <w:rPr>
          <w:rFonts w:ascii="Verdana" w:hAnsi="Verdana" w:cs="Calibri"/>
          <w:sz w:val="20"/>
          <w:szCs w:val="20"/>
        </w:rPr>
        <w:t>plan de</w:t>
      </w:r>
      <w:r>
        <w:rPr>
          <w:rFonts w:ascii="Verdana" w:hAnsi="Verdana" w:cs="Calibri"/>
          <w:sz w:val="20"/>
          <w:szCs w:val="20"/>
        </w:rPr>
        <w:t xml:space="preserve"> </w:t>
      </w:r>
      <w:r w:rsidRPr="00CE3022">
        <w:rPr>
          <w:rFonts w:ascii="Verdana" w:hAnsi="Verdana" w:cs="Calibri"/>
          <w:sz w:val="20"/>
          <w:szCs w:val="20"/>
        </w:rPr>
        <w:t>renforcement en ressources humaines</w:t>
      </w:r>
      <w:r w:rsidRPr="00F16F23">
        <w:rPr>
          <w:rFonts w:ascii="Verdana" w:eastAsia="Calibri" w:hAnsi="Verdana" w:cs="Calibri"/>
          <w:sz w:val="20"/>
          <w:szCs w:val="20"/>
        </w:rPr>
        <w:t xml:space="preserve"> </w:t>
      </w:r>
      <w:r w:rsidR="00410349">
        <w:rPr>
          <w:rFonts w:ascii="Verdana" w:eastAsia="Calibri" w:hAnsi="Verdana" w:cs="Calibri"/>
          <w:sz w:val="20"/>
          <w:szCs w:val="20"/>
        </w:rPr>
        <w:t>qui ont été discutés à l’atelier susmentionnés</w:t>
      </w:r>
      <w:r>
        <w:rPr>
          <w:rFonts w:ascii="Verdana" w:eastAsia="Calibri" w:hAnsi="Verdana" w:cs="Calibri"/>
          <w:sz w:val="20"/>
          <w:szCs w:val="20"/>
        </w:rPr>
        <w:t>.</w:t>
      </w:r>
      <w:r w:rsidR="00410349">
        <w:rPr>
          <w:rFonts w:ascii="Verdana" w:eastAsia="Calibri" w:hAnsi="Verdana" w:cs="Calibri"/>
          <w:sz w:val="20"/>
          <w:szCs w:val="20"/>
        </w:rPr>
        <w:t xml:space="preserve"> Cette analyse précise, notamment, les besoins en ressources humaines à l’aune de l’accréditation au 9 piliers de l’UE.  </w:t>
      </w:r>
    </w:p>
    <w:p w14:paraId="77D83EE9" w14:textId="405BB10E" w:rsidR="00410349" w:rsidRDefault="00410349" w:rsidP="00410349">
      <w:pPr>
        <w:jc w:val="both"/>
        <w:rPr>
          <w:rFonts w:ascii="Verdana" w:hAnsi="Verdana"/>
          <w:sz w:val="20"/>
          <w:szCs w:val="20"/>
        </w:rPr>
      </w:pPr>
      <w:r w:rsidRPr="00D56835">
        <w:rPr>
          <w:rFonts w:ascii="Verdana" w:hAnsi="Verdana"/>
          <w:b/>
          <w:bCs/>
          <w:sz w:val="20"/>
          <w:szCs w:val="20"/>
        </w:rPr>
        <w:t>L’UE et l’AFD ont indiqué leur disponibilité à soutenir exceptionnellement la COI pour le renforcement des capacités en ressources humaines</w:t>
      </w:r>
      <w:r w:rsidRPr="00D56835">
        <w:rPr>
          <w:rFonts w:ascii="Verdana" w:hAnsi="Verdana"/>
          <w:sz w:val="20"/>
          <w:szCs w:val="20"/>
        </w:rPr>
        <w:t xml:space="preserve"> dans la mesure où cela équivaut à un appui budgétaire. Cet </w:t>
      </w:r>
      <w:r w:rsidRPr="00D56835">
        <w:rPr>
          <w:rFonts w:ascii="Verdana" w:hAnsi="Verdana"/>
          <w:b/>
          <w:bCs/>
          <w:sz w:val="20"/>
          <w:szCs w:val="20"/>
        </w:rPr>
        <w:t>appui exceptionnel serait, de fait, dégressif</w:t>
      </w:r>
      <w:r w:rsidRPr="00D56835">
        <w:rPr>
          <w:rFonts w:ascii="Verdana" w:hAnsi="Verdana"/>
          <w:sz w:val="20"/>
          <w:szCs w:val="20"/>
        </w:rPr>
        <w:t xml:space="preserve"> et suppose un </w:t>
      </w:r>
      <w:r w:rsidRPr="00D56835">
        <w:rPr>
          <w:rFonts w:ascii="Verdana" w:hAnsi="Verdana"/>
          <w:b/>
          <w:bCs/>
          <w:sz w:val="20"/>
          <w:szCs w:val="20"/>
        </w:rPr>
        <w:t>engagement progressif des Etats membres</w:t>
      </w:r>
      <w:r w:rsidRPr="00D56835">
        <w:rPr>
          <w:rFonts w:ascii="Verdana" w:hAnsi="Verdana"/>
          <w:sz w:val="20"/>
          <w:szCs w:val="20"/>
        </w:rPr>
        <w:t xml:space="preserve"> pour la pérennisation de ces fonctions et actions au sein de l’organisation selon des modalités qui restent à arrêter avec les Etats membres. </w:t>
      </w:r>
      <w:r>
        <w:rPr>
          <w:rFonts w:ascii="Verdana" w:hAnsi="Verdana"/>
          <w:sz w:val="20"/>
          <w:szCs w:val="20"/>
        </w:rPr>
        <w:t xml:space="preserve">Ce principe d’appui dégressif des partenaires et d’engagement progressif des Etats membres s’inscrit dans la droite ligne des paragraphes 4 et 6 de la Déclaration de Moroni sur l’avenir de la COI d’août 2019. </w:t>
      </w:r>
    </w:p>
    <w:p w14:paraId="18A439DC" w14:textId="77777777" w:rsidR="00D56835" w:rsidRPr="00D56835" w:rsidRDefault="00D56835" w:rsidP="00410349">
      <w:pPr>
        <w:jc w:val="both"/>
        <w:rPr>
          <w:rFonts w:ascii="Verdana" w:hAnsi="Verdana" w:cs="Calibri"/>
          <w:sz w:val="18"/>
          <w:szCs w:val="18"/>
        </w:rPr>
      </w:pPr>
    </w:p>
    <w:p w14:paraId="12A89E38" w14:textId="35603927" w:rsidR="00410349" w:rsidRDefault="00410349" w:rsidP="00D56835">
      <w:pPr>
        <w:pStyle w:val="Sous-partie2"/>
      </w:pPr>
      <w:r>
        <w:t>Plan de développement stratégique et accord de méthode</w:t>
      </w:r>
    </w:p>
    <w:p w14:paraId="1C2A3DDE" w14:textId="77777777" w:rsidR="001F43C2" w:rsidRDefault="00410349" w:rsidP="00A6501D">
      <w:pPr>
        <w:pStyle w:val="Paragraphe"/>
      </w:pPr>
      <w:r>
        <w:t xml:space="preserve">Le PDS 2022+ est appelé à constituer le socle stratégique et opérationnel de la COI en s’inscrivant dans le mouvement de modernisation institutionnelle et fonctionnelle lancé par la Déclaration de Moroni sur l’avenir de la COI. </w:t>
      </w:r>
      <w:r w:rsidR="001F43C2">
        <w:t xml:space="preserve">Concrètement, le PDS 2022+ peut être un plan de transformation de la COI ou, à tout le moins, un plan stratégique et opérationnel qui cadrera la transformation institutionnelle et fonctionnelle de l’organisation pour, d’une part, répondre aux défis multiples de la région en priorisant l’action régionale, et, d’autre part, définir clairement les objectifs et les besoins en ressources humaines, financières, techniques pour l’obtention de résultats. Le PDS constitue, par ailleurs, une boussole pour les observateurs et partenaires susceptibles de soutenir l’action régionale portée par la COI. </w:t>
      </w:r>
    </w:p>
    <w:p w14:paraId="1EFA1201" w14:textId="5AFDF969" w:rsidR="001F43C2" w:rsidRDefault="001F43C2" w:rsidP="00A6501D">
      <w:pPr>
        <w:pStyle w:val="Paragraphe"/>
      </w:pPr>
      <w:r>
        <w:t>Tenant compte de la nécessité de disposer d’un PDS comme cadre de référence ainsi que des calendriers de programmation des partenaires, UE et AFD, pour apporter un appui institutionnel additionnel à la COI, le Secrétariat général a organisé,</w:t>
      </w:r>
      <w:r w:rsidR="00A72B6F">
        <w:t xml:space="preserve"> avec</w:t>
      </w:r>
      <w:r>
        <w:t xml:space="preserve"> l’AFD et l’UE, un atelier de co-construction d’un accord de méthode permettant de répondre aux différents impératifs. Aussi, l’accord de méthode élaboré vise : </w:t>
      </w:r>
    </w:p>
    <w:p w14:paraId="7812BDFB" w14:textId="77777777" w:rsidR="001F43C2" w:rsidRDefault="001F43C2" w:rsidP="001F43C2">
      <w:pPr>
        <w:pStyle w:val="Paragraphe"/>
        <w:numPr>
          <w:ilvl w:val="0"/>
          <w:numId w:val="18"/>
        </w:numPr>
      </w:pPr>
      <w:r>
        <w:t xml:space="preserve">L’élaboration d’un PDS 2022+ qui réponde aux besoins des Etats membres : des ateliers de cadrage seront conduits dans les Etats membres afin de faire remonter </w:t>
      </w:r>
      <w:r>
        <w:lastRenderedPageBreak/>
        <w:t xml:space="preserve">des parties prenantes nationales les thématiques prioritaires, les axes d’intervention pour lesquels la COI présente une valeur ajoutée et faire émerger les points de convergence entre les Etats membres. Ces consultations permettront de fournir une base commune d’interventions prioritaires pour le prochain PDS. Dans le même temps, ces consultations permettront de sensibiliser les Etats membres sur les ressources nécessaires à la réalisation du PDS tout en présentant, autant que possible, des axes d’engagement financiers et non-financiers de la part des Etats ; </w:t>
      </w:r>
    </w:p>
    <w:p w14:paraId="1239EEE8" w14:textId="77777777" w:rsidR="00705A4B" w:rsidRDefault="001F43C2" w:rsidP="001F43C2">
      <w:pPr>
        <w:pStyle w:val="Paragraphe"/>
        <w:numPr>
          <w:ilvl w:val="0"/>
          <w:numId w:val="18"/>
        </w:numPr>
      </w:pPr>
      <w:r>
        <w:t xml:space="preserve">La conduite d’études complémentaires sur la base des avancées et travaux du projet INCA permettant, entre autres, d’affiner le diagnostic général des besoins en ressources humaines (hors accréditation), </w:t>
      </w:r>
      <w:r w:rsidR="00705A4B">
        <w:t xml:space="preserve">apporter des propositions sur </w:t>
      </w:r>
      <w:r>
        <w:t>le modèle économique</w:t>
      </w:r>
      <w:r w:rsidR="00705A4B">
        <w:t xml:space="preserve"> et compléter, au besoin, le diagnostic et les améliorations organisationnels. </w:t>
      </w:r>
    </w:p>
    <w:p w14:paraId="72C066CC" w14:textId="77777777" w:rsidR="00705A4B" w:rsidRDefault="00705A4B" w:rsidP="00705A4B">
      <w:pPr>
        <w:pStyle w:val="Paragraphe"/>
      </w:pPr>
      <w:r>
        <w:t xml:space="preserve">L’AFD soutient la COI dans cette démarche à travers la mobilisation d’une expertise complémentaire capitalisant sur les travaux INCA permettant, en parallèle, à l’assistance technique INCA se finaliser l’ensemble des outils et procédures établis dans le cadre de la gestion axée sur les résultats et l’accréditation aux 9 piliers. </w:t>
      </w:r>
    </w:p>
    <w:p w14:paraId="0EBE8FF3" w14:textId="5A348A5B" w:rsidR="00705A4B" w:rsidRDefault="00705A4B" w:rsidP="00705A4B">
      <w:pPr>
        <w:pStyle w:val="Paragraphe"/>
      </w:pPr>
      <w:r>
        <w:t xml:space="preserve">Ces travaux qui doivent débuter dès le mois de mars devront permettre de disposer d’éléments suffisants sur l’orientation stratégique de la COI et les besoins pour que la Délégation de l’UE instruise une suite au projet INCA en juin / juillet 2022 et pour que l’AFD de Port-Louis instruise un projet complémentaire d’appui à la transformation de la COI d’ici octobre / novembre 2022. </w:t>
      </w:r>
    </w:p>
    <w:p w14:paraId="2CACB4C7" w14:textId="636F7313" w:rsidR="00705A4B" w:rsidRDefault="00705A4B" w:rsidP="00705A4B">
      <w:pPr>
        <w:pStyle w:val="Paragraphe"/>
      </w:pPr>
      <w:r>
        <w:t xml:space="preserve">Dans les deux cas, les partenaires ont souligné que ce nouvel appui institutionnel sera dégressif ce qui suppose un engagement progressif des Etats membres en relai des appuis apportés, notamment en ce qu’il s’agirait du financement de fonctions nécessaires au Secrétariat général. </w:t>
      </w:r>
    </w:p>
    <w:p w14:paraId="350C00C3" w14:textId="2A209C52" w:rsidR="00B36DF1" w:rsidRDefault="00C66F0C" w:rsidP="0008468B">
      <w:pPr>
        <w:jc w:val="both"/>
        <w:rPr>
          <w:rFonts w:ascii="Verdana" w:hAnsi="Verdana" w:cs="Calibri"/>
          <w:sz w:val="20"/>
          <w:szCs w:val="20"/>
        </w:rPr>
      </w:pPr>
      <w:r>
        <w:rPr>
          <w:rFonts w:ascii="Verdana" w:eastAsia="Calibri" w:hAnsi="Verdana" w:cs="Calibri"/>
          <w:sz w:val="20"/>
          <w:szCs w:val="20"/>
        </w:rPr>
        <w:t xml:space="preserve"> </w:t>
      </w:r>
    </w:p>
    <w:p w14:paraId="2F7F5914" w14:textId="608AD6BB" w:rsidR="00955BB3" w:rsidRPr="0008468B" w:rsidRDefault="00955BB3" w:rsidP="00A70123">
      <w:pPr>
        <w:pStyle w:val="Titrepartie"/>
      </w:pPr>
      <w:r w:rsidRPr="0008468B">
        <w:t>Proposition de décision</w:t>
      </w:r>
    </w:p>
    <w:p w14:paraId="05F1F967" w14:textId="2AF3224D" w:rsidR="0008468B" w:rsidRPr="004F5C4B" w:rsidRDefault="0008468B" w:rsidP="00FE285D">
      <w:pPr>
        <w:pStyle w:val="Paragraphe"/>
      </w:pPr>
      <w:r w:rsidRPr="004F5C4B">
        <w:t>Le Comité des OPL</w:t>
      </w:r>
      <w:r w:rsidR="00221A10">
        <w:t xml:space="preserve"> recommande au Conseil des ministres de :</w:t>
      </w:r>
    </w:p>
    <w:p w14:paraId="501EECD0" w14:textId="77777777" w:rsidR="00705A4B" w:rsidRDefault="00705A4B" w:rsidP="00FE285D">
      <w:pPr>
        <w:pStyle w:val="Paragraphe"/>
        <w:numPr>
          <w:ilvl w:val="0"/>
          <w:numId w:val="6"/>
        </w:numPr>
      </w:pPr>
      <w:r>
        <w:t xml:space="preserve">Approuver l’accord de méthode avec l’Agence française de développement et l’Union européenne permettant, d’une part, d’accompagner la COI dans l’élaboration de son Plan de développement stratégique 2022+, et, d’autre part, d’assurer l’instruction de nouveaux projets d’appui institutionnel ; </w:t>
      </w:r>
    </w:p>
    <w:p w14:paraId="3EB8D4FC" w14:textId="6AAD65EB" w:rsidR="00705A4B" w:rsidRDefault="00221A10" w:rsidP="00FE285D">
      <w:pPr>
        <w:pStyle w:val="Paragraphe"/>
        <w:numPr>
          <w:ilvl w:val="0"/>
          <w:numId w:val="6"/>
        </w:numPr>
      </w:pPr>
      <w:r w:rsidRPr="00221A10">
        <w:t>Donne</w:t>
      </w:r>
      <w:r>
        <w:t xml:space="preserve">r </w:t>
      </w:r>
      <w:r w:rsidRPr="00221A10">
        <w:t>son ac</w:t>
      </w:r>
      <w:r>
        <w:t>c</w:t>
      </w:r>
      <w:r w:rsidRPr="00221A10">
        <w:t xml:space="preserve">ord </w:t>
      </w:r>
      <w:r w:rsidR="00705A4B">
        <w:t xml:space="preserve">de principe </w:t>
      </w:r>
      <w:r w:rsidRPr="00221A10">
        <w:t>sur l</w:t>
      </w:r>
      <w:r>
        <w:t>e</w:t>
      </w:r>
      <w:r w:rsidRPr="00221A10">
        <w:t xml:space="preserve"> p</w:t>
      </w:r>
      <w:r>
        <w:t>lan de renforcement en ressources humaines</w:t>
      </w:r>
      <w:r w:rsidR="00705A4B">
        <w:t xml:space="preserve"> sur la base d’un appui dégressif de l’UE et de l’AFD et d’un engagement progressif des Etats membres selon des modalités financières et non-financières qui devront être arrêtées d’ici l’adoption du PDS ;</w:t>
      </w:r>
    </w:p>
    <w:p w14:paraId="0A13CA5A" w14:textId="77777777" w:rsidR="00D56835" w:rsidRDefault="00705A4B" w:rsidP="0008468B">
      <w:pPr>
        <w:pStyle w:val="Paragraphe"/>
        <w:numPr>
          <w:ilvl w:val="0"/>
          <w:numId w:val="6"/>
        </w:numPr>
      </w:pPr>
      <w:r>
        <w:t xml:space="preserve">Remercier l’UE et l’AFD pour leur accompagnement à la modernisation institutionnelle et fonctionnelle de la COI ; </w:t>
      </w:r>
    </w:p>
    <w:p w14:paraId="495CA3D7" w14:textId="192BCCC7" w:rsidR="0008468B" w:rsidRDefault="00705A4B" w:rsidP="0008468B">
      <w:pPr>
        <w:pStyle w:val="Paragraphe"/>
        <w:numPr>
          <w:ilvl w:val="0"/>
          <w:numId w:val="6"/>
        </w:numPr>
      </w:pPr>
      <w:r>
        <w:t xml:space="preserve">Saluer </w:t>
      </w:r>
      <w:r w:rsidR="00D56835">
        <w:t>les efforts du Secrétariat général et de</w:t>
      </w:r>
      <w:r>
        <w:t xml:space="preserve"> l’assistance technique INCA </w:t>
      </w:r>
      <w:r w:rsidR="00D56835">
        <w:t>financée par l’UE pour doter l’organisation d’outils, procédures et cadres modernisés devant conduire à l’accréditation aux 9 piliers de l’UE.</w:t>
      </w:r>
    </w:p>
    <w:p w14:paraId="11685EE9" w14:textId="0DCE4AEA" w:rsidR="00D56835" w:rsidRDefault="00D56835" w:rsidP="00D56835">
      <w:pPr>
        <w:pStyle w:val="Paragraphe"/>
        <w:ind w:left="720"/>
      </w:pPr>
    </w:p>
    <w:p w14:paraId="3E1C9C85" w14:textId="77777777" w:rsidR="00D56835" w:rsidRPr="00D56835" w:rsidRDefault="00D56835" w:rsidP="00D56835">
      <w:pPr>
        <w:pStyle w:val="Paragraphe"/>
        <w:ind w:left="720"/>
      </w:pPr>
    </w:p>
    <w:p w14:paraId="7EAEB404" w14:textId="72ACB4A7" w:rsidR="00955BB3" w:rsidRPr="0008468B" w:rsidRDefault="00955BB3" w:rsidP="00FE285D">
      <w:pPr>
        <w:pStyle w:val="Titrepartie"/>
      </w:pPr>
      <w:r w:rsidRPr="0008468B">
        <w:lastRenderedPageBreak/>
        <w:t>Rappel des décisions antérieures</w:t>
      </w:r>
    </w:p>
    <w:bookmarkEnd w:id="0"/>
    <w:p w14:paraId="623000D0" w14:textId="6C403373" w:rsidR="0008468B" w:rsidRPr="00FE285D" w:rsidRDefault="00FE285D" w:rsidP="00060CA0">
      <w:pPr>
        <w:pStyle w:val="Exergue"/>
      </w:pPr>
      <w:r>
        <w:t>Cf.</w:t>
      </w:r>
      <w:r w:rsidR="0008468B" w:rsidRPr="00FE285D">
        <w:t xml:space="preserve"> Décision </w:t>
      </w:r>
      <w:r w:rsidR="00561B9A">
        <w:t>4</w:t>
      </w:r>
      <w:r w:rsidR="0008468B" w:rsidRPr="00FE285D">
        <w:t xml:space="preserve">. </w:t>
      </w:r>
      <w:r w:rsidR="00A76B07">
        <w:t>[</w:t>
      </w:r>
      <w:r w:rsidR="00561B9A">
        <w:t>Programmation « Europe Globale » 2021-</w:t>
      </w:r>
      <w:r w:rsidR="00E30B05">
        <w:t>2027]</w:t>
      </w:r>
      <w:r w:rsidR="00A76B07">
        <w:t>, [</w:t>
      </w:r>
      <w:r w:rsidR="00561B9A">
        <w:t xml:space="preserve">Session extraordinaire du Conseil des </w:t>
      </w:r>
      <w:r w:rsidR="00E30B05">
        <w:t>Ministres]</w:t>
      </w:r>
      <w:r w:rsidR="00A76B07">
        <w:t>, [</w:t>
      </w:r>
      <w:r w:rsidR="00E30B05">
        <w:t>26 novembre 2021</w:t>
      </w:r>
      <w:r w:rsidR="00A76B07">
        <w:t>]</w:t>
      </w:r>
    </w:p>
    <w:p w14:paraId="669C15E2" w14:textId="6CF3EFE4" w:rsidR="0008468B" w:rsidRDefault="00366288" w:rsidP="00933B20">
      <w:pPr>
        <w:pStyle w:val="Paragraphe"/>
        <w:numPr>
          <w:ilvl w:val="0"/>
          <w:numId w:val="15"/>
        </w:numPr>
      </w:pPr>
      <w:r>
        <w:t xml:space="preserve">Décision 4.e : </w:t>
      </w:r>
      <w:r w:rsidR="00E30B05" w:rsidRPr="00933B20">
        <w:rPr>
          <w:i/>
          <w:iCs/>
        </w:rPr>
        <w:t xml:space="preserve">Appuie la proposition de plan de renforcement institutionnel et en ressources humaines ainsi que ses modalités de financement, et invite le secrétariat général à présenter aux prochaines réunions des instances une version finalisée pour </w:t>
      </w:r>
      <w:r w:rsidR="00D67D0F" w:rsidRPr="00933B20">
        <w:rPr>
          <w:i/>
          <w:iCs/>
        </w:rPr>
        <w:t>approbation</w:t>
      </w:r>
      <w:r w:rsidR="0008468B" w:rsidRPr="00933B20">
        <w:rPr>
          <w:i/>
          <w:iCs/>
        </w:rPr>
        <w:t>.</w:t>
      </w:r>
    </w:p>
    <w:p w14:paraId="23699B4D" w14:textId="73DF34DF" w:rsidR="00366288" w:rsidRPr="0008468B" w:rsidRDefault="00366288" w:rsidP="00933B20">
      <w:pPr>
        <w:pStyle w:val="Paragraphe"/>
        <w:numPr>
          <w:ilvl w:val="0"/>
          <w:numId w:val="15"/>
        </w:numPr>
      </w:pPr>
      <w:r w:rsidRPr="00366288">
        <w:t>Décision 4.</w:t>
      </w:r>
      <w:r>
        <w:t>f</w:t>
      </w:r>
      <w:r w:rsidRPr="00366288">
        <w:t xml:space="preserve"> : </w:t>
      </w:r>
      <w:r w:rsidRPr="00933B20">
        <w:rPr>
          <w:i/>
          <w:iCs/>
        </w:rPr>
        <w:t>Encourage le Secrétariat général à poursuivre les échanges avec l’UE et l’AFD en vue d’un nouveau programme de renforcement des capacités institutionnelles de la COI</w:t>
      </w:r>
    </w:p>
    <w:p w14:paraId="1A08E46E" w14:textId="77777777" w:rsidR="0008468B" w:rsidRDefault="0008468B" w:rsidP="00417683">
      <w:pPr>
        <w:rPr>
          <w:rFonts w:ascii="Verdana" w:hAnsi="Verdana"/>
          <w:b/>
          <w:bCs/>
          <w:i/>
          <w:iCs/>
          <w:sz w:val="20"/>
          <w:szCs w:val="20"/>
        </w:rPr>
      </w:pPr>
    </w:p>
    <w:p w14:paraId="1DE54B68" w14:textId="77777777" w:rsidR="0071310E" w:rsidRDefault="00417683" w:rsidP="00060CA0">
      <w:pPr>
        <w:pStyle w:val="Titrepartie"/>
      </w:pPr>
      <w:r w:rsidRPr="0008468B">
        <w:t>Annexe</w:t>
      </w:r>
      <w:r w:rsidR="008F173C" w:rsidRPr="0008468B">
        <w:t>s</w:t>
      </w:r>
      <w:r w:rsidRPr="0008468B">
        <w:t> :</w:t>
      </w:r>
      <w:r w:rsidR="006F607E">
        <w:t xml:space="preserve"> </w:t>
      </w:r>
    </w:p>
    <w:p w14:paraId="4648F921" w14:textId="3C382E87" w:rsidR="008F173C" w:rsidRPr="00620B90" w:rsidRDefault="003B4CB4" w:rsidP="00933B20">
      <w:pPr>
        <w:pStyle w:val="Paragraphedeliste"/>
        <w:jc w:val="both"/>
      </w:pPr>
      <w:r w:rsidRPr="003B4CB4">
        <w:rPr>
          <w:rFonts w:ascii="Verdana" w:hAnsi="Verdana" w:cs="Calibri"/>
          <w:sz w:val="20"/>
          <w:szCs w:val="20"/>
        </w:rPr>
        <w:t xml:space="preserve">Renforcement en </w:t>
      </w:r>
      <w:r w:rsidR="00D45327">
        <w:rPr>
          <w:rFonts w:ascii="Verdana" w:hAnsi="Verdana" w:cs="Calibri"/>
          <w:sz w:val="20"/>
          <w:szCs w:val="20"/>
        </w:rPr>
        <w:t>ressources humaines</w:t>
      </w:r>
      <w:r w:rsidRPr="003B4CB4">
        <w:rPr>
          <w:rFonts w:ascii="Verdana" w:hAnsi="Verdana" w:cs="Calibri"/>
          <w:sz w:val="20"/>
          <w:szCs w:val="20"/>
        </w:rPr>
        <w:t xml:space="preserve"> </w:t>
      </w:r>
      <w:r>
        <w:rPr>
          <w:rFonts w:ascii="Verdana" w:hAnsi="Verdana" w:cs="Calibri"/>
          <w:sz w:val="20"/>
          <w:szCs w:val="20"/>
        </w:rPr>
        <w:t xml:space="preserve">- </w:t>
      </w:r>
      <w:r w:rsidR="00CE3022">
        <w:rPr>
          <w:rFonts w:ascii="Verdana" w:hAnsi="Verdana" w:cs="Calibri"/>
          <w:sz w:val="20"/>
          <w:szCs w:val="20"/>
        </w:rPr>
        <w:t>A</w:t>
      </w:r>
      <w:r w:rsidR="00CE3022" w:rsidRPr="00CE3022">
        <w:rPr>
          <w:rFonts w:ascii="Verdana" w:hAnsi="Verdana" w:cs="Calibri"/>
          <w:sz w:val="20"/>
          <w:szCs w:val="20"/>
        </w:rPr>
        <w:t xml:space="preserve">nalyse des besoins </w:t>
      </w:r>
      <w:r w:rsidR="00CE3022">
        <w:rPr>
          <w:rFonts w:ascii="Verdana" w:hAnsi="Verdana" w:cs="Calibri"/>
          <w:sz w:val="20"/>
          <w:szCs w:val="20"/>
        </w:rPr>
        <w:t>et</w:t>
      </w:r>
      <w:r w:rsidR="00CE3022" w:rsidRPr="00CE3022">
        <w:rPr>
          <w:rFonts w:ascii="Verdana" w:hAnsi="Verdana" w:cs="Calibri"/>
          <w:sz w:val="20"/>
          <w:szCs w:val="20"/>
        </w:rPr>
        <w:t xml:space="preserve"> plan de</w:t>
      </w:r>
      <w:r w:rsidR="00CE3022">
        <w:rPr>
          <w:rFonts w:ascii="Verdana" w:hAnsi="Verdana" w:cs="Calibri"/>
          <w:sz w:val="20"/>
          <w:szCs w:val="20"/>
        </w:rPr>
        <w:t xml:space="preserve"> </w:t>
      </w:r>
      <w:r w:rsidR="00CE3022" w:rsidRPr="00CE3022">
        <w:rPr>
          <w:rFonts w:ascii="Verdana" w:hAnsi="Verdana" w:cs="Calibri"/>
          <w:sz w:val="20"/>
          <w:szCs w:val="20"/>
        </w:rPr>
        <w:t xml:space="preserve">renforcement en ressources humaines </w:t>
      </w:r>
      <w:r w:rsidR="006F607E" w:rsidRPr="00933B20">
        <w:rPr>
          <w:rFonts w:ascii="Verdana" w:hAnsi="Verdana" w:cs="Calibri"/>
          <w:sz w:val="20"/>
          <w:szCs w:val="20"/>
        </w:rPr>
        <w:t>élaborés et discutés lors de l’atelier</w:t>
      </w:r>
      <w:r w:rsidR="0071310E" w:rsidRPr="00933B20">
        <w:rPr>
          <w:rFonts w:ascii="Verdana" w:hAnsi="Verdana" w:cs="Calibri"/>
          <w:sz w:val="20"/>
          <w:szCs w:val="20"/>
        </w:rPr>
        <w:t xml:space="preserve"> COI, INCA avec les OPL, le 13 janvier 2022</w:t>
      </w:r>
    </w:p>
    <w:sectPr w:rsidR="008F173C" w:rsidRPr="00620B90" w:rsidSect="00D56835">
      <w:headerReference w:type="default" r:id="rId7"/>
      <w:footerReference w:type="default" r:id="rId8"/>
      <w:pgSz w:w="11906" w:h="16838"/>
      <w:pgMar w:top="1843"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8A377" w14:textId="77777777" w:rsidR="00B14016" w:rsidRDefault="00B14016">
      <w:pPr>
        <w:spacing w:after="0" w:line="240" w:lineRule="auto"/>
      </w:pPr>
      <w:r>
        <w:separator/>
      </w:r>
    </w:p>
  </w:endnote>
  <w:endnote w:type="continuationSeparator" w:id="0">
    <w:p w14:paraId="104677AA" w14:textId="77777777" w:rsidR="00B14016" w:rsidRDefault="00B14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F5B2" w14:textId="77777777" w:rsidR="00B14016" w:rsidRDefault="00B14016">
      <w:pPr>
        <w:spacing w:after="0" w:line="240" w:lineRule="auto"/>
      </w:pPr>
      <w:r>
        <w:separator/>
      </w:r>
    </w:p>
  </w:footnote>
  <w:footnote w:type="continuationSeparator" w:id="0">
    <w:p w14:paraId="1E3ACAF1" w14:textId="77777777" w:rsidR="00B14016" w:rsidRDefault="00B14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6C7927E2"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B36DF1">
      <w:rPr>
        <w:rFonts w:ascii="Verdana" w:hAnsi="Verdana"/>
        <w:b/>
        <w:bCs/>
        <w:sz w:val="20"/>
        <w:szCs w:val="20"/>
      </w:rPr>
      <w:t>2.5</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0EF6"/>
    <w:multiLevelType w:val="hybridMultilevel"/>
    <w:tmpl w:val="610ECC8C"/>
    <w:lvl w:ilvl="0" w:tplc="10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C866CE"/>
    <w:multiLevelType w:val="hybridMultilevel"/>
    <w:tmpl w:val="73C4B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662E10"/>
    <w:multiLevelType w:val="hybridMultilevel"/>
    <w:tmpl w:val="9244E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DE41DA"/>
    <w:multiLevelType w:val="hybridMultilevel"/>
    <w:tmpl w:val="393C15E2"/>
    <w:lvl w:ilvl="0" w:tplc="1000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DC6284"/>
    <w:multiLevelType w:val="hybridMultilevel"/>
    <w:tmpl w:val="27D21AC2"/>
    <w:lvl w:ilvl="0" w:tplc="33360794">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CB7338"/>
    <w:multiLevelType w:val="hybridMultilevel"/>
    <w:tmpl w:val="0AC6CAA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4577F01"/>
    <w:multiLevelType w:val="hybridMultilevel"/>
    <w:tmpl w:val="2DE05A18"/>
    <w:lvl w:ilvl="0" w:tplc="90AC9D3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AD61A42"/>
    <w:multiLevelType w:val="hybridMultilevel"/>
    <w:tmpl w:val="05A28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EC32FA"/>
    <w:multiLevelType w:val="hybridMultilevel"/>
    <w:tmpl w:val="9B42BE22"/>
    <w:lvl w:ilvl="0" w:tplc="67C46510">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7"/>
  </w:num>
  <w:num w:numId="2">
    <w:abstractNumId w:val="15"/>
  </w:num>
  <w:num w:numId="3">
    <w:abstractNumId w:val="4"/>
  </w:num>
  <w:num w:numId="4">
    <w:abstractNumId w:val="1"/>
  </w:num>
  <w:num w:numId="5">
    <w:abstractNumId w:val="13"/>
  </w:num>
  <w:num w:numId="6">
    <w:abstractNumId w:val="5"/>
  </w:num>
  <w:num w:numId="7">
    <w:abstractNumId w:val="8"/>
  </w:num>
  <w:num w:numId="8">
    <w:abstractNumId w:val="4"/>
    <w:lvlOverride w:ilvl="0">
      <w:startOverride w:val="1"/>
    </w:lvlOverride>
  </w:num>
  <w:num w:numId="9">
    <w:abstractNumId w:val="3"/>
  </w:num>
  <w:num w:numId="10">
    <w:abstractNumId w:val="12"/>
  </w:num>
  <w:num w:numId="11">
    <w:abstractNumId w:val="16"/>
  </w:num>
  <w:num w:numId="12">
    <w:abstractNumId w:val="9"/>
  </w:num>
  <w:num w:numId="13">
    <w:abstractNumId w:val="0"/>
  </w:num>
  <w:num w:numId="14">
    <w:abstractNumId w:val="11"/>
  </w:num>
  <w:num w:numId="15">
    <w:abstractNumId w:val="14"/>
  </w:num>
  <w:num w:numId="16">
    <w:abstractNumId w:val="2"/>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59D6"/>
    <w:rsid w:val="00035CAB"/>
    <w:rsid w:val="000373B2"/>
    <w:rsid w:val="00042CF5"/>
    <w:rsid w:val="00060CA0"/>
    <w:rsid w:val="00063A26"/>
    <w:rsid w:val="00082093"/>
    <w:rsid w:val="0008468B"/>
    <w:rsid w:val="00091A3E"/>
    <w:rsid w:val="000A057A"/>
    <w:rsid w:val="000A1CD0"/>
    <w:rsid w:val="000A468A"/>
    <w:rsid w:val="000B0FBD"/>
    <w:rsid w:val="000E6962"/>
    <w:rsid w:val="000F4728"/>
    <w:rsid w:val="00107D9D"/>
    <w:rsid w:val="001138BA"/>
    <w:rsid w:val="00137632"/>
    <w:rsid w:val="00152EED"/>
    <w:rsid w:val="0018252D"/>
    <w:rsid w:val="001A56F1"/>
    <w:rsid w:val="001B4738"/>
    <w:rsid w:val="001D3F36"/>
    <w:rsid w:val="001E3474"/>
    <w:rsid w:val="001F43C2"/>
    <w:rsid w:val="00221A10"/>
    <w:rsid w:val="00227E4E"/>
    <w:rsid w:val="00285228"/>
    <w:rsid w:val="00285331"/>
    <w:rsid w:val="002A0933"/>
    <w:rsid w:val="002A096E"/>
    <w:rsid w:val="002B57C6"/>
    <w:rsid w:val="002C56ED"/>
    <w:rsid w:val="002C6DB1"/>
    <w:rsid w:val="00326D40"/>
    <w:rsid w:val="00355626"/>
    <w:rsid w:val="003604B9"/>
    <w:rsid w:val="00366288"/>
    <w:rsid w:val="003772FB"/>
    <w:rsid w:val="00391152"/>
    <w:rsid w:val="00395B96"/>
    <w:rsid w:val="003B4CB4"/>
    <w:rsid w:val="003C2538"/>
    <w:rsid w:val="003D485F"/>
    <w:rsid w:val="003D5328"/>
    <w:rsid w:val="00410349"/>
    <w:rsid w:val="0041278C"/>
    <w:rsid w:val="00417683"/>
    <w:rsid w:val="00426673"/>
    <w:rsid w:val="004607F7"/>
    <w:rsid w:val="00493A0C"/>
    <w:rsid w:val="00495DA1"/>
    <w:rsid w:val="004F5C4B"/>
    <w:rsid w:val="00510D8B"/>
    <w:rsid w:val="00513081"/>
    <w:rsid w:val="0053773D"/>
    <w:rsid w:val="00553EB7"/>
    <w:rsid w:val="00561B9A"/>
    <w:rsid w:val="00620B90"/>
    <w:rsid w:val="00632DCA"/>
    <w:rsid w:val="006356AF"/>
    <w:rsid w:val="006548BF"/>
    <w:rsid w:val="00660504"/>
    <w:rsid w:val="00670979"/>
    <w:rsid w:val="0069122C"/>
    <w:rsid w:val="00696A57"/>
    <w:rsid w:val="006E2D9E"/>
    <w:rsid w:val="006F607E"/>
    <w:rsid w:val="00705A4B"/>
    <w:rsid w:val="0070756B"/>
    <w:rsid w:val="0071310E"/>
    <w:rsid w:val="00714A7D"/>
    <w:rsid w:val="00741875"/>
    <w:rsid w:val="00755009"/>
    <w:rsid w:val="00797AA0"/>
    <w:rsid w:val="007B245C"/>
    <w:rsid w:val="007C78FC"/>
    <w:rsid w:val="00816DAC"/>
    <w:rsid w:val="0083290E"/>
    <w:rsid w:val="00833289"/>
    <w:rsid w:val="00843FF2"/>
    <w:rsid w:val="008453AB"/>
    <w:rsid w:val="00854EEA"/>
    <w:rsid w:val="008551DA"/>
    <w:rsid w:val="008604F7"/>
    <w:rsid w:val="008D193F"/>
    <w:rsid w:val="008F173C"/>
    <w:rsid w:val="00911373"/>
    <w:rsid w:val="00924DF0"/>
    <w:rsid w:val="00933B20"/>
    <w:rsid w:val="009371FF"/>
    <w:rsid w:val="00955BB3"/>
    <w:rsid w:val="0098057C"/>
    <w:rsid w:val="009A38AD"/>
    <w:rsid w:val="009B469C"/>
    <w:rsid w:val="00A07655"/>
    <w:rsid w:val="00A10B23"/>
    <w:rsid w:val="00A148A1"/>
    <w:rsid w:val="00A36C09"/>
    <w:rsid w:val="00A37C9F"/>
    <w:rsid w:val="00A6501D"/>
    <w:rsid w:val="00A70123"/>
    <w:rsid w:val="00A72B6F"/>
    <w:rsid w:val="00A76B07"/>
    <w:rsid w:val="00A81B98"/>
    <w:rsid w:val="00A862AD"/>
    <w:rsid w:val="00A90305"/>
    <w:rsid w:val="00A95FB9"/>
    <w:rsid w:val="00AA63A3"/>
    <w:rsid w:val="00AB5EB7"/>
    <w:rsid w:val="00AD4D97"/>
    <w:rsid w:val="00AD6BF3"/>
    <w:rsid w:val="00AE1865"/>
    <w:rsid w:val="00AE2453"/>
    <w:rsid w:val="00B05DFC"/>
    <w:rsid w:val="00B14016"/>
    <w:rsid w:val="00B23AAF"/>
    <w:rsid w:val="00B36DF1"/>
    <w:rsid w:val="00B36EEA"/>
    <w:rsid w:val="00B46216"/>
    <w:rsid w:val="00B51243"/>
    <w:rsid w:val="00BA4B55"/>
    <w:rsid w:val="00BE26DD"/>
    <w:rsid w:val="00BE7519"/>
    <w:rsid w:val="00C12C93"/>
    <w:rsid w:val="00C162CF"/>
    <w:rsid w:val="00C325F5"/>
    <w:rsid w:val="00C42BB2"/>
    <w:rsid w:val="00C457E8"/>
    <w:rsid w:val="00C609B9"/>
    <w:rsid w:val="00C66F0C"/>
    <w:rsid w:val="00CE2386"/>
    <w:rsid w:val="00CE3022"/>
    <w:rsid w:val="00D03558"/>
    <w:rsid w:val="00D210AA"/>
    <w:rsid w:val="00D45327"/>
    <w:rsid w:val="00D56835"/>
    <w:rsid w:val="00D616C4"/>
    <w:rsid w:val="00D67D0F"/>
    <w:rsid w:val="00D70112"/>
    <w:rsid w:val="00DE06D1"/>
    <w:rsid w:val="00E30B05"/>
    <w:rsid w:val="00E32408"/>
    <w:rsid w:val="00E64F0D"/>
    <w:rsid w:val="00E845D4"/>
    <w:rsid w:val="00EC22CC"/>
    <w:rsid w:val="00ED6B69"/>
    <w:rsid w:val="00EE34F4"/>
    <w:rsid w:val="00EE677A"/>
    <w:rsid w:val="00EF22A4"/>
    <w:rsid w:val="00EF3EAD"/>
    <w:rsid w:val="00F54EA0"/>
    <w:rsid w:val="00F637B8"/>
    <w:rsid w:val="00F96EE9"/>
    <w:rsid w:val="00FE05ED"/>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paragraph" w:styleId="Titre1">
    <w:name w:val="heading 1"/>
    <w:basedOn w:val="Normal"/>
    <w:next w:val="Normal"/>
    <w:link w:val="Titre1Car"/>
    <w:uiPriority w:val="9"/>
    <w:qFormat/>
    <w:rsid w:val="007131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A07655"/>
    <w:pPr>
      <w:spacing w:after="0" w:line="240" w:lineRule="auto"/>
    </w:pPr>
  </w:style>
  <w:style w:type="character" w:customStyle="1" w:styleId="Titre1Car">
    <w:name w:val="Titre 1 Car"/>
    <w:basedOn w:val="Policepardfaut"/>
    <w:link w:val="Titre1"/>
    <w:uiPriority w:val="9"/>
    <w:rsid w:val="0071310E"/>
    <w:rPr>
      <w:rFonts w:asciiTheme="majorHAnsi" w:eastAsiaTheme="majorEastAsia" w:hAnsiTheme="majorHAnsi" w:cstheme="majorBidi"/>
      <w:color w:val="2F5496" w:themeColor="accent1" w:themeShade="BF"/>
      <w:sz w:val="32"/>
      <w:szCs w:val="32"/>
    </w:rPr>
  </w:style>
  <w:style w:type="paragraph" w:styleId="Textedebulles">
    <w:name w:val="Balloon Text"/>
    <w:basedOn w:val="Normal"/>
    <w:link w:val="TextedebullesCar"/>
    <w:uiPriority w:val="99"/>
    <w:semiHidden/>
    <w:unhideWhenUsed/>
    <w:rsid w:val="00553E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3E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4</Pages>
  <Words>1580</Words>
  <Characters>8693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11</cp:revision>
  <dcterms:created xsi:type="dcterms:W3CDTF">2022-01-20T13:16:00Z</dcterms:created>
  <dcterms:modified xsi:type="dcterms:W3CDTF">2022-02-04T08:10:00Z</dcterms:modified>
</cp:coreProperties>
</file>