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4BAAE1EE" w:rsidR="00EC22CC" w:rsidRDefault="00E270F6" w:rsidP="00854EEA">
            <w:pPr>
              <w:jc w:val="center"/>
              <w:rPr>
                <w:rFonts w:ascii="Verdana" w:hAnsi="Verdana"/>
                <w:b/>
                <w:bCs/>
                <w:sz w:val="20"/>
                <w:szCs w:val="20"/>
              </w:rPr>
            </w:pPr>
            <w:bookmarkStart w:id="0" w:name="_Hlk93439867"/>
            <w:r w:rsidRPr="002C1AEF">
              <w:rPr>
                <w:rFonts w:ascii="Verdana" w:hAnsi="Verdana"/>
                <w:b/>
                <w:bCs/>
              </w:rPr>
              <w:t>Cadre de gouvernance opérationnel</w:t>
            </w:r>
            <w:r w:rsidR="00561255" w:rsidRPr="002C1AEF">
              <w:rPr>
                <w:rFonts w:ascii="Verdana" w:hAnsi="Verdana"/>
                <w:b/>
                <w:bCs/>
              </w:rPr>
              <w:t>le</w:t>
            </w:r>
            <w:r w:rsidR="003452C8" w:rsidRPr="002C1AEF">
              <w:rPr>
                <w:rFonts w:ascii="Verdana" w:hAnsi="Verdana"/>
                <w:b/>
                <w:bCs/>
              </w:rPr>
              <w:t xml:space="preserve"> </w:t>
            </w:r>
            <w:r w:rsidR="002C1AEF">
              <w:rPr>
                <w:rFonts w:ascii="Verdana" w:hAnsi="Verdana"/>
                <w:b/>
                <w:bCs/>
              </w:rPr>
              <w:t>du Secrétariat général</w:t>
            </w:r>
          </w:p>
        </w:tc>
      </w:tr>
      <w:bookmarkEnd w:id="0"/>
      <w:tr w:rsidR="00EC22CC" w14:paraId="7F1B63D2" w14:textId="77777777" w:rsidTr="002A0933">
        <w:tc>
          <w:tcPr>
            <w:tcW w:w="7225" w:type="dxa"/>
          </w:tcPr>
          <w:p w14:paraId="056D9B10" w14:textId="5EA04F9F" w:rsidR="00EC22CC" w:rsidRPr="002A096E" w:rsidRDefault="002C1AEF" w:rsidP="002A096E">
            <w:pPr>
              <w:rPr>
                <w:rFonts w:ascii="Verdana" w:hAnsi="Verdana"/>
                <w:sz w:val="20"/>
                <w:szCs w:val="20"/>
              </w:rPr>
            </w:pPr>
            <w:r>
              <w:rPr>
                <w:rFonts w:ascii="Verdana" w:hAnsi="Verdana"/>
                <w:sz w:val="20"/>
                <w:szCs w:val="20"/>
              </w:rPr>
              <w:t>Comité des OPL préparatoire au 36</w:t>
            </w:r>
            <w:r w:rsidRPr="002C1AEF">
              <w:rPr>
                <w:rFonts w:ascii="Verdana" w:hAnsi="Verdana"/>
                <w:sz w:val="20"/>
                <w:szCs w:val="20"/>
                <w:vertAlign w:val="superscript"/>
              </w:rPr>
              <w:t>e</w:t>
            </w:r>
            <w:r>
              <w:rPr>
                <w:rFonts w:ascii="Verdana" w:hAnsi="Verdana"/>
                <w:sz w:val="20"/>
                <w:szCs w:val="20"/>
              </w:rPr>
              <w:t xml:space="preserve"> Conseil | 8-9 février 2022</w:t>
            </w:r>
          </w:p>
        </w:tc>
        <w:tc>
          <w:tcPr>
            <w:tcW w:w="1837" w:type="dxa"/>
          </w:tcPr>
          <w:p w14:paraId="58E25D1F" w14:textId="355B04A5"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2C1AEF">
              <w:rPr>
                <w:rFonts w:ascii="Verdana" w:hAnsi="Verdana"/>
                <w:sz w:val="20"/>
                <w:szCs w:val="20"/>
              </w:rPr>
              <w:t>2.4</w:t>
            </w:r>
          </w:p>
        </w:tc>
      </w:tr>
      <w:tr w:rsidR="00EC22CC" w14:paraId="537D1DE5" w14:textId="77777777" w:rsidTr="002A0933">
        <w:tc>
          <w:tcPr>
            <w:tcW w:w="7225" w:type="dxa"/>
          </w:tcPr>
          <w:p w14:paraId="43DEF09E" w14:textId="104C41E6"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932525">
              <w:rPr>
                <w:rFonts w:ascii="Verdana" w:hAnsi="Verdana"/>
                <w:sz w:val="20"/>
                <w:szCs w:val="20"/>
              </w:rPr>
              <w:t>Dev Phokeer, directeur – assisté par équipe INCA</w:t>
            </w:r>
          </w:p>
        </w:tc>
        <w:tc>
          <w:tcPr>
            <w:tcW w:w="1837" w:type="dxa"/>
          </w:tcPr>
          <w:p w14:paraId="5AC1AFAB" w14:textId="6AEBE4D8" w:rsidR="00EC22CC" w:rsidRPr="002A0933" w:rsidRDefault="004607F7" w:rsidP="00854EEA">
            <w:pPr>
              <w:jc w:val="center"/>
              <w:rPr>
                <w:rFonts w:ascii="Verdana" w:hAnsi="Verdana"/>
                <w:sz w:val="20"/>
                <w:szCs w:val="20"/>
              </w:rPr>
            </w:pPr>
            <w:r w:rsidRPr="00082093">
              <w:rPr>
                <w:rFonts w:ascii="Verdana" w:hAnsi="Verdana"/>
                <w:sz w:val="20"/>
                <w:szCs w:val="20"/>
              </w:rPr>
              <w:t xml:space="preserve">Décision  </w:t>
            </w:r>
          </w:p>
        </w:tc>
      </w:tr>
      <w:tr w:rsidR="00A90305" w14:paraId="6896DB30" w14:textId="77777777" w:rsidTr="009F5233">
        <w:tc>
          <w:tcPr>
            <w:tcW w:w="9062" w:type="dxa"/>
            <w:gridSpan w:val="2"/>
          </w:tcPr>
          <w:p w14:paraId="0495241B" w14:textId="1D23EB65" w:rsidR="00A90305" w:rsidRDefault="00A90305" w:rsidP="00A90305">
            <w:pPr>
              <w:rPr>
                <w:rFonts w:ascii="Verdana" w:hAnsi="Verdana"/>
                <w:sz w:val="20"/>
                <w:szCs w:val="20"/>
              </w:rPr>
            </w:pPr>
            <w:r>
              <w:rPr>
                <w:rFonts w:ascii="Verdana" w:hAnsi="Verdana"/>
                <w:i/>
                <w:iCs/>
                <w:sz w:val="20"/>
                <w:szCs w:val="20"/>
              </w:rPr>
              <w:t xml:space="preserve">Version du </w:t>
            </w:r>
            <w:r w:rsidR="002C1AEF">
              <w:rPr>
                <w:rFonts w:ascii="Verdana" w:hAnsi="Verdana"/>
                <w:i/>
                <w:iCs/>
                <w:sz w:val="20"/>
                <w:szCs w:val="20"/>
              </w:rPr>
              <w:t>19</w:t>
            </w:r>
            <w:r w:rsidR="00082093">
              <w:rPr>
                <w:rFonts w:ascii="Verdana" w:hAnsi="Verdana"/>
                <w:i/>
                <w:iCs/>
                <w:sz w:val="20"/>
                <w:szCs w:val="20"/>
              </w:rPr>
              <w:t xml:space="preserve"> janvier 2022 </w:t>
            </w:r>
          </w:p>
        </w:tc>
      </w:tr>
    </w:tbl>
    <w:p w14:paraId="1611BCC4" w14:textId="77777777" w:rsidR="00854EEA" w:rsidRDefault="00854EEA" w:rsidP="00816DAC">
      <w:pPr>
        <w:pStyle w:val="Paragraphe"/>
      </w:pPr>
      <w:bookmarkStart w:id="1" w:name="_Hlk24535240"/>
    </w:p>
    <w:p w14:paraId="678F0DFC" w14:textId="3923B394" w:rsidR="00854EEA" w:rsidRPr="0008468B" w:rsidRDefault="00955BB3" w:rsidP="00A70123">
      <w:pPr>
        <w:pStyle w:val="Titrepartie"/>
      </w:pPr>
      <w:r w:rsidRPr="0008468B">
        <w:t>Résumé</w:t>
      </w:r>
    </w:p>
    <w:p w14:paraId="6B7EEF19" w14:textId="5989A2E9" w:rsidR="003452C8" w:rsidRPr="003452C8" w:rsidRDefault="003452C8" w:rsidP="003452C8">
      <w:pPr>
        <w:spacing w:after="120"/>
        <w:jc w:val="both"/>
        <w:outlineLvl w:val="0"/>
        <w:rPr>
          <w:rFonts w:ascii="Verdana" w:eastAsia="Calibri" w:hAnsi="Verdana" w:cs="Calibri"/>
          <w:sz w:val="20"/>
          <w:szCs w:val="20"/>
        </w:rPr>
      </w:pPr>
      <w:r w:rsidRPr="003452C8">
        <w:rPr>
          <w:rFonts w:ascii="Verdana" w:eastAsia="Calibri" w:hAnsi="Verdana" w:cs="Calibri"/>
          <w:sz w:val="20"/>
          <w:szCs w:val="20"/>
        </w:rPr>
        <w:t xml:space="preserve">La COI est engagée depuis plusieurs années dans un processus de </w:t>
      </w:r>
      <w:r w:rsidR="00E270F6">
        <w:rPr>
          <w:rFonts w:ascii="Verdana" w:eastAsia="Calibri" w:hAnsi="Verdana" w:cs="Calibri"/>
          <w:sz w:val="20"/>
          <w:szCs w:val="20"/>
        </w:rPr>
        <w:t>transformation</w:t>
      </w:r>
      <w:r w:rsidRPr="003452C8">
        <w:rPr>
          <w:rFonts w:ascii="Verdana" w:eastAsia="Calibri" w:hAnsi="Verdana" w:cs="Calibri"/>
          <w:sz w:val="20"/>
          <w:szCs w:val="20"/>
        </w:rPr>
        <w:t xml:space="preserve"> et de renforcement du Secrétariat général. Ce processus est notamment tiré par : </w:t>
      </w:r>
    </w:p>
    <w:p w14:paraId="7FA79128" w14:textId="40CED574" w:rsidR="003452C8" w:rsidRPr="003452C8" w:rsidRDefault="003452C8" w:rsidP="003452C8">
      <w:pPr>
        <w:pStyle w:val="Paragraphedeliste"/>
        <w:numPr>
          <w:ilvl w:val="0"/>
          <w:numId w:val="15"/>
        </w:numPr>
        <w:spacing w:after="120"/>
        <w:jc w:val="both"/>
        <w:outlineLvl w:val="0"/>
        <w:rPr>
          <w:rFonts w:ascii="Verdana" w:eastAsia="Calibri" w:hAnsi="Verdana" w:cs="Calibri"/>
          <w:sz w:val="20"/>
          <w:szCs w:val="20"/>
        </w:rPr>
      </w:pPr>
      <w:r w:rsidRPr="003452C8">
        <w:rPr>
          <w:rFonts w:ascii="Verdana" w:eastAsia="Calibri" w:hAnsi="Verdana" w:cs="Calibri"/>
          <w:sz w:val="20"/>
          <w:szCs w:val="20"/>
        </w:rPr>
        <w:t xml:space="preserve">La décision du Conseil des ministres depuis 2009, pour la mise en place au sein de la COI, d’un système de gestion axée sur les résultats (GAR) afin de renforcer et restructurer le Secrétariat général en vue d’améliorer la performance de l’organisation et de promouvoir une plus forte responsabilisation et transparence de l'organisation. </w:t>
      </w:r>
    </w:p>
    <w:p w14:paraId="5A78AE21" w14:textId="59DFA585" w:rsidR="003452C8" w:rsidRPr="003452C8" w:rsidRDefault="003452C8" w:rsidP="003452C8">
      <w:pPr>
        <w:pStyle w:val="Paragraphedeliste"/>
        <w:numPr>
          <w:ilvl w:val="0"/>
          <w:numId w:val="15"/>
        </w:numPr>
        <w:spacing w:after="120"/>
        <w:jc w:val="both"/>
        <w:outlineLvl w:val="0"/>
        <w:rPr>
          <w:rFonts w:ascii="Verdana" w:eastAsia="Calibri" w:hAnsi="Verdana" w:cs="Calibri"/>
          <w:sz w:val="20"/>
          <w:szCs w:val="20"/>
        </w:rPr>
      </w:pPr>
      <w:r w:rsidRPr="003452C8">
        <w:rPr>
          <w:rFonts w:ascii="Verdana" w:eastAsia="Calibri" w:hAnsi="Verdana" w:cs="Calibri"/>
          <w:sz w:val="20"/>
          <w:szCs w:val="20"/>
        </w:rPr>
        <w:t>Les décisions prises lors de divers Conseil des ministres en vue de porter la COI à un niveau permettant d’obtenir les accréditations aux Fonds vert pour le climat et à l’accord de contribution avec de l’Union européenne (9 piliers).</w:t>
      </w:r>
    </w:p>
    <w:p w14:paraId="21DF84AC" w14:textId="27F6691C" w:rsidR="00E270F6" w:rsidRDefault="003452C8" w:rsidP="003452C8">
      <w:pPr>
        <w:spacing w:after="120"/>
        <w:jc w:val="both"/>
        <w:outlineLvl w:val="0"/>
        <w:rPr>
          <w:rFonts w:ascii="Verdana" w:eastAsia="Calibri" w:hAnsi="Verdana" w:cs="Calibri"/>
          <w:sz w:val="20"/>
          <w:szCs w:val="20"/>
        </w:rPr>
      </w:pPr>
      <w:r w:rsidRPr="003452C8">
        <w:rPr>
          <w:rFonts w:ascii="Verdana" w:eastAsia="Calibri" w:hAnsi="Verdana" w:cs="Calibri"/>
          <w:sz w:val="20"/>
          <w:szCs w:val="20"/>
        </w:rPr>
        <w:t>Ce processus</w:t>
      </w:r>
      <w:r w:rsidR="00E270F6">
        <w:rPr>
          <w:rFonts w:ascii="Verdana" w:eastAsia="Calibri" w:hAnsi="Verdana" w:cs="Calibri"/>
          <w:sz w:val="20"/>
          <w:szCs w:val="20"/>
        </w:rPr>
        <w:t>,</w:t>
      </w:r>
      <w:r w:rsidRPr="003452C8">
        <w:rPr>
          <w:rFonts w:ascii="Verdana" w:eastAsia="Calibri" w:hAnsi="Verdana" w:cs="Calibri"/>
          <w:sz w:val="20"/>
          <w:szCs w:val="20"/>
        </w:rPr>
        <w:t xml:space="preserve"> redynamisé par la Déclaration de Moroni (août 2019) qui trace les réformes institutionnelles et opérationnelles dans lesquelles s’engage la COI en vue de sa </w:t>
      </w:r>
      <w:r w:rsidR="00E270F6">
        <w:rPr>
          <w:rFonts w:ascii="Verdana" w:eastAsia="Calibri" w:hAnsi="Verdana" w:cs="Calibri"/>
          <w:sz w:val="20"/>
          <w:szCs w:val="20"/>
        </w:rPr>
        <w:t xml:space="preserve">transformation </w:t>
      </w:r>
      <w:r w:rsidR="00E270F6" w:rsidRPr="003452C8">
        <w:rPr>
          <w:rFonts w:ascii="Verdana" w:eastAsia="Calibri" w:hAnsi="Verdana" w:cs="Calibri"/>
          <w:sz w:val="20"/>
          <w:szCs w:val="20"/>
        </w:rPr>
        <w:t xml:space="preserve">se traduit par la mise en place au sein de la COI d’un ensemble de cadres </w:t>
      </w:r>
      <w:r w:rsidR="00276005">
        <w:rPr>
          <w:rFonts w:ascii="Verdana" w:eastAsia="Calibri" w:hAnsi="Verdana" w:cs="Calibri"/>
          <w:sz w:val="20"/>
          <w:szCs w:val="20"/>
        </w:rPr>
        <w:t>stratégiques et opérationnels</w:t>
      </w:r>
      <w:r w:rsidR="00E270F6" w:rsidRPr="003452C8">
        <w:rPr>
          <w:rFonts w:ascii="Verdana" w:eastAsia="Calibri" w:hAnsi="Verdana" w:cs="Calibri"/>
          <w:sz w:val="20"/>
          <w:szCs w:val="20"/>
        </w:rPr>
        <w:t xml:space="preserve"> de bonne gouvernance et d’efficacité</w:t>
      </w:r>
      <w:r w:rsidR="00276005" w:rsidRPr="00276005">
        <w:rPr>
          <w:rFonts w:ascii="Verdana" w:eastAsia="Calibri" w:hAnsi="Verdana" w:cs="Calibri"/>
          <w:sz w:val="20"/>
          <w:szCs w:val="20"/>
        </w:rPr>
        <w:t xml:space="preserve"> </w:t>
      </w:r>
      <w:r w:rsidR="00276005" w:rsidRPr="006E5CD0">
        <w:rPr>
          <w:rFonts w:ascii="Verdana" w:eastAsia="Calibri" w:hAnsi="Verdana" w:cs="Calibri"/>
          <w:sz w:val="20"/>
          <w:szCs w:val="20"/>
        </w:rPr>
        <w:t>en ligne avec les prérequis des accréditations</w:t>
      </w:r>
      <w:r w:rsidR="00276005">
        <w:rPr>
          <w:rFonts w:ascii="Verdana" w:eastAsia="Calibri" w:hAnsi="Verdana" w:cs="Calibri"/>
          <w:sz w:val="20"/>
          <w:szCs w:val="20"/>
        </w:rPr>
        <w:t>.</w:t>
      </w:r>
    </w:p>
    <w:p w14:paraId="6312A037" w14:textId="5F97671B" w:rsidR="00A862AD" w:rsidRPr="00A862AD" w:rsidRDefault="00276005" w:rsidP="006E5CD0">
      <w:pPr>
        <w:spacing w:after="120"/>
        <w:jc w:val="both"/>
        <w:outlineLvl w:val="0"/>
        <w:rPr>
          <w:rFonts w:ascii="Verdana" w:eastAsia="Calibri" w:hAnsi="Verdana" w:cs="Calibri"/>
          <w:sz w:val="20"/>
          <w:szCs w:val="20"/>
        </w:rPr>
      </w:pPr>
      <w:r>
        <w:rPr>
          <w:rFonts w:ascii="Verdana" w:eastAsia="Calibri" w:hAnsi="Verdana" w:cs="Calibri"/>
          <w:sz w:val="20"/>
          <w:szCs w:val="20"/>
        </w:rPr>
        <w:t>Ainsi</w:t>
      </w:r>
      <w:r w:rsidR="002C1AEF">
        <w:rPr>
          <w:rFonts w:ascii="Verdana" w:eastAsia="Calibri" w:hAnsi="Verdana" w:cs="Calibri"/>
          <w:sz w:val="20"/>
          <w:szCs w:val="20"/>
        </w:rPr>
        <w:t>,</w:t>
      </w:r>
      <w:r>
        <w:rPr>
          <w:rFonts w:ascii="Verdana" w:eastAsia="Calibri" w:hAnsi="Verdana" w:cs="Calibri"/>
          <w:sz w:val="20"/>
          <w:szCs w:val="20"/>
        </w:rPr>
        <w:t xml:space="preserve"> </w:t>
      </w:r>
      <w:r w:rsidR="00EA7470">
        <w:rPr>
          <w:rFonts w:ascii="Verdana" w:eastAsia="Calibri" w:hAnsi="Verdana" w:cs="Calibri"/>
          <w:sz w:val="20"/>
          <w:szCs w:val="20"/>
        </w:rPr>
        <w:t>l</w:t>
      </w:r>
      <w:r w:rsidR="00EA7470" w:rsidRPr="006E5CD0">
        <w:rPr>
          <w:rFonts w:ascii="Verdana" w:eastAsia="Calibri" w:hAnsi="Verdana" w:cs="Calibri"/>
          <w:sz w:val="20"/>
          <w:szCs w:val="20"/>
        </w:rPr>
        <w:t xml:space="preserve">’application des principes de bonne gouvernances exigées par les Etats-membres </w:t>
      </w:r>
      <w:r w:rsidR="00EA7470">
        <w:rPr>
          <w:rFonts w:ascii="Verdana" w:eastAsia="Calibri" w:hAnsi="Verdana" w:cs="Calibri"/>
          <w:sz w:val="20"/>
          <w:szCs w:val="20"/>
        </w:rPr>
        <w:t xml:space="preserve">et les </w:t>
      </w:r>
      <w:r w:rsidR="00EA7470" w:rsidRPr="006E5CD0">
        <w:rPr>
          <w:rFonts w:ascii="Verdana" w:eastAsia="Calibri" w:hAnsi="Verdana" w:cs="Calibri"/>
          <w:sz w:val="20"/>
          <w:szCs w:val="20"/>
        </w:rPr>
        <w:t xml:space="preserve">partenaires </w:t>
      </w:r>
      <w:r w:rsidR="00EA7470" w:rsidRPr="003452C8">
        <w:rPr>
          <w:rFonts w:ascii="Verdana" w:eastAsia="Calibri" w:hAnsi="Verdana" w:cs="Calibri"/>
          <w:sz w:val="20"/>
          <w:szCs w:val="20"/>
        </w:rPr>
        <w:t>(</w:t>
      </w:r>
      <w:r w:rsidR="002C1AEF">
        <w:rPr>
          <w:rFonts w:ascii="Verdana" w:eastAsia="Calibri" w:hAnsi="Verdana" w:cs="Calibri"/>
          <w:sz w:val="20"/>
          <w:szCs w:val="20"/>
        </w:rPr>
        <w:t>UE</w:t>
      </w:r>
      <w:r w:rsidR="00EA7470" w:rsidRPr="003452C8">
        <w:rPr>
          <w:rFonts w:ascii="Verdana" w:eastAsia="Calibri" w:hAnsi="Verdana" w:cs="Calibri"/>
          <w:sz w:val="20"/>
          <w:szCs w:val="20"/>
        </w:rPr>
        <w:t xml:space="preserve"> et Fonds verts)</w:t>
      </w:r>
      <w:r w:rsidR="00EA7470">
        <w:rPr>
          <w:rFonts w:ascii="Verdana" w:eastAsia="Calibri" w:hAnsi="Verdana" w:cs="Calibri"/>
          <w:sz w:val="20"/>
          <w:szCs w:val="20"/>
        </w:rPr>
        <w:t xml:space="preserve"> </w:t>
      </w:r>
      <w:r w:rsidR="00EA7470" w:rsidRPr="006E5CD0">
        <w:rPr>
          <w:rFonts w:ascii="Verdana" w:eastAsia="Calibri" w:hAnsi="Verdana" w:cs="Calibri"/>
          <w:sz w:val="20"/>
          <w:szCs w:val="20"/>
        </w:rPr>
        <w:t xml:space="preserve">ont amené le Secrétariat, </w:t>
      </w:r>
      <w:r w:rsidR="00EA7470">
        <w:rPr>
          <w:rFonts w:ascii="Verdana" w:eastAsia="Calibri" w:hAnsi="Verdana" w:cs="Calibri"/>
          <w:sz w:val="20"/>
          <w:szCs w:val="20"/>
        </w:rPr>
        <w:t>e</w:t>
      </w:r>
      <w:r w:rsidR="00EA7470" w:rsidRPr="003452C8">
        <w:rPr>
          <w:rFonts w:ascii="Verdana" w:eastAsia="Calibri" w:hAnsi="Verdana" w:cs="Calibri"/>
          <w:sz w:val="20"/>
          <w:szCs w:val="20"/>
        </w:rPr>
        <w:t xml:space="preserve">n application </w:t>
      </w:r>
      <w:r w:rsidR="00EA7470">
        <w:rPr>
          <w:rFonts w:ascii="Verdana" w:eastAsia="Calibri" w:hAnsi="Verdana" w:cs="Calibri"/>
          <w:sz w:val="20"/>
          <w:szCs w:val="20"/>
        </w:rPr>
        <w:t>à la Décision</w:t>
      </w:r>
      <w:r w:rsidR="00EA7470" w:rsidRPr="003452C8">
        <w:rPr>
          <w:rFonts w:ascii="Verdana" w:eastAsia="Calibri" w:hAnsi="Verdana" w:cs="Calibri"/>
          <w:sz w:val="20"/>
          <w:szCs w:val="20"/>
        </w:rPr>
        <w:t xml:space="preserve"> 5.d </w:t>
      </w:r>
      <w:r w:rsidR="002C1AEF">
        <w:rPr>
          <w:rFonts w:ascii="Verdana" w:eastAsia="Calibri" w:hAnsi="Verdana" w:cs="Calibri"/>
          <w:sz w:val="20"/>
          <w:szCs w:val="20"/>
        </w:rPr>
        <w:t>du 34</w:t>
      </w:r>
      <w:r w:rsidR="002C1AEF" w:rsidRPr="002C1AEF">
        <w:rPr>
          <w:rFonts w:ascii="Verdana" w:eastAsia="Calibri" w:hAnsi="Verdana" w:cs="Calibri"/>
          <w:sz w:val="20"/>
          <w:szCs w:val="20"/>
          <w:vertAlign w:val="superscript"/>
        </w:rPr>
        <w:t>e</w:t>
      </w:r>
      <w:r w:rsidR="002C1AEF">
        <w:rPr>
          <w:rFonts w:ascii="Verdana" w:eastAsia="Calibri" w:hAnsi="Verdana" w:cs="Calibri"/>
          <w:sz w:val="20"/>
          <w:szCs w:val="20"/>
        </w:rPr>
        <w:t xml:space="preserve"> Conseil (cf. point 4)</w:t>
      </w:r>
      <w:r w:rsidR="00EA7470">
        <w:rPr>
          <w:rFonts w:ascii="Verdana" w:eastAsia="Calibri" w:hAnsi="Verdana" w:cs="Calibri"/>
          <w:sz w:val="20"/>
          <w:szCs w:val="20"/>
        </w:rPr>
        <w:t xml:space="preserve">, </w:t>
      </w:r>
      <w:r w:rsidR="002C1AEF">
        <w:rPr>
          <w:rFonts w:ascii="Verdana" w:eastAsia="Calibri" w:hAnsi="Verdana" w:cs="Calibri"/>
          <w:sz w:val="20"/>
          <w:szCs w:val="20"/>
        </w:rPr>
        <w:t>à</w:t>
      </w:r>
      <w:r w:rsidR="00EA7470">
        <w:rPr>
          <w:rFonts w:ascii="Verdana" w:eastAsia="Calibri" w:hAnsi="Verdana" w:cs="Calibri"/>
          <w:sz w:val="20"/>
          <w:szCs w:val="20"/>
        </w:rPr>
        <w:t xml:space="preserve"> </w:t>
      </w:r>
      <w:bookmarkStart w:id="2" w:name="_Hlk93534283"/>
      <w:r w:rsidR="00EA7470">
        <w:rPr>
          <w:rFonts w:ascii="Verdana" w:eastAsia="Calibri" w:hAnsi="Verdana" w:cs="Calibri"/>
          <w:sz w:val="20"/>
          <w:szCs w:val="20"/>
        </w:rPr>
        <w:t>élabor</w:t>
      </w:r>
      <w:r w:rsidR="002C1AEF">
        <w:rPr>
          <w:rFonts w:ascii="Verdana" w:eastAsia="Calibri" w:hAnsi="Verdana" w:cs="Calibri"/>
          <w:sz w:val="20"/>
          <w:szCs w:val="20"/>
        </w:rPr>
        <w:t>er</w:t>
      </w:r>
      <w:r w:rsidR="00EA7470">
        <w:rPr>
          <w:rFonts w:ascii="Verdana" w:eastAsia="Calibri" w:hAnsi="Verdana" w:cs="Calibri"/>
          <w:sz w:val="20"/>
          <w:szCs w:val="20"/>
        </w:rPr>
        <w:t xml:space="preserve"> et mettre en œuvre un ensemble de cadres </w:t>
      </w:r>
      <w:r w:rsidR="00CD71A1" w:rsidRPr="00CD71A1">
        <w:rPr>
          <w:rFonts w:ascii="Verdana" w:eastAsia="Calibri" w:hAnsi="Verdana" w:cs="Calibri"/>
          <w:sz w:val="20"/>
          <w:szCs w:val="20"/>
        </w:rPr>
        <w:t xml:space="preserve">de gouvernance </w:t>
      </w:r>
      <w:r w:rsidR="00EA7470">
        <w:rPr>
          <w:rFonts w:ascii="Verdana" w:eastAsia="Calibri" w:hAnsi="Verdana" w:cs="Calibri"/>
          <w:sz w:val="20"/>
          <w:szCs w:val="20"/>
        </w:rPr>
        <w:t>opérationnel</w:t>
      </w:r>
      <w:r w:rsidR="00CD71A1">
        <w:rPr>
          <w:rFonts w:ascii="Verdana" w:eastAsia="Calibri" w:hAnsi="Verdana" w:cs="Calibri"/>
          <w:sz w:val="20"/>
          <w:szCs w:val="20"/>
        </w:rPr>
        <w:t>le</w:t>
      </w:r>
      <w:r w:rsidR="00EA7470">
        <w:rPr>
          <w:rFonts w:ascii="Verdana" w:eastAsia="Calibri" w:hAnsi="Verdana" w:cs="Calibri"/>
          <w:sz w:val="20"/>
          <w:szCs w:val="20"/>
        </w:rPr>
        <w:t xml:space="preserve"> et d’outils de gestion</w:t>
      </w:r>
      <w:bookmarkEnd w:id="2"/>
      <w:r w:rsidR="00EA7470">
        <w:rPr>
          <w:rFonts w:ascii="Verdana" w:eastAsia="Calibri" w:hAnsi="Verdana" w:cs="Calibri"/>
          <w:sz w:val="20"/>
          <w:szCs w:val="20"/>
        </w:rPr>
        <w:t xml:space="preserve">. </w:t>
      </w:r>
    </w:p>
    <w:p w14:paraId="68009DDB" w14:textId="06AAE9C2" w:rsidR="0008468B" w:rsidRPr="0008468B" w:rsidRDefault="00955BB3" w:rsidP="00A70123">
      <w:pPr>
        <w:pStyle w:val="Titrepartie"/>
      </w:pPr>
      <w:r w:rsidRPr="0008468B">
        <w:t>Etat d’avancement</w:t>
      </w:r>
    </w:p>
    <w:p w14:paraId="1884E548" w14:textId="7B5FD890" w:rsidR="00FC637E" w:rsidRDefault="00FC637E" w:rsidP="0008468B">
      <w:pPr>
        <w:jc w:val="both"/>
        <w:rPr>
          <w:rFonts w:ascii="Calibri Light" w:hAnsi="Calibri Light"/>
          <w:b/>
          <w:i/>
          <w:sz w:val="24"/>
          <w:szCs w:val="24"/>
        </w:rPr>
      </w:pPr>
      <w:r>
        <w:rPr>
          <w:rFonts w:ascii="Verdana" w:eastAsia="Calibri" w:hAnsi="Verdana" w:cs="Calibri"/>
          <w:sz w:val="20"/>
          <w:szCs w:val="20"/>
        </w:rPr>
        <w:t>A</w:t>
      </w:r>
      <w:r w:rsidRPr="006E5CD0">
        <w:rPr>
          <w:rFonts w:ascii="Verdana" w:eastAsia="Calibri" w:hAnsi="Verdana" w:cs="Calibri"/>
          <w:sz w:val="20"/>
          <w:szCs w:val="20"/>
        </w:rPr>
        <w:t xml:space="preserve">vec l’appui </w:t>
      </w:r>
      <w:r w:rsidR="002C1AEF">
        <w:rPr>
          <w:rFonts w:ascii="Verdana" w:eastAsia="Calibri" w:hAnsi="Verdana" w:cs="Calibri"/>
          <w:sz w:val="20"/>
          <w:szCs w:val="20"/>
        </w:rPr>
        <w:t>de l’AT-</w:t>
      </w:r>
      <w:r w:rsidRPr="006E5CD0">
        <w:rPr>
          <w:rFonts w:ascii="Verdana" w:eastAsia="Calibri" w:hAnsi="Verdana" w:cs="Calibri"/>
          <w:sz w:val="20"/>
          <w:szCs w:val="20"/>
        </w:rPr>
        <w:t>INCA</w:t>
      </w:r>
      <w:r>
        <w:rPr>
          <w:rFonts w:ascii="Verdana" w:eastAsia="Calibri" w:hAnsi="Verdana" w:cs="Calibri"/>
          <w:sz w:val="20"/>
          <w:szCs w:val="20"/>
        </w:rPr>
        <w:t xml:space="preserve"> les principaux cadres </w:t>
      </w:r>
      <w:r w:rsidR="001B519F">
        <w:rPr>
          <w:rFonts w:ascii="Verdana" w:eastAsia="Calibri" w:hAnsi="Verdana" w:cs="Calibri"/>
          <w:sz w:val="20"/>
          <w:szCs w:val="20"/>
        </w:rPr>
        <w:t xml:space="preserve">et outils </w:t>
      </w:r>
      <w:r w:rsidR="009376EA" w:rsidRPr="00CD71A1">
        <w:rPr>
          <w:rFonts w:ascii="Verdana" w:eastAsia="Calibri" w:hAnsi="Verdana" w:cs="Calibri"/>
          <w:sz w:val="20"/>
          <w:szCs w:val="20"/>
        </w:rPr>
        <w:t xml:space="preserve">de gouvernance </w:t>
      </w:r>
      <w:r w:rsidR="009376EA">
        <w:rPr>
          <w:rFonts w:ascii="Verdana" w:eastAsia="Calibri" w:hAnsi="Verdana" w:cs="Calibri"/>
          <w:sz w:val="20"/>
          <w:szCs w:val="20"/>
        </w:rPr>
        <w:t xml:space="preserve">opérationnelle </w:t>
      </w:r>
      <w:r>
        <w:rPr>
          <w:rFonts w:ascii="Verdana" w:eastAsia="Calibri" w:hAnsi="Verdana" w:cs="Calibri"/>
          <w:sz w:val="20"/>
          <w:szCs w:val="20"/>
        </w:rPr>
        <w:t>ci-après ont été conçus et mis en exploitation</w:t>
      </w:r>
      <w:r w:rsidR="009376EA">
        <w:rPr>
          <w:rFonts w:ascii="Verdana" w:eastAsia="Calibri" w:hAnsi="Verdana" w:cs="Calibri"/>
          <w:sz w:val="20"/>
          <w:szCs w:val="20"/>
        </w:rPr>
        <w:t> :</w:t>
      </w:r>
    </w:p>
    <w:p w14:paraId="337EEEF5" w14:textId="20F060A2" w:rsidR="009376EA" w:rsidRPr="00EB0022" w:rsidRDefault="009376EA" w:rsidP="00EB0022">
      <w:pPr>
        <w:pStyle w:val="Paragraphedeliste"/>
        <w:numPr>
          <w:ilvl w:val="0"/>
          <w:numId w:val="19"/>
        </w:numPr>
        <w:jc w:val="both"/>
        <w:rPr>
          <w:rFonts w:ascii="Verdana" w:hAnsi="Verdana" w:cs="Calibri"/>
          <w:sz w:val="20"/>
          <w:szCs w:val="20"/>
        </w:rPr>
      </w:pPr>
      <w:r w:rsidRPr="00EB0022">
        <w:rPr>
          <w:rFonts w:ascii="Verdana" w:hAnsi="Verdana" w:cs="Calibri"/>
          <w:b/>
          <w:bCs/>
          <w:sz w:val="20"/>
          <w:szCs w:val="20"/>
        </w:rPr>
        <w:t>Les tableaux bord de suivi financier </w:t>
      </w:r>
      <w:r w:rsidRPr="00EB0022">
        <w:rPr>
          <w:rFonts w:ascii="Verdana" w:hAnsi="Verdana" w:cs="Calibri"/>
          <w:sz w:val="20"/>
          <w:szCs w:val="20"/>
        </w:rPr>
        <w:t>: Ils constituent un système de surveillance et d'alerte précoce sur les problèmes de mise en œuvre des projets et programme</w:t>
      </w:r>
      <w:r w:rsidR="00EB0022" w:rsidRPr="00EB0022">
        <w:rPr>
          <w:rFonts w:ascii="Verdana" w:hAnsi="Verdana" w:cs="Calibri"/>
          <w:sz w:val="20"/>
          <w:szCs w:val="20"/>
        </w:rPr>
        <w:t>s</w:t>
      </w:r>
      <w:r w:rsidRPr="00EB0022">
        <w:rPr>
          <w:rFonts w:ascii="Verdana" w:hAnsi="Verdana" w:cs="Calibri"/>
          <w:sz w:val="20"/>
          <w:szCs w:val="20"/>
        </w:rPr>
        <w:t xml:space="preserve"> sous forme de tableau de bord financier. Un comité SAF-COI doté des premiers outils de surveillance et d'alerte précoce a été mis sur pied au sein du Secrétariat pour résoudre les problèmes d’ordre technique et opérationnel sur les questions administratives et financières (Piliers 1, 2, 4, 5).</w:t>
      </w:r>
    </w:p>
    <w:p w14:paraId="17A9E915" w14:textId="4A2B8FC6" w:rsidR="009376EA" w:rsidRPr="00EB0022" w:rsidRDefault="009376EA" w:rsidP="00EB0022">
      <w:pPr>
        <w:pStyle w:val="Paragraphedeliste"/>
        <w:numPr>
          <w:ilvl w:val="0"/>
          <w:numId w:val="19"/>
        </w:numPr>
        <w:jc w:val="both"/>
        <w:rPr>
          <w:rFonts w:ascii="Verdana" w:hAnsi="Verdana" w:cs="Calibri"/>
          <w:sz w:val="20"/>
          <w:szCs w:val="20"/>
        </w:rPr>
      </w:pPr>
      <w:r w:rsidRPr="00EB0022">
        <w:rPr>
          <w:rFonts w:ascii="Verdana" w:hAnsi="Verdana" w:cs="Calibri"/>
          <w:b/>
          <w:bCs/>
          <w:sz w:val="20"/>
          <w:szCs w:val="20"/>
        </w:rPr>
        <w:t xml:space="preserve">Les tableaux </w:t>
      </w:r>
      <w:r w:rsidR="002C1AEF">
        <w:rPr>
          <w:rFonts w:ascii="Verdana" w:hAnsi="Verdana" w:cs="Calibri"/>
          <w:b/>
          <w:bCs/>
          <w:sz w:val="20"/>
          <w:szCs w:val="20"/>
        </w:rPr>
        <w:t xml:space="preserve">de </w:t>
      </w:r>
      <w:r w:rsidRPr="00EB0022">
        <w:rPr>
          <w:rFonts w:ascii="Verdana" w:hAnsi="Verdana" w:cs="Calibri"/>
          <w:b/>
          <w:bCs/>
          <w:sz w:val="20"/>
          <w:szCs w:val="20"/>
        </w:rPr>
        <w:t xml:space="preserve">bord de suivi des recommandations </w:t>
      </w:r>
      <w:r w:rsidR="002C1AEF">
        <w:rPr>
          <w:rFonts w:ascii="Verdana" w:hAnsi="Verdana" w:cs="Calibri"/>
          <w:b/>
          <w:bCs/>
          <w:sz w:val="20"/>
          <w:szCs w:val="20"/>
        </w:rPr>
        <w:t xml:space="preserve">des </w:t>
      </w:r>
      <w:r w:rsidRPr="00EB0022">
        <w:rPr>
          <w:rFonts w:ascii="Verdana" w:hAnsi="Verdana" w:cs="Calibri"/>
          <w:b/>
          <w:bCs/>
          <w:sz w:val="20"/>
          <w:szCs w:val="20"/>
        </w:rPr>
        <w:t>audits</w:t>
      </w:r>
      <w:r w:rsidRPr="00EB0022">
        <w:rPr>
          <w:rFonts w:ascii="Verdana" w:hAnsi="Verdana" w:cs="Calibri"/>
          <w:sz w:val="20"/>
          <w:szCs w:val="20"/>
        </w:rPr>
        <w:t xml:space="preserve"> : Ils </w:t>
      </w:r>
      <w:r w:rsidR="00EB0022" w:rsidRPr="00EB0022">
        <w:rPr>
          <w:rFonts w:ascii="Verdana" w:hAnsi="Verdana" w:cs="Calibri"/>
          <w:sz w:val="20"/>
          <w:szCs w:val="20"/>
        </w:rPr>
        <w:t>participent</w:t>
      </w:r>
      <w:r w:rsidRPr="00EB0022">
        <w:rPr>
          <w:rFonts w:ascii="Verdana" w:hAnsi="Verdana" w:cs="Calibri"/>
          <w:sz w:val="20"/>
          <w:szCs w:val="20"/>
        </w:rPr>
        <w:t xml:space="preserve"> </w:t>
      </w:r>
      <w:r w:rsidR="00EB0022" w:rsidRPr="00EB0022">
        <w:rPr>
          <w:rFonts w:ascii="Verdana" w:hAnsi="Verdana" w:cs="Calibri"/>
          <w:sz w:val="20"/>
          <w:szCs w:val="20"/>
        </w:rPr>
        <w:t>au</w:t>
      </w:r>
      <w:r w:rsidRPr="00EB0022">
        <w:rPr>
          <w:rFonts w:ascii="Verdana" w:hAnsi="Verdana" w:cs="Calibri"/>
          <w:sz w:val="20"/>
          <w:szCs w:val="20"/>
        </w:rPr>
        <w:t xml:space="preserve"> système de surveillance et d'alerte précoce sur les problèmes de mise en œuvre des projets et programme</w:t>
      </w:r>
      <w:r w:rsidR="00EB0022" w:rsidRPr="00EB0022">
        <w:rPr>
          <w:rFonts w:ascii="Verdana" w:hAnsi="Verdana" w:cs="Calibri"/>
          <w:sz w:val="20"/>
          <w:szCs w:val="20"/>
        </w:rPr>
        <w:t xml:space="preserve">s. </w:t>
      </w:r>
      <w:r w:rsidRPr="00EB0022">
        <w:rPr>
          <w:rFonts w:ascii="Verdana" w:hAnsi="Verdana" w:cs="Calibri"/>
          <w:sz w:val="20"/>
          <w:szCs w:val="20"/>
        </w:rPr>
        <w:t>Ceci dans une dynamique de renforcer la capacité à travers l’acquisition de la connaissance du terrain sur l’identification des problèmes urgents, et de proposer des idées et des outils usuels pour assurer des résultats</w:t>
      </w:r>
      <w:r w:rsidR="00EB0022" w:rsidRPr="00EB0022">
        <w:rPr>
          <w:rFonts w:ascii="Verdana" w:hAnsi="Verdana" w:cs="Calibri"/>
          <w:sz w:val="20"/>
          <w:szCs w:val="20"/>
        </w:rPr>
        <w:t>.</w:t>
      </w:r>
    </w:p>
    <w:p w14:paraId="4938B18A" w14:textId="588EACCB" w:rsidR="00EB0022" w:rsidRPr="00EB0022" w:rsidRDefault="00EB0022" w:rsidP="00EB0022">
      <w:pPr>
        <w:pStyle w:val="Paragraphedeliste"/>
        <w:numPr>
          <w:ilvl w:val="0"/>
          <w:numId w:val="19"/>
        </w:numPr>
        <w:jc w:val="both"/>
        <w:rPr>
          <w:rFonts w:ascii="Verdana" w:hAnsi="Verdana" w:cs="Calibri"/>
          <w:sz w:val="20"/>
          <w:szCs w:val="20"/>
        </w:rPr>
      </w:pPr>
      <w:r w:rsidRPr="00EB0022">
        <w:rPr>
          <w:rFonts w:ascii="Verdana" w:hAnsi="Verdana" w:cs="Calibri"/>
          <w:b/>
          <w:bCs/>
          <w:sz w:val="20"/>
          <w:szCs w:val="20"/>
        </w:rPr>
        <w:t>Les grilles de gestion</w:t>
      </w:r>
      <w:r w:rsidRPr="00EB0022">
        <w:rPr>
          <w:rFonts w:ascii="Verdana" w:hAnsi="Verdana" w:cs="Calibri"/>
          <w:sz w:val="20"/>
          <w:szCs w:val="20"/>
        </w:rPr>
        <w:t> : Une soixantaine d’outils de suivi (grilles de contrôle, tableaux de bord etc.) sont graduellement en cours d’exploitation (Piliers 1</w:t>
      </w:r>
      <w:r w:rsidR="002C1AEF">
        <w:rPr>
          <w:rFonts w:ascii="Verdana" w:hAnsi="Verdana" w:cs="Calibri"/>
          <w:sz w:val="20"/>
          <w:szCs w:val="20"/>
        </w:rPr>
        <w:t xml:space="preserve"> à </w:t>
      </w:r>
      <w:r w:rsidRPr="00EB0022">
        <w:rPr>
          <w:rFonts w:ascii="Verdana" w:hAnsi="Verdana" w:cs="Calibri"/>
          <w:sz w:val="20"/>
          <w:szCs w:val="20"/>
        </w:rPr>
        <w:t>9).</w:t>
      </w:r>
      <w:r w:rsidR="00BF395B">
        <w:rPr>
          <w:rFonts w:ascii="Verdana" w:hAnsi="Verdana" w:cs="Calibri"/>
          <w:sz w:val="20"/>
          <w:szCs w:val="20"/>
        </w:rPr>
        <w:t xml:space="preserve"> Il s’agit notamment de procédures pour la vérification des dépenses, la catégorisation des constats, d’outils d’évaluation, de tableau de catégorisation des causes profondes de disfonctionnement, de liste de contrôle pour la vérification de dépenses, de modèle</w:t>
      </w:r>
      <w:r w:rsidR="00E67AF9">
        <w:rPr>
          <w:rFonts w:ascii="Verdana" w:hAnsi="Verdana" w:cs="Calibri"/>
          <w:sz w:val="20"/>
          <w:szCs w:val="20"/>
        </w:rPr>
        <w:t>s</w:t>
      </w:r>
      <w:r w:rsidR="00BF395B">
        <w:rPr>
          <w:rFonts w:ascii="Verdana" w:hAnsi="Verdana" w:cs="Calibri"/>
          <w:sz w:val="20"/>
          <w:szCs w:val="20"/>
        </w:rPr>
        <w:t xml:space="preserve"> de </w:t>
      </w:r>
      <w:r w:rsidR="00E67AF9">
        <w:rPr>
          <w:rFonts w:ascii="Verdana" w:hAnsi="Verdana" w:cs="Calibri"/>
          <w:sz w:val="20"/>
          <w:szCs w:val="20"/>
        </w:rPr>
        <w:t>mémorandum et de compte rendu, de réunion de planification, de matrices de contrôles, de feuilles de test, etc.</w:t>
      </w:r>
    </w:p>
    <w:p w14:paraId="7216A5E9" w14:textId="1097625B" w:rsidR="00FC637E" w:rsidRPr="00EB0022" w:rsidRDefault="00FC637E" w:rsidP="00EB0022">
      <w:pPr>
        <w:pStyle w:val="Paragraphedeliste"/>
        <w:numPr>
          <w:ilvl w:val="0"/>
          <w:numId w:val="19"/>
        </w:numPr>
        <w:jc w:val="both"/>
        <w:rPr>
          <w:rFonts w:ascii="Verdana" w:hAnsi="Verdana" w:cs="Calibri"/>
          <w:sz w:val="20"/>
          <w:szCs w:val="20"/>
        </w:rPr>
      </w:pPr>
      <w:r w:rsidRPr="00EB0022">
        <w:rPr>
          <w:rFonts w:ascii="Verdana" w:hAnsi="Verdana" w:cs="Calibri"/>
          <w:b/>
          <w:bCs/>
          <w:sz w:val="20"/>
          <w:szCs w:val="20"/>
        </w:rPr>
        <w:lastRenderedPageBreak/>
        <w:t xml:space="preserve">Le </w:t>
      </w:r>
      <w:r w:rsidR="00CD71A1" w:rsidRPr="00EB0022">
        <w:rPr>
          <w:rFonts w:ascii="Verdana" w:hAnsi="Verdana" w:cs="Calibri"/>
          <w:b/>
          <w:bCs/>
          <w:sz w:val="20"/>
          <w:szCs w:val="20"/>
        </w:rPr>
        <w:t>cadre de gestion de</w:t>
      </w:r>
      <w:r w:rsidR="00291675">
        <w:rPr>
          <w:rFonts w:ascii="Verdana" w:hAnsi="Verdana" w:cs="Calibri"/>
          <w:b/>
          <w:bCs/>
          <w:sz w:val="20"/>
          <w:szCs w:val="20"/>
        </w:rPr>
        <w:t>s</w:t>
      </w:r>
      <w:r w:rsidR="00CD71A1" w:rsidRPr="00EB0022">
        <w:rPr>
          <w:rFonts w:ascii="Verdana" w:hAnsi="Verdana" w:cs="Calibri"/>
          <w:b/>
          <w:bCs/>
          <w:sz w:val="20"/>
          <w:szCs w:val="20"/>
        </w:rPr>
        <w:t xml:space="preserve"> risques organisationnel</w:t>
      </w:r>
      <w:r w:rsidR="00291675">
        <w:rPr>
          <w:rFonts w:ascii="Verdana" w:hAnsi="Verdana" w:cs="Calibri"/>
          <w:b/>
          <w:bCs/>
          <w:sz w:val="20"/>
          <w:szCs w:val="20"/>
        </w:rPr>
        <w:t>s</w:t>
      </w:r>
      <w:r w:rsidR="00F63AEB" w:rsidRPr="00EB0022">
        <w:rPr>
          <w:rFonts w:ascii="Calibri Light" w:hAnsi="Calibri Light"/>
          <w:b/>
          <w:iCs/>
          <w:sz w:val="24"/>
          <w:szCs w:val="24"/>
        </w:rPr>
        <w:t xml:space="preserve"> : </w:t>
      </w:r>
      <w:r w:rsidR="00CD71A1" w:rsidRPr="00EB0022">
        <w:rPr>
          <w:rFonts w:ascii="Verdana" w:hAnsi="Verdana" w:cs="Calibri"/>
          <w:b/>
          <w:iCs/>
          <w:sz w:val="20"/>
          <w:szCs w:val="20"/>
        </w:rPr>
        <w:t xml:space="preserve"> </w:t>
      </w:r>
      <w:r w:rsidRPr="00EB0022">
        <w:rPr>
          <w:rFonts w:ascii="Verdana" w:hAnsi="Verdana" w:cs="Calibri"/>
          <w:sz w:val="20"/>
          <w:szCs w:val="20"/>
        </w:rPr>
        <w:t>L’une des exigences de l’accréditation neuf piliers consiste à établir et opérationnaliser un cadre de gestion des risques organisationnel</w:t>
      </w:r>
      <w:r w:rsidR="00291675">
        <w:rPr>
          <w:rFonts w:ascii="Verdana" w:hAnsi="Verdana" w:cs="Calibri"/>
          <w:sz w:val="20"/>
          <w:szCs w:val="20"/>
        </w:rPr>
        <w:t>s</w:t>
      </w:r>
      <w:r w:rsidRPr="00EB0022">
        <w:rPr>
          <w:rFonts w:ascii="Verdana" w:hAnsi="Verdana" w:cs="Calibri"/>
          <w:sz w:val="20"/>
          <w:szCs w:val="20"/>
        </w:rPr>
        <w:t xml:space="preserve"> (Pilier 3). Ce cadre est fondamental pour la COI dans la dynamique de sa modernisation fixée par la Déclaration de Moroni.  Des outils nécessaires à son application ont également été réalisés notamment un caneva de registre de risques, un tableau de bord de suivi et monitoring des risques, des questionnaires d’identification des risques de la COI à l’attention des agents internes à la COI et des partenaires de la COI, un formulaire de demande de modification de risque et des contrôles associés</w:t>
      </w:r>
    </w:p>
    <w:p w14:paraId="33CA48B8" w14:textId="1D8C2A04" w:rsidR="00BF68F1" w:rsidRPr="00EB0022" w:rsidRDefault="00BF68F1" w:rsidP="00EB0022">
      <w:pPr>
        <w:pStyle w:val="Paragraphedeliste"/>
        <w:numPr>
          <w:ilvl w:val="0"/>
          <w:numId w:val="19"/>
        </w:numPr>
        <w:jc w:val="both"/>
        <w:rPr>
          <w:rFonts w:ascii="Verdana" w:hAnsi="Verdana" w:cs="Calibri"/>
          <w:sz w:val="20"/>
          <w:szCs w:val="20"/>
        </w:rPr>
      </w:pPr>
      <w:r w:rsidRPr="00EB0022">
        <w:rPr>
          <w:rFonts w:ascii="Verdana" w:hAnsi="Verdana" w:cs="Calibri"/>
          <w:b/>
          <w:bCs/>
          <w:sz w:val="20"/>
          <w:szCs w:val="20"/>
        </w:rPr>
        <w:t>Le cadre de protection des données personnelles</w:t>
      </w:r>
      <w:r w:rsidR="00F63AEB" w:rsidRPr="00EB0022">
        <w:rPr>
          <w:rFonts w:ascii="Verdana" w:hAnsi="Verdana" w:cs="Calibri"/>
          <w:sz w:val="20"/>
          <w:szCs w:val="20"/>
        </w:rPr>
        <w:t xml:space="preserve"> : </w:t>
      </w:r>
      <w:r w:rsidRPr="00EB0022">
        <w:rPr>
          <w:rFonts w:ascii="Verdana" w:hAnsi="Verdana" w:cs="Calibri"/>
          <w:sz w:val="20"/>
          <w:szCs w:val="20"/>
        </w:rPr>
        <w:t>La procédure de protection des données personnelles</w:t>
      </w:r>
      <w:r w:rsidR="00F63AEB" w:rsidRPr="00EB0022">
        <w:rPr>
          <w:rFonts w:ascii="Verdana" w:hAnsi="Verdana" w:cs="Calibri"/>
          <w:sz w:val="20"/>
          <w:szCs w:val="20"/>
        </w:rPr>
        <w:t>, nécessaire</w:t>
      </w:r>
      <w:r w:rsidRPr="00EB0022">
        <w:rPr>
          <w:rFonts w:ascii="Verdana" w:hAnsi="Verdana" w:cs="Calibri"/>
          <w:sz w:val="20"/>
          <w:szCs w:val="20"/>
        </w:rPr>
        <w:t xml:space="preserve"> </w:t>
      </w:r>
      <w:r w:rsidR="00F63AEB" w:rsidRPr="00EB0022">
        <w:rPr>
          <w:rFonts w:ascii="Verdana" w:hAnsi="Verdana" w:cs="Calibri"/>
          <w:sz w:val="20"/>
          <w:szCs w:val="20"/>
        </w:rPr>
        <w:t xml:space="preserve">aux accréditations (Pilier 9), </w:t>
      </w:r>
      <w:r w:rsidRPr="00EB0022">
        <w:rPr>
          <w:rFonts w:ascii="Verdana" w:hAnsi="Verdana" w:cs="Calibri"/>
          <w:sz w:val="20"/>
          <w:szCs w:val="20"/>
        </w:rPr>
        <w:t xml:space="preserve">est compatible avec les textes de l’Etat du Siège de la COI, et le règlement </w:t>
      </w:r>
      <w:r w:rsidR="00291675">
        <w:rPr>
          <w:rFonts w:ascii="Verdana" w:hAnsi="Verdana" w:cs="Calibri"/>
          <w:sz w:val="20"/>
          <w:szCs w:val="20"/>
        </w:rPr>
        <w:t>g</w:t>
      </w:r>
      <w:r w:rsidRPr="00EB0022">
        <w:rPr>
          <w:rFonts w:ascii="Verdana" w:hAnsi="Verdana" w:cs="Calibri"/>
          <w:sz w:val="20"/>
          <w:szCs w:val="20"/>
        </w:rPr>
        <w:t xml:space="preserve">énéral de </w:t>
      </w:r>
      <w:r w:rsidR="00291675">
        <w:rPr>
          <w:rFonts w:ascii="Verdana" w:hAnsi="Verdana" w:cs="Calibri"/>
          <w:sz w:val="20"/>
          <w:szCs w:val="20"/>
        </w:rPr>
        <w:t>p</w:t>
      </w:r>
      <w:r w:rsidRPr="00EB0022">
        <w:rPr>
          <w:rFonts w:ascii="Verdana" w:hAnsi="Verdana" w:cs="Calibri"/>
          <w:sz w:val="20"/>
          <w:szCs w:val="20"/>
        </w:rPr>
        <w:t xml:space="preserve">rotection des </w:t>
      </w:r>
      <w:r w:rsidR="00291675">
        <w:rPr>
          <w:rFonts w:ascii="Verdana" w:hAnsi="Verdana" w:cs="Calibri"/>
          <w:sz w:val="20"/>
          <w:szCs w:val="20"/>
        </w:rPr>
        <w:t>d</w:t>
      </w:r>
      <w:r w:rsidRPr="00EB0022">
        <w:rPr>
          <w:rFonts w:ascii="Verdana" w:hAnsi="Verdana" w:cs="Calibri"/>
          <w:sz w:val="20"/>
          <w:szCs w:val="20"/>
        </w:rPr>
        <w:t xml:space="preserve">onnées </w:t>
      </w:r>
      <w:r w:rsidR="00291675">
        <w:rPr>
          <w:rFonts w:ascii="Verdana" w:hAnsi="Verdana" w:cs="Calibri"/>
          <w:sz w:val="20"/>
          <w:szCs w:val="20"/>
        </w:rPr>
        <w:t>p</w:t>
      </w:r>
      <w:r w:rsidRPr="00EB0022">
        <w:rPr>
          <w:rFonts w:ascii="Verdana" w:hAnsi="Verdana" w:cs="Calibri"/>
          <w:sz w:val="20"/>
          <w:szCs w:val="20"/>
        </w:rPr>
        <w:t xml:space="preserve">ersonnelles </w:t>
      </w:r>
      <w:r w:rsidR="00291675">
        <w:rPr>
          <w:rFonts w:ascii="Verdana" w:hAnsi="Verdana" w:cs="Calibri"/>
          <w:sz w:val="20"/>
          <w:szCs w:val="20"/>
        </w:rPr>
        <w:t xml:space="preserve">(RGPD) </w:t>
      </w:r>
      <w:r w:rsidRPr="00EB0022">
        <w:rPr>
          <w:rFonts w:ascii="Verdana" w:hAnsi="Verdana" w:cs="Calibri"/>
          <w:sz w:val="20"/>
          <w:szCs w:val="20"/>
        </w:rPr>
        <w:t>de portée internationale.</w:t>
      </w:r>
      <w:r w:rsidR="005B4BEC" w:rsidRPr="00EB0022">
        <w:rPr>
          <w:rFonts w:ascii="Verdana" w:hAnsi="Verdana" w:cs="Calibri"/>
          <w:sz w:val="20"/>
          <w:szCs w:val="20"/>
        </w:rPr>
        <w:t xml:space="preserve"> Il couvre notamment les</w:t>
      </w:r>
      <w:r w:rsidR="009376EA" w:rsidRPr="00EB0022">
        <w:rPr>
          <w:rFonts w:ascii="Verdana" w:hAnsi="Verdana" w:cs="Calibri"/>
          <w:sz w:val="20"/>
          <w:szCs w:val="20"/>
        </w:rPr>
        <w:t xml:space="preserve"> manuel</w:t>
      </w:r>
      <w:r w:rsidR="00291675">
        <w:rPr>
          <w:rFonts w:ascii="Verdana" w:hAnsi="Verdana" w:cs="Calibri"/>
          <w:sz w:val="20"/>
          <w:szCs w:val="20"/>
        </w:rPr>
        <w:t>s</w:t>
      </w:r>
      <w:r w:rsidR="009376EA" w:rsidRPr="00EB0022">
        <w:rPr>
          <w:rFonts w:ascii="Verdana" w:hAnsi="Verdana" w:cs="Calibri"/>
          <w:sz w:val="20"/>
          <w:szCs w:val="20"/>
        </w:rPr>
        <w:t xml:space="preserve"> de gestion des</w:t>
      </w:r>
      <w:r w:rsidR="005B4BEC" w:rsidRPr="00EB0022">
        <w:rPr>
          <w:rFonts w:ascii="Verdana" w:hAnsi="Verdana" w:cs="Calibri"/>
          <w:sz w:val="20"/>
          <w:szCs w:val="20"/>
        </w:rPr>
        <w:t xml:space="preserve"> processus ci-après : Acquisition et Développement de Systèmes ; Antivirus ; Appareils Mobile ; Classification des Informations ; Conformité ; Contrôle d’accès ; Cryptage de données ; Evaluations des Risques ; Gestion de la continuité des activités ; Gestion des actifs ; Gestion des Incidents liés à la sécurité des Informations ; Gestion des logiciels ; Gestion des versions et des mises à jours ; Gestions des Incidents ; Traitement des supports ;  Réponse aux Incidents de Sécurité des Information</w:t>
      </w:r>
      <w:r w:rsidR="00291675">
        <w:rPr>
          <w:rFonts w:ascii="Verdana" w:hAnsi="Verdana" w:cs="Calibri"/>
          <w:sz w:val="20"/>
          <w:szCs w:val="20"/>
        </w:rPr>
        <w:t>s</w:t>
      </w:r>
      <w:r w:rsidR="005B4BEC" w:rsidRPr="00EB0022">
        <w:rPr>
          <w:rFonts w:ascii="Verdana" w:hAnsi="Verdana" w:cs="Calibri"/>
          <w:sz w:val="20"/>
          <w:szCs w:val="20"/>
        </w:rPr>
        <w:t xml:space="preserve"> ; Ressources Humaines ; Rôles et Responsabilités en matière de Sécurité de l'information ; Sauvegarde ; Sécurité des bureaux et zones ; Sécurité des Données ; Sécurité des Informations ; Sécurité des Réseaux ; Sécurité des tiers et fournisseurs ; Sécurité Opérationnelle ; Service informatique interne (SLA) ; Télétravail et Travail à distance ; Utilisation des outils et service informatique</w:t>
      </w:r>
    </w:p>
    <w:p w14:paraId="30901709" w14:textId="40240963" w:rsidR="00F63AEB" w:rsidRPr="00EB0022" w:rsidRDefault="00F63AEB" w:rsidP="00EB0022">
      <w:pPr>
        <w:pStyle w:val="Paragraphedeliste"/>
        <w:numPr>
          <w:ilvl w:val="0"/>
          <w:numId w:val="19"/>
        </w:numPr>
        <w:jc w:val="both"/>
        <w:rPr>
          <w:rFonts w:ascii="Verdana" w:hAnsi="Verdana" w:cs="Calibri"/>
          <w:sz w:val="20"/>
          <w:szCs w:val="20"/>
        </w:rPr>
      </w:pPr>
      <w:r w:rsidRPr="00EB0022">
        <w:rPr>
          <w:rFonts w:ascii="Verdana" w:hAnsi="Verdana" w:cs="Calibri"/>
          <w:b/>
          <w:bCs/>
          <w:sz w:val="20"/>
          <w:szCs w:val="20"/>
        </w:rPr>
        <w:t>Le manuel de gestion financière et administrative</w:t>
      </w:r>
      <w:r w:rsidRPr="00EB0022">
        <w:rPr>
          <w:rFonts w:ascii="Verdana" w:hAnsi="Verdana" w:cs="Calibri"/>
          <w:sz w:val="20"/>
          <w:szCs w:val="20"/>
        </w:rPr>
        <w:t>. Il permet de pa</w:t>
      </w:r>
      <w:r w:rsidR="00291675">
        <w:rPr>
          <w:rFonts w:ascii="Verdana" w:hAnsi="Verdana" w:cs="Calibri"/>
          <w:sz w:val="20"/>
          <w:szCs w:val="20"/>
        </w:rPr>
        <w:t>l</w:t>
      </w:r>
      <w:r w:rsidRPr="00EB0022">
        <w:rPr>
          <w:rFonts w:ascii="Verdana" w:hAnsi="Verdana" w:cs="Calibri"/>
          <w:sz w:val="20"/>
          <w:szCs w:val="20"/>
        </w:rPr>
        <w:t>lier l’ensemble des faiblesses constatées de la gestion financière administrative relevé par les différents audits conduit</w:t>
      </w:r>
      <w:r w:rsidR="00291675">
        <w:rPr>
          <w:rFonts w:ascii="Verdana" w:hAnsi="Verdana" w:cs="Calibri"/>
          <w:sz w:val="20"/>
          <w:szCs w:val="20"/>
        </w:rPr>
        <w:t>s</w:t>
      </w:r>
      <w:r w:rsidRPr="00EB0022">
        <w:rPr>
          <w:rFonts w:ascii="Verdana" w:hAnsi="Verdana" w:cs="Calibri"/>
          <w:sz w:val="20"/>
          <w:szCs w:val="20"/>
        </w:rPr>
        <w:t xml:space="preserve"> à la COI au cours des dix dernières années. Dot</w:t>
      </w:r>
      <w:r w:rsidR="00291675">
        <w:rPr>
          <w:rFonts w:ascii="Verdana" w:hAnsi="Verdana" w:cs="Calibri"/>
          <w:sz w:val="20"/>
          <w:szCs w:val="20"/>
        </w:rPr>
        <w:t>er</w:t>
      </w:r>
      <w:r w:rsidRPr="00EB0022">
        <w:rPr>
          <w:rFonts w:ascii="Verdana" w:hAnsi="Verdana" w:cs="Calibri"/>
          <w:sz w:val="20"/>
          <w:szCs w:val="20"/>
        </w:rPr>
        <w:t xml:space="preserve"> la COI d’un système de gestion financière et administrative aux normes internationales est au cœur de la démarche du Secrétariat général en vue des accréditations (Piliers 1, 2, 8).</w:t>
      </w:r>
    </w:p>
    <w:p w14:paraId="4A4501F5" w14:textId="2C9C7369" w:rsidR="00865345" w:rsidRPr="00EB0022" w:rsidRDefault="00865345" w:rsidP="00EB0022">
      <w:pPr>
        <w:pStyle w:val="Paragraphedeliste"/>
        <w:numPr>
          <w:ilvl w:val="0"/>
          <w:numId w:val="19"/>
        </w:numPr>
        <w:jc w:val="both"/>
        <w:rPr>
          <w:rFonts w:ascii="Verdana" w:hAnsi="Verdana" w:cs="Calibri"/>
          <w:sz w:val="20"/>
          <w:szCs w:val="20"/>
        </w:rPr>
      </w:pPr>
      <w:r w:rsidRPr="00EB0022">
        <w:rPr>
          <w:rFonts w:ascii="Verdana" w:hAnsi="Verdana" w:cs="Calibri"/>
          <w:b/>
          <w:bCs/>
          <w:sz w:val="20"/>
          <w:szCs w:val="20"/>
        </w:rPr>
        <w:t>Le manuel de gestion des subventions</w:t>
      </w:r>
      <w:r w:rsidRPr="00EB0022">
        <w:rPr>
          <w:rFonts w:ascii="Verdana" w:hAnsi="Verdana" w:cs="Calibri"/>
          <w:sz w:val="20"/>
          <w:szCs w:val="20"/>
        </w:rPr>
        <w:t> : Dot</w:t>
      </w:r>
      <w:r w:rsidR="00291675">
        <w:rPr>
          <w:rFonts w:ascii="Verdana" w:hAnsi="Verdana" w:cs="Calibri"/>
          <w:sz w:val="20"/>
          <w:szCs w:val="20"/>
        </w:rPr>
        <w:t>er</w:t>
      </w:r>
      <w:r w:rsidRPr="00EB0022">
        <w:rPr>
          <w:rFonts w:ascii="Verdana" w:hAnsi="Verdana" w:cs="Calibri"/>
          <w:sz w:val="20"/>
          <w:szCs w:val="20"/>
        </w:rPr>
        <w:t xml:space="preserve"> la COI d’un système de gestion des subventions simple mais aux normes internationales est au cœur de la démarche du Secrétariat général en vue des accréditations (Piliers 4, 7).</w:t>
      </w:r>
    </w:p>
    <w:p w14:paraId="2B594FE3" w14:textId="38354BAA" w:rsidR="005B4BEC" w:rsidRPr="00EB0022" w:rsidRDefault="005B4BEC" w:rsidP="00EB0022">
      <w:pPr>
        <w:pStyle w:val="Paragraphedeliste"/>
        <w:numPr>
          <w:ilvl w:val="0"/>
          <w:numId w:val="19"/>
        </w:numPr>
        <w:jc w:val="both"/>
        <w:rPr>
          <w:rFonts w:ascii="Verdana" w:hAnsi="Verdana" w:cs="Calibri"/>
          <w:sz w:val="20"/>
          <w:szCs w:val="20"/>
        </w:rPr>
      </w:pPr>
      <w:r w:rsidRPr="00EB0022">
        <w:rPr>
          <w:rFonts w:ascii="Verdana" w:hAnsi="Verdana" w:cs="Calibri"/>
          <w:b/>
          <w:bCs/>
          <w:sz w:val="20"/>
          <w:szCs w:val="20"/>
        </w:rPr>
        <w:t>Le manuel de gestion des résultats</w:t>
      </w:r>
      <w:r w:rsidRPr="00EB0022">
        <w:rPr>
          <w:rFonts w:ascii="Verdana" w:hAnsi="Verdana" w:cs="Calibri"/>
          <w:sz w:val="20"/>
          <w:szCs w:val="20"/>
        </w:rPr>
        <w:t xml:space="preserve"> : </w:t>
      </w:r>
      <w:r w:rsidR="0020476F" w:rsidRPr="0020476F">
        <w:rPr>
          <w:rFonts w:ascii="Verdana" w:hAnsi="Verdana" w:cs="Calibri"/>
          <w:sz w:val="20"/>
          <w:szCs w:val="20"/>
        </w:rPr>
        <w:t>Il vise à faciliter l’intégration de la gestion axée sur les résultats dans une même démarche. Il est également une introduction aux éléments particuliers du cycle de gestion axée sur les résultats.  Il contribue ainsi à aider la COI à aligner ses mécanismes sur les méthodes de la gestion axée sur les résultats et plus précisément à suivre et mesurer l’efficacité des interventions et stratégies de la COI ainsi que leurs apports à la réalisation des effets. Il s’agit de proposer des outils simples, souples et prospectifs.  Il inclut un système de suivi de la mise en œuvre du mandat de la COI et du PDS.</w:t>
      </w:r>
      <w:r w:rsidR="0020476F">
        <w:rPr>
          <w:rFonts w:ascii="Verdana" w:hAnsi="Verdana" w:cs="Calibri"/>
          <w:sz w:val="20"/>
          <w:szCs w:val="20"/>
        </w:rPr>
        <w:t xml:space="preserve"> </w:t>
      </w:r>
      <w:r w:rsidRPr="00EB0022">
        <w:rPr>
          <w:rFonts w:ascii="Verdana" w:hAnsi="Verdana" w:cs="Calibri"/>
          <w:sz w:val="20"/>
          <w:szCs w:val="20"/>
        </w:rPr>
        <w:t>Pour la COI, ce passage à « une culture de performance » appelle l’alignement de tous les instruments de programmation, d’exécution, de suivi et d’évaluation sur la méthode de la gestion axée sur les résultats. Ce système offre également l’assurance que la COI rendra compte de son action aux membres et à toutes les parties prenantes internes et externes.</w:t>
      </w:r>
    </w:p>
    <w:p w14:paraId="7B3FCBFB" w14:textId="6FA47E4A" w:rsidR="0064070D" w:rsidRDefault="00EB0022" w:rsidP="0008468B">
      <w:pPr>
        <w:jc w:val="both"/>
        <w:rPr>
          <w:rFonts w:ascii="Verdana" w:hAnsi="Verdana" w:cs="Calibri"/>
          <w:sz w:val="20"/>
          <w:szCs w:val="20"/>
        </w:rPr>
      </w:pPr>
      <w:r>
        <w:rPr>
          <w:rFonts w:ascii="Verdana" w:hAnsi="Verdana" w:cs="Calibri"/>
          <w:sz w:val="20"/>
          <w:szCs w:val="20"/>
        </w:rPr>
        <w:t>Ces outils et cadres de gouvernance opérationnelle feront l’objet de sensibilisation et de formation encore plus poussée au cours de</w:t>
      </w:r>
      <w:r w:rsidR="00291675">
        <w:rPr>
          <w:rFonts w:ascii="Verdana" w:hAnsi="Verdana" w:cs="Calibri"/>
          <w:sz w:val="20"/>
          <w:szCs w:val="20"/>
        </w:rPr>
        <w:t>s</w:t>
      </w:r>
      <w:r>
        <w:rPr>
          <w:rFonts w:ascii="Verdana" w:hAnsi="Verdana" w:cs="Calibri"/>
          <w:sz w:val="20"/>
          <w:szCs w:val="20"/>
        </w:rPr>
        <w:t xml:space="preserve"> prochains mois. </w:t>
      </w:r>
    </w:p>
    <w:p w14:paraId="283155A8" w14:textId="0D226315" w:rsidR="00865345" w:rsidRDefault="00EB0022" w:rsidP="0008468B">
      <w:pPr>
        <w:jc w:val="both"/>
        <w:rPr>
          <w:rFonts w:ascii="Verdana" w:hAnsi="Verdana" w:cs="Calibri"/>
          <w:sz w:val="20"/>
          <w:szCs w:val="20"/>
        </w:rPr>
      </w:pPr>
      <w:r w:rsidRPr="00EB0022">
        <w:rPr>
          <w:rFonts w:ascii="Verdana" w:hAnsi="Verdana" w:cs="Calibri"/>
          <w:sz w:val="20"/>
          <w:szCs w:val="20"/>
        </w:rPr>
        <w:t xml:space="preserve">D’autres </w:t>
      </w:r>
      <w:r>
        <w:rPr>
          <w:rFonts w:ascii="Verdana" w:hAnsi="Verdana" w:cs="Calibri"/>
          <w:sz w:val="20"/>
          <w:szCs w:val="20"/>
        </w:rPr>
        <w:t>sont en cours</w:t>
      </w:r>
      <w:r w:rsidR="0064070D">
        <w:rPr>
          <w:rFonts w:ascii="Verdana" w:hAnsi="Verdana" w:cs="Calibri"/>
          <w:sz w:val="20"/>
          <w:szCs w:val="20"/>
        </w:rPr>
        <w:t xml:space="preserve"> d’élaboration (</w:t>
      </w:r>
      <w:r w:rsidR="00865345">
        <w:rPr>
          <w:rFonts w:ascii="Verdana" w:hAnsi="Verdana" w:cs="Calibri"/>
          <w:sz w:val="20"/>
          <w:szCs w:val="20"/>
        </w:rPr>
        <w:t>M</w:t>
      </w:r>
      <w:r w:rsidR="00865345" w:rsidRPr="00865345">
        <w:rPr>
          <w:rFonts w:ascii="Verdana" w:hAnsi="Verdana" w:cs="Calibri"/>
          <w:sz w:val="20"/>
          <w:szCs w:val="20"/>
        </w:rPr>
        <w:t>anuel de gestion de passation de marché</w:t>
      </w:r>
      <w:r w:rsidR="0064070D">
        <w:rPr>
          <w:rFonts w:ascii="Verdana" w:hAnsi="Verdana" w:cs="Calibri"/>
          <w:sz w:val="20"/>
          <w:szCs w:val="20"/>
        </w:rPr>
        <w:t>, manuel de gestion des ressources humaines, etc.)</w:t>
      </w:r>
    </w:p>
    <w:p w14:paraId="2F7F5914" w14:textId="608AD6BB" w:rsidR="00955BB3" w:rsidRPr="0008468B" w:rsidRDefault="00955BB3" w:rsidP="00A70123">
      <w:pPr>
        <w:pStyle w:val="Titrepartie"/>
      </w:pPr>
      <w:r w:rsidRPr="0008468B">
        <w:lastRenderedPageBreak/>
        <w:t>Proposition de décision</w:t>
      </w:r>
    </w:p>
    <w:p w14:paraId="05F1F967" w14:textId="2AF3224D" w:rsidR="0008468B" w:rsidRPr="004F5C4B" w:rsidRDefault="0008468B" w:rsidP="00FE285D">
      <w:pPr>
        <w:pStyle w:val="Paragraphe"/>
      </w:pPr>
      <w:r w:rsidRPr="004F5C4B">
        <w:t>Le Comité des OPL</w:t>
      </w:r>
      <w:r w:rsidR="00221A10">
        <w:t xml:space="preserve"> recommande au Conseil des ministres de :</w:t>
      </w:r>
    </w:p>
    <w:p w14:paraId="16F15FFD" w14:textId="76DBE081" w:rsidR="002F6B5F" w:rsidRDefault="0064070D" w:rsidP="00FE285D">
      <w:pPr>
        <w:pStyle w:val="Paragraphe"/>
        <w:numPr>
          <w:ilvl w:val="0"/>
          <w:numId w:val="6"/>
        </w:numPr>
      </w:pPr>
      <w:r>
        <w:t>Prendre acte de ces avancées</w:t>
      </w:r>
      <w:r w:rsidR="00291675">
        <w:t xml:space="preserve"> et</w:t>
      </w:r>
      <w:r>
        <w:t xml:space="preserve"> </w:t>
      </w:r>
      <w:r w:rsidR="00291675">
        <w:t>d’encourager</w:t>
      </w:r>
      <w:r>
        <w:t xml:space="preserve"> le Secrétariat </w:t>
      </w:r>
      <w:r w:rsidR="00291675">
        <w:t>dans la poursuite d</w:t>
      </w:r>
      <w:r w:rsidR="00FF35F9">
        <w:t>e la conception et du</w:t>
      </w:r>
      <w:r w:rsidR="00291675">
        <w:t xml:space="preserve"> déploiement des </w:t>
      </w:r>
      <w:r w:rsidRPr="0064070D">
        <w:t>cadres de gouvernance opérationnelle et d</w:t>
      </w:r>
      <w:r w:rsidR="00291675">
        <w:t xml:space="preserve">es </w:t>
      </w:r>
      <w:r w:rsidRPr="0064070D">
        <w:t>outils de gestion</w:t>
      </w:r>
      <w:r w:rsidR="00291675">
        <w:t> ;</w:t>
      </w:r>
      <w:r>
        <w:t xml:space="preserve"> </w:t>
      </w:r>
    </w:p>
    <w:p w14:paraId="2EF98790" w14:textId="47486250" w:rsidR="0008468B" w:rsidRDefault="001B519F" w:rsidP="00FE285D">
      <w:pPr>
        <w:pStyle w:val="Paragraphe"/>
        <w:numPr>
          <w:ilvl w:val="0"/>
          <w:numId w:val="6"/>
        </w:numPr>
      </w:pPr>
      <w:r>
        <w:t>Remercier l’U</w:t>
      </w:r>
      <w:r w:rsidR="00FF35F9">
        <w:t>nion européenne</w:t>
      </w:r>
      <w:r>
        <w:t xml:space="preserve"> pour son appui </w:t>
      </w:r>
      <w:r w:rsidR="00FF35F9">
        <w:t>à</w:t>
      </w:r>
      <w:r>
        <w:t xml:space="preserve"> l’opérationnalisation des cadres et outils de gouvernance opérationnelle</w:t>
      </w:r>
      <w:r w:rsidR="00FF35F9" w:rsidRPr="00FF35F9">
        <w:t xml:space="preserve"> </w:t>
      </w:r>
      <w:r w:rsidR="00FF35F9">
        <w:t>à travers le programme INCA</w:t>
      </w:r>
      <w:r w:rsidR="002F6B5F">
        <w:t>.</w:t>
      </w:r>
    </w:p>
    <w:p w14:paraId="3EF07A45" w14:textId="77777777" w:rsidR="00FF35F9" w:rsidRDefault="00FF35F9" w:rsidP="00FF35F9">
      <w:pPr>
        <w:pStyle w:val="Paragraphe"/>
        <w:ind w:left="720"/>
      </w:pPr>
    </w:p>
    <w:p w14:paraId="7EAEB404" w14:textId="72ACB4A7" w:rsidR="00955BB3" w:rsidRPr="0008468B" w:rsidRDefault="00955BB3" w:rsidP="00FE285D">
      <w:pPr>
        <w:pStyle w:val="Titrepartie"/>
      </w:pPr>
      <w:r w:rsidRPr="0008468B">
        <w:t>Rappel des décisions antérieures</w:t>
      </w:r>
    </w:p>
    <w:bookmarkEnd w:id="1"/>
    <w:p w14:paraId="623000D0" w14:textId="7E8439F3" w:rsidR="0008468B" w:rsidRPr="00FE285D" w:rsidRDefault="00FE285D" w:rsidP="00FF35F9">
      <w:pPr>
        <w:pStyle w:val="Paragraphe"/>
      </w:pPr>
      <w:r>
        <w:t>Cf.</w:t>
      </w:r>
      <w:r w:rsidR="0008468B" w:rsidRPr="00FE285D">
        <w:t xml:space="preserve"> Décision</w:t>
      </w:r>
      <w:r w:rsidR="008E7D6B">
        <w:t>s</w:t>
      </w:r>
      <w:r w:rsidR="0008468B" w:rsidRPr="00FE285D">
        <w:t xml:space="preserve"> </w:t>
      </w:r>
      <w:r w:rsidR="003452C8" w:rsidRPr="003452C8">
        <w:t>5.d</w:t>
      </w:r>
      <w:r w:rsidR="0008468B" w:rsidRPr="00FE285D">
        <w:t>.</w:t>
      </w:r>
      <w:r w:rsidR="00A76B07">
        <w:t xml:space="preserve"> </w:t>
      </w:r>
      <w:r w:rsidR="00561B9A">
        <w:t xml:space="preserve">du </w:t>
      </w:r>
      <w:r w:rsidR="003452C8">
        <w:t>34</w:t>
      </w:r>
      <w:r w:rsidR="006E5CD0" w:rsidRPr="006E5CD0">
        <w:rPr>
          <w:vertAlign w:val="superscript"/>
        </w:rPr>
        <w:t>ème</w:t>
      </w:r>
      <w:r w:rsidR="006E5CD0">
        <w:t xml:space="preserve"> </w:t>
      </w:r>
      <w:r w:rsidR="00561B9A">
        <w:t xml:space="preserve">Conseil des </w:t>
      </w:r>
      <w:r w:rsidR="00FF35F9">
        <w:t>m</w:t>
      </w:r>
      <w:r w:rsidR="00E30B05">
        <w:t>inistres</w:t>
      </w:r>
      <w:r w:rsidR="00FF35F9">
        <w:t> :</w:t>
      </w:r>
    </w:p>
    <w:p w14:paraId="625AF508" w14:textId="22F6E25B" w:rsidR="003452C8" w:rsidRPr="008E7D6B" w:rsidRDefault="00FF35F9" w:rsidP="00FF35F9">
      <w:pPr>
        <w:pStyle w:val="Paragraphe"/>
      </w:pPr>
      <w:r w:rsidRPr="00FF35F9">
        <w:t>Le</w:t>
      </w:r>
      <w:r w:rsidR="003452C8" w:rsidRPr="008E7D6B">
        <w:t xml:space="preserve"> Conseil des ministres invite le Secrétariat général « à poursuivre la mise en œuvre de la Déclaration de Moroni sur l’avenir de la COI ainsi que les activités identifiées dans le diagnostic institutionnel et opérationnel réalisé par l’assistance technique INCA en vue des accréditations au GCF et 9 piliers de l’Union européenne (UE)</w:t>
      </w:r>
      <w:r>
        <w:t> »</w:t>
      </w:r>
      <w:r w:rsidR="003452C8" w:rsidRPr="008E7D6B">
        <w:t>.</w:t>
      </w:r>
    </w:p>
    <w:sectPr w:rsidR="003452C8" w:rsidRPr="008E7D6B" w:rsidSect="00291675">
      <w:headerReference w:type="default" r:id="rId7"/>
      <w:footerReference w:type="default" r:id="rId8"/>
      <w:pgSz w:w="11906" w:h="16838"/>
      <w:pgMar w:top="1843"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1C01" w14:textId="77777777" w:rsidR="000156BD" w:rsidRDefault="000156BD">
      <w:pPr>
        <w:spacing w:after="0" w:line="240" w:lineRule="auto"/>
      </w:pPr>
      <w:r>
        <w:separator/>
      </w:r>
    </w:p>
  </w:endnote>
  <w:endnote w:type="continuationSeparator" w:id="0">
    <w:p w14:paraId="23582791" w14:textId="77777777" w:rsidR="000156BD" w:rsidRDefault="0001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EC5F" w14:textId="77777777" w:rsidR="000156BD" w:rsidRDefault="000156BD">
      <w:pPr>
        <w:spacing w:after="0" w:line="240" w:lineRule="auto"/>
      </w:pPr>
      <w:r>
        <w:separator/>
      </w:r>
    </w:p>
  </w:footnote>
  <w:footnote w:type="continuationSeparator" w:id="0">
    <w:p w14:paraId="17439F9D" w14:textId="77777777" w:rsidR="000156BD" w:rsidRDefault="00015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51545B14"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2C1AEF">
      <w:rPr>
        <w:rFonts w:ascii="Verdana" w:hAnsi="Verdana"/>
        <w:b/>
        <w:bCs/>
        <w:sz w:val="20"/>
        <w:szCs w:val="20"/>
      </w:rPr>
      <w:t>2.4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EF6"/>
    <w:multiLevelType w:val="hybridMultilevel"/>
    <w:tmpl w:val="610ECC8C"/>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C40041"/>
    <w:multiLevelType w:val="hybridMultilevel"/>
    <w:tmpl w:val="BACA83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3474AB1"/>
    <w:multiLevelType w:val="hybridMultilevel"/>
    <w:tmpl w:val="77F0AB8C"/>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6" w15:restartNumberingAfterBreak="0">
    <w:nsid w:val="13A96A5D"/>
    <w:multiLevelType w:val="hybridMultilevel"/>
    <w:tmpl w:val="5A447ED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DE41DA"/>
    <w:multiLevelType w:val="hybridMultilevel"/>
    <w:tmpl w:val="393C15E2"/>
    <w:lvl w:ilvl="0" w:tplc="1000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CB7338"/>
    <w:multiLevelType w:val="hybridMultilevel"/>
    <w:tmpl w:val="0AC6CA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4577F01"/>
    <w:multiLevelType w:val="hybridMultilevel"/>
    <w:tmpl w:val="2DE05A18"/>
    <w:lvl w:ilvl="0" w:tplc="90AC9D3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5B1912"/>
    <w:multiLevelType w:val="hybridMultilevel"/>
    <w:tmpl w:val="E00E133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66EC32FA"/>
    <w:multiLevelType w:val="hybridMultilevel"/>
    <w:tmpl w:val="9B42BE22"/>
    <w:lvl w:ilvl="0" w:tplc="67C46510">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3DC1EEC"/>
    <w:multiLevelType w:val="hybridMultilevel"/>
    <w:tmpl w:val="D216211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4"/>
  </w:num>
  <w:num w:numId="4">
    <w:abstractNumId w:val="1"/>
  </w:num>
  <w:num w:numId="5">
    <w:abstractNumId w:val="13"/>
  </w:num>
  <w:num w:numId="6">
    <w:abstractNumId w:val="7"/>
  </w:num>
  <w:num w:numId="7">
    <w:abstractNumId w:val="9"/>
  </w:num>
  <w:num w:numId="8">
    <w:abstractNumId w:val="4"/>
    <w:lvlOverride w:ilvl="0">
      <w:startOverride w:val="1"/>
    </w:lvlOverride>
  </w:num>
  <w:num w:numId="9">
    <w:abstractNumId w:val="3"/>
  </w:num>
  <w:num w:numId="10">
    <w:abstractNumId w:val="12"/>
  </w:num>
  <w:num w:numId="11">
    <w:abstractNumId w:val="16"/>
  </w:num>
  <w:num w:numId="12">
    <w:abstractNumId w:val="10"/>
  </w:num>
  <w:num w:numId="13">
    <w:abstractNumId w:val="0"/>
  </w:num>
  <w:num w:numId="14">
    <w:abstractNumId w:val="11"/>
  </w:num>
  <w:num w:numId="15">
    <w:abstractNumId w:val="17"/>
  </w:num>
  <w:num w:numId="16">
    <w:abstractNumId w:val="6"/>
  </w:num>
  <w:num w:numId="17">
    <w:abstractNumId w:val="5"/>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56BD"/>
    <w:rsid w:val="000359D6"/>
    <w:rsid w:val="000373B2"/>
    <w:rsid w:val="00042CF5"/>
    <w:rsid w:val="00060CA0"/>
    <w:rsid w:val="00063A26"/>
    <w:rsid w:val="00082093"/>
    <w:rsid w:val="0008468B"/>
    <w:rsid w:val="00091A3E"/>
    <w:rsid w:val="000A057A"/>
    <w:rsid w:val="000A1CD0"/>
    <w:rsid w:val="000A468A"/>
    <w:rsid w:val="000B0FBD"/>
    <w:rsid w:val="000E6962"/>
    <w:rsid w:val="000F4728"/>
    <w:rsid w:val="00107D9D"/>
    <w:rsid w:val="001138BA"/>
    <w:rsid w:val="00132F94"/>
    <w:rsid w:val="00137632"/>
    <w:rsid w:val="00152EED"/>
    <w:rsid w:val="0018252D"/>
    <w:rsid w:val="001A56F1"/>
    <w:rsid w:val="001B4738"/>
    <w:rsid w:val="001B519F"/>
    <w:rsid w:val="001E3474"/>
    <w:rsid w:val="0020476F"/>
    <w:rsid w:val="00221A10"/>
    <w:rsid w:val="00227E4E"/>
    <w:rsid w:val="002506ED"/>
    <w:rsid w:val="00276005"/>
    <w:rsid w:val="00285228"/>
    <w:rsid w:val="00285331"/>
    <w:rsid w:val="00291675"/>
    <w:rsid w:val="002A0933"/>
    <w:rsid w:val="002A096E"/>
    <w:rsid w:val="002B57C6"/>
    <w:rsid w:val="002C1AEF"/>
    <w:rsid w:val="002C56ED"/>
    <w:rsid w:val="002C6DB1"/>
    <w:rsid w:val="002D5B69"/>
    <w:rsid w:val="002F6B5F"/>
    <w:rsid w:val="00322FA8"/>
    <w:rsid w:val="00326D40"/>
    <w:rsid w:val="003452C8"/>
    <w:rsid w:val="003604B9"/>
    <w:rsid w:val="00370BE5"/>
    <w:rsid w:val="003772FB"/>
    <w:rsid w:val="00391152"/>
    <w:rsid w:val="003B4CB4"/>
    <w:rsid w:val="003C2538"/>
    <w:rsid w:val="003D485F"/>
    <w:rsid w:val="003D5328"/>
    <w:rsid w:val="0041278C"/>
    <w:rsid w:val="00417683"/>
    <w:rsid w:val="00426673"/>
    <w:rsid w:val="004607F7"/>
    <w:rsid w:val="00493A0C"/>
    <w:rsid w:val="004F5C4B"/>
    <w:rsid w:val="00510D8B"/>
    <w:rsid w:val="00513081"/>
    <w:rsid w:val="0053773D"/>
    <w:rsid w:val="00552C47"/>
    <w:rsid w:val="00561255"/>
    <w:rsid w:val="00561B9A"/>
    <w:rsid w:val="005B4BEC"/>
    <w:rsid w:val="00620B90"/>
    <w:rsid w:val="00632DCA"/>
    <w:rsid w:val="006356AF"/>
    <w:rsid w:val="0064070D"/>
    <w:rsid w:val="006548BF"/>
    <w:rsid w:val="00660504"/>
    <w:rsid w:val="00664E28"/>
    <w:rsid w:val="00670979"/>
    <w:rsid w:val="0067118E"/>
    <w:rsid w:val="0069122C"/>
    <w:rsid w:val="00696A57"/>
    <w:rsid w:val="006A7968"/>
    <w:rsid w:val="006E2D9E"/>
    <w:rsid w:val="006E5CD0"/>
    <w:rsid w:val="006F607E"/>
    <w:rsid w:val="0070756B"/>
    <w:rsid w:val="0071310E"/>
    <w:rsid w:val="00714A7D"/>
    <w:rsid w:val="00741875"/>
    <w:rsid w:val="00796878"/>
    <w:rsid w:val="00797AA0"/>
    <w:rsid w:val="007A4747"/>
    <w:rsid w:val="007B245C"/>
    <w:rsid w:val="007C78FC"/>
    <w:rsid w:val="00816DAC"/>
    <w:rsid w:val="0083290E"/>
    <w:rsid w:val="00833289"/>
    <w:rsid w:val="00843FF2"/>
    <w:rsid w:val="008453AB"/>
    <w:rsid w:val="00854EEA"/>
    <w:rsid w:val="008551DA"/>
    <w:rsid w:val="008604F7"/>
    <w:rsid w:val="00865345"/>
    <w:rsid w:val="008D193F"/>
    <w:rsid w:val="008E7D6B"/>
    <w:rsid w:val="008F173C"/>
    <w:rsid w:val="00911373"/>
    <w:rsid w:val="00932525"/>
    <w:rsid w:val="009376EA"/>
    <w:rsid w:val="00955BB3"/>
    <w:rsid w:val="0098057C"/>
    <w:rsid w:val="009A38AD"/>
    <w:rsid w:val="009B469C"/>
    <w:rsid w:val="00A07655"/>
    <w:rsid w:val="00A10B23"/>
    <w:rsid w:val="00A148A1"/>
    <w:rsid w:val="00A36C09"/>
    <w:rsid w:val="00A37C9F"/>
    <w:rsid w:val="00A70123"/>
    <w:rsid w:val="00A76B07"/>
    <w:rsid w:val="00A81B98"/>
    <w:rsid w:val="00A862AD"/>
    <w:rsid w:val="00A90305"/>
    <w:rsid w:val="00A95FB9"/>
    <w:rsid w:val="00AA63A3"/>
    <w:rsid w:val="00AB5EB7"/>
    <w:rsid w:val="00AD4D97"/>
    <w:rsid w:val="00AD6BF3"/>
    <w:rsid w:val="00AE1865"/>
    <w:rsid w:val="00AE2453"/>
    <w:rsid w:val="00B05DFC"/>
    <w:rsid w:val="00B23AAF"/>
    <w:rsid w:val="00B36EEA"/>
    <w:rsid w:val="00B46216"/>
    <w:rsid w:val="00BA4B55"/>
    <w:rsid w:val="00BB4CB6"/>
    <w:rsid w:val="00BE26DD"/>
    <w:rsid w:val="00BF395B"/>
    <w:rsid w:val="00BF68F1"/>
    <w:rsid w:val="00C1063D"/>
    <w:rsid w:val="00C12C93"/>
    <w:rsid w:val="00C162CF"/>
    <w:rsid w:val="00C325F5"/>
    <w:rsid w:val="00C457E8"/>
    <w:rsid w:val="00C609B9"/>
    <w:rsid w:val="00CD71A1"/>
    <w:rsid w:val="00CE2386"/>
    <w:rsid w:val="00D210AA"/>
    <w:rsid w:val="00D616C4"/>
    <w:rsid w:val="00D67D0F"/>
    <w:rsid w:val="00D70112"/>
    <w:rsid w:val="00DE06D1"/>
    <w:rsid w:val="00E270F6"/>
    <w:rsid w:val="00E30B05"/>
    <w:rsid w:val="00E32408"/>
    <w:rsid w:val="00E64F0D"/>
    <w:rsid w:val="00E67AF9"/>
    <w:rsid w:val="00E845D4"/>
    <w:rsid w:val="00EA7470"/>
    <w:rsid w:val="00EB0022"/>
    <w:rsid w:val="00EC22CC"/>
    <w:rsid w:val="00ED6B69"/>
    <w:rsid w:val="00EE34F4"/>
    <w:rsid w:val="00EF22A4"/>
    <w:rsid w:val="00EF3EAD"/>
    <w:rsid w:val="00F54EA0"/>
    <w:rsid w:val="00F63AEB"/>
    <w:rsid w:val="00F96EE9"/>
    <w:rsid w:val="00FC637E"/>
    <w:rsid w:val="00FE05ED"/>
    <w:rsid w:val="00FE285D"/>
    <w:rsid w:val="00FF35F9"/>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1">
    <w:name w:val="heading 1"/>
    <w:basedOn w:val="Normal"/>
    <w:next w:val="Normal"/>
    <w:link w:val="Titre1Car"/>
    <w:uiPriority w:val="9"/>
    <w:qFormat/>
    <w:rsid w:val="007131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A07655"/>
    <w:pPr>
      <w:spacing w:after="0" w:line="240" w:lineRule="auto"/>
    </w:pPr>
  </w:style>
  <w:style w:type="character" w:customStyle="1" w:styleId="Titre1Car">
    <w:name w:val="Titre 1 Car"/>
    <w:basedOn w:val="Policepardfaut"/>
    <w:link w:val="Titre1"/>
    <w:uiPriority w:val="9"/>
    <w:rsid w:val="007131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1223</Words>
  <Characters>6727</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2022-01-20T12:43:00Z</dcterms:created>
  <dcterms:modified xsi:type="dcterms:W3CDTF">2022-01-20T12:43:00Z</dcterms:modified>
</cp:coreProperties>
</file>