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DC114" w14:textId="77777777" w:rsidR="00563C00" w:rsidRPr="00816DAC" w:rsidRDefault="00563C00" w:rsidP="00563C00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563C00" w14:paraId="5222DF1E" w14:textId="77777777" w:rsidTr="00BA05CE">
        <w:tc>
          <w:tcPr>
            <w:tcW w:w="9062" w:type="dxa"/>
            <w:gridSpan w:val="2"/>
          </w:tcPr>
          <w:p w14:paraId="4F24CEEB" w14:textId="040755A4" w:rsidR="00563C00" w:rsidRPr="001F6B17" w:rsidRDefault="0044616A" w:rsidP="001F6B1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F6B17">
              <w:rPr>
                <w:rFonts w:ascii="Verdana" w:hAnsi="Verdana"/>
                <w:b/>
                <w:bCs/>
              </w:rPr>
              <w:t>Renforcement de la coopération entre la COI et l’IOR</w:t>
            </w:r>
            <w:r w:rsidR="001F6B17" w:rsidRPr="001F6B17">
              <w:rPr>
                <w:rFonts w:ascii="Verdana" w:hAnsi="Verdana"/>
                <w:b/>
                <w:bCs/>
              </w:rPr>
              <w:t>A</w:t>
            </w:r>
          </w:p>
        </w:tc>
      </w:tr>
      <w:tr w:rsidR="00563C00" w14:paraId="6ACE19C1" w14:textId="77777777" w:rsidTr="00BA05CE">
        <w:tc>
          <w:tcPr>
            <w:tcW w:w="7225" w:type="dxa"/>
          </w:tcPr>
          <w:p w14:paraId="1ED66242" w14:textId="6ECEA060" w:rsidR="001F6B17" w:rsidRPr="002A096E" w:rsidRDefault="001F6B17" w:rsidP="00BA05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Comité des OPL préparatoire au 36</w:t>
            </w:r>
            <w:r w:rsidRPr="001F6B17">
              <w:rPr>
                <w:rFonts w:ascii="Verdana" w:hAnsi="Verdana"/>
                <w:sz w:val="20"/>
                <w:szCs w:val="20"/>
                <w:vertAlign w:val="superscript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 xml:space="preserve"> Conseil des ministres – 8-9 février</w:t>
            </w:r>
          </w:p>
        </w:tc>
        <w:tc>
          <w:tcPr>
            <w:tcW w:w="1837" w:type="dxa"/>
          </w:tcPr>
          <w:p w14:paraId="21844815" w14:textId="371D0601" w:rsidR="00563C00" w:rsidRPr="002A0933" w:rsidRDefault="00563C00" w:rsidP="00BA05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0933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027545">
              <w:rPr>
                <w:rFonts w:ascii="Verdana" w:hAnsi="Verdana"/>
                <w:sz w:val="20"/>
                <w:szCs w:val="20"/>
              </w:rPr>
              <w:t>2.2</w:t>
            </w:r>
          </w:p>
        </w:tc>
      </w:tr>
      <w:tr w:rsidR="00563C00" w14:paraId="47674BC8" w14:textId="77777777" w:rsidTr="00BA05CE">
        <w:tc>
          <w:tcPr>
            <w:tcW w:w="7225" w:type="dxa"/>
          </w:tcPr>
          <w:p w14:paraId="7FBEEFEE" w14:textId="77777777" w:rsidR="00563C00" w:rsidRPr="00A37C9F" w:rsidRDefault="00563C00" w:rsidP="00BA05CE">
            <w:pPr>
              <w:rPr>
                <w:rFonts w:ascii="Verdana" w:hAnsi="Verdana"/>
                <w:sz w:val="20"/>
                <w:szCs w:val="20"/>
              </w:rPr>
            </w:pPr>
            <w:r w:rsidRPr="00A148A1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Pr="00A37C9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Marc MAMINIAINA, chargé de mission</w:t>
            </w:r>
          </w:p>
        </w:tc>
        <w:tc>
          <w:tcPr>
            <w:tcW w:w="1837" w:type="dxa"/>
          </w:tcPr>
          <w:p w14:paraId="5B07702D" w14:textId="77777777" w:rsidR="00563C00" w:rsidRPr="002A0933" w:rsidRDefault="00563C00" w:rsidP="00BA05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1B2C">
              <w:rPr>
                <w:rFonts w:ascii="Verdana" w:hAnsi="Verdana"/>
                <w:sz w:val="20"/>
                <w:szCs w:val="20"/>
              </w:rPr>
              <w:t xml:space="preserve"> D</w:t>
            </w:r>
            <w:r w:rsidRPr="002E29F0">
              <w:rPr>
                <w:rFonts w:ascii="Verdana" w:hAnsi="Verdana"/>
                <w:sz w:val="20"/>
                <w:szCs w:val="20"/>
              </w:rPr>
              <w:t>écision</w:t>
            </w:r>
          </w:p>
        </w:tc>
      </w:tr>
      <w:tr w:rsidR="00563C00" w14:paraId="1F3B8551" w14:textId="77777777" w:rsidTr="00BA05CE">
        <w:tc>
          <w:tcPr>
            <w:tcW w:w="9062" w:type="dxa"/>
            <w:gridSpan w:val="2"/>
          </w:tcPr>
          <w:p w14:paraId="60D324E6" w14:textId="77777777" w:rsidR="00563C00" w:rsidRDefault="00563C00" w:rsidP="00BA05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Version du 09 janvier 2022</w:t>
            </w:r>
          </w:p>
        </w:tc>
      </w:tr>
    </w:tbl>
    <w:p w14:paraId="49762E45" w14:textId="77777777" w:rsidR="00563C00" w:rsidRPr="0085545C" w:rsidRDefault="00563C00" w:rsidP="00563C00">
      <w:pPr>
        <w:pStyle w:val="Paragraphe"/>
        <w:rPr>
          <w:sz w:val="4"/>
          <w:szCs w:val="4"/>
        </w:rPr>
      </w:pPr>
      <w:bookmarkStart w:id="0" w:name="_Hlk24535240"/>
    </w:p>
    <w:p w14:paraId="55D9EF99" w14:textId="77777777" w:rsidR="00563C00" w:rsidRDefault="00563C00" w:rsidP="00563C00">
      <w:pPr>
        <w:pStyle w:val="Titrepartie"/>
      </w:pPr>
      <w:r w:rsidRPr="0008468B">
        <w:t>Résumé</w:t>
      </w:r>
    </w:p>
    <w:p w14:paraId="291BEF8E" w14:textId="7391588D" w:rsidR="0044616A" w:rsidRPr="0044616A" w:rsidRDefault="0044616A" w:rsidP="0044616A">
      <w:pPr>
        <w:jc w:val="both"/>
        <w:rPr>
          <w:rFonts w:ascii="Verdana" w:hAnsi="Verdana" w:cs="Calibri"/>
          <w:sz w:val="20"/>
          <w:szCs w:val="20"/>
        </w:rPr>
      </w:pPr>
      <w:r w:rsidRPr="0044616A">
        <w:rPr>
          <w:rFonts w:ascii="Verdana" w:hAnsi="Verdana" w:cs="Calibri"/>
          <w:sz w:val="20"/>
          <w:szCs w:val="20"/>
        </w:rPr>
        <w:t xml:space="preserve">La décision 4 de la dernière réunion du Comité des OPL tenue les 17 et 18 mai 2021 a demandé au Secrétariat </w:t>
      </w:r>
      <w:r w:rsidR="001F6B17">
        <w:rPr>
          <w:rFonts w:ascii="Verdana" w:hAnsi="Verdana" w:cs="Calibri"/>
          <w:sz w:val="20"/>
          <w:szCs w:val="20"/>
        </w:rPr>
        <w:t>g</w:t>
      </w:r>
      <w:r w:rsidRPr="0044616A">
        <w:rPr>
          <w:rFonts w:ascii="Verdana" w:hAnsi="Verdana" w:cs="Calibri"/>
          <w:sz w:val="20"/>
          <w:szCs w:val="20"/>
        </w:rPr>
        <w:t>énéral de soumettre un projet de mémorandum d’entente COI-IORA aux prochaines réunions des instances.</w:t>
      </w:r>
    </w:p>
    <w:p w14:paraId="2FC1D242" w14:textId="039580ED" w:rsidR="0044616A" w:rsidRPr="0044616A" w:rsidRDefault="0044616A" w:rsidP="0044616A">
      <w:pPr>
        <w:jc w:val="both"/>
        <w:rPr>
          <w:rFonts w:ascii="Verdana" w:hAnsi="Verdana" w:cs="Calibri"/>
          <w:sz w:val="20"/>
          <w:szCs w:val="20"/>
        </w:rPr>
      </w:pPr>
      <w:r w:rsidRPr="0044616A">
        <w:rPr>
          <w:rFonts w:ascii="Verdana" w:hAnsi="Verdana" w:cs="Calibri"/>
          <w:sz w:val="20"/>
          <w:szCs w:val="20"/>
        </w:rPr>
        <w:t xml:space="preserve">A cet effet, un projet de mémorandum d’entente a été établi par le Secrétariat </w:t>
      </w:r>
      <w:r w:rsidR="00D01B2C">
        <w:rPr>
          <w:rFonts w:ascii="Verdana" w:hAnsi="Verdana" w:cs="Calibri"/>
          <w:sz w:val="20"/>
          <w:szCs w:val="20"/>
        </w:rPr>
        <w:t>g</w:t>
      </w:r>
      <w:r w:rsidRPr="0044616A">
        <w:rPr>
          <w:rFonts w:ascii="Verdana" w:hAnsi="Verdana" w:cs="Calibri"/>
          <w:sz w:val="20"/>
          <w:szCs w:val="20"/>
        </w:rPr>
        <w:t xml:space="preserve">énéral en deux versions anglaise et française à la suite de la demande de la Partie comorienne. </w:t>
      </w:r>
    </w:p>
    <w:p w14:paraId="0370C1D5" w14:textId="1312B082" w:rsidR="00D81627" w:rsidRDefault="00D81627" w:rsidP="00D81627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</w:t>
      </w:r>
      <w:r w:rsidRPr="00D81627">
        <w:rPr>
          <w:rFonts w:ascii="Verdana" w:hAnsi="Verdana" w:cs="Calibri"/>
          <w:sz w:val="20"/>
          <w:szCs w:val="20"/>
        </w:rPr>
        <w:t>l a été convenu</w:t>
      </w:r>
      <w:r>
        <w:rPr>
          <w:rFonts w:ascii="Verdana" w:hAnsi="Verdana" w:cs="Calibri"/>
          <w:sz w:val="20"/>
          <w:szCs w:val="20"/>
        </w:rPr>
        <w:t xml:space="preserve"> </w:t>
      </w:r>
      <w:r w:rsidRPr="00D81627">
        <w:rPr>
          <w:rFonts w:ascii="Verdana" w:hAnsi="Verdana" w:cs="Calibri"/>
          <w:sz w:val="20"/>
          <w:szCs w:val="20"/>
        </w:rPr>
        <w:t>avec l’IORA que les deux versions</w:t>
      </w:r>
      <w:r>
        <w:rPr>
          <w:rFonts w:ascii="Verdana" w:hAnsi="Verdana" w:cs="Calibri"/>
          <w:sz w:val="20"/>
          <w:szCs w:val="20"/>
        </w:rPr>
        <w:t xml:space="preserve"> </w:t>
      </w:r>
      <w:r w:rsidRPr="00D81627">
        <w:rPr>
          <w:rFonts w:ascii="Verdana" w:hAnsi="Verdana" w:cs="Calibri"/>
          <w:sz w:val="20"/>
          <w:szCs w:val="20"/>
        </w:rPr>
        <w:t>du projet de mémorandum seront soumises pour signature des deux secrétaires généraux.</w:t>
      </w:r>
    </w:p>
    <w:p w14:paraId="4F0A2479" w14:textId="77777777" w:rsidR="00D01B2C" w:rsidRPr="0085545C" w:rsidRDefault="00D01B2C" w:rsidP="00D81627">
      <w:pPr>
        <w:jc w:val="both"/>
        <w:rPr>
          <w:rFonts w:ascii="Verdana" w:hAnsi="Verdana" w:cs="Calibri"/>
          <w:sz w:val="2"/>
          <w:szCs w:val="2"/>
        </w:rPr>
      </w:pPr>
    </w:p>
    <w:p w14:paraId="18B1DA60" w14:textId="02641CE9" w:rsidR="00D81627" w:rsidRDefault="00563C00" w:rsidP="00D81627">
      <w:pPr>
        <w:pStyle w:val="Titrepartie"/>
      </w:pPr>
      <w:r w:rsidRPr="0008468B">
        <w:t>État d’avancement</w:t>
      </w:r>
    </w:p>
    <w:p w14:paraId="0F4587DA" w14:textId="3447FF29" w:rsidR="00D81627" w:rsidRDefault="00D81627" w:rsidP="00D81627">
      <w:pPr>
        <w:jc w:val="both"/>
        <w:rPr>
          <w:rFonts w:ascii="Verdana" w:hAnsi="Verdana" w:cs="Calibri"/>
          <w:sz w:val="20"/>
          <w:szCs w:val="20"/>
        </w:rPr>
      </w:pPr>
      <w:r w:rsidRPr="0044616A">
        <w:rPr>
          <w:rFonts w:ascii="Verdana" w:hAnsi="Verdana" w:cs="Calibri"/>
          <w:sz w:val="20"/>
          <w:szCs w:val="20"/>
        </w:rPr>
        <w:t>Tous les États membres de la COI ont communiqué leurs commentaires, lesquels ont été pris en considération dans la version consolidée transmise au Secrétariat de l’IORA</w:t>
      </w:r>
      <w:r>
        <w:rPr>
          <w:rFonts w:ascii="Verdana" w:hAnsi="Verdana" w:cs="Calibri"/>
          <w:sz w:val="20"/>
          <w:szCs w:val="20"/>
        </w:rPr>
        <w:t xml:space="preserve"> et examinée par son </w:t>
      </w:r>
      <w:r w:rsidRPr="0044616A">
        <w:rPr>
          <w:rFonts w:ascii="Verdana" w:hAnsi="Verdana" w:cs="Calibri"/>
          <w:sz w:val="20"/>
          <w:szCs w:val="20"/>
        </w:rPr>
        <w:t>Comité des Hauts Fonctionnaires</w:t>
      </w:r>
      <w:r>
        <w:rPr>
          <w:rFonts w:ascii="Verdana" w:hAnsi="Verdana" w:cs="Calibri"/>
          <w:sz w:val="20"/>
          <w:szCs w:val="20"/>
        </w:rPr>
        <w:t xml:space="preserve"> </w:t>
      </w:r>
      <w:r w:rsidRPr="0044616A">
        <w:rPr>
          <w:rFonts w:ascii="Verdana" w:hAnsi="Verdana" w:cs="Calibri"/>
          <w:sz w:val="20"/>
          <w:szCs w:val="20"/>
        </w:rPr>
        <w:t>lors de sa</w:t>
      </w:r>
      <w:r>
        <w:rPr>
          <w:rFonts w:ascii="Verdana" w:hAnsi="Verdana" w:cs="Calibri"/>
          <w:sz w:val="20"/>
          <w:szCs w:val="20"/>
        </w:rPr>
        <w:t xml:space="preserve"> </w:t>
      </w:r>
      <w:r w:rsidRPr="0044616A">
        <w:rPr>
          <w:rFonts w:ascii="Verdana" w:hAnsi="Verdana" w:cs="Calibri"/>
          <w:sz w:val="20"/>
          <w:szCs w:val="20"/>
        </w:rPr>
        <w:t>réunion</w:t>
      </w:r>
      <w:r>
        <w:rPr>
          <w:rFonts w:ascii="Verdana" w:hAnsi="Verdana" w:cs="Calibri"/>
          <w:sz w:val="20"/>
          <w:szCs w:val="20"/>
        </w:rPr>
        <w:t xml:space="preserve"> </w:t>
      </w:r>
      <w:r w:rsidR="009148EB">
        <w:rPr>
          <w:rFonts w:ascii="Verdana" w:hAnsi="Verdana" w:cs="Calibri"/>
          <w:sz w:val="20"/>
          <w:szCs w:val="20"/>
        </w:rPr>
        <w:t>des</w:t>
      </w:r>
      <w:r w:rsidRPr="0044616A">
        <w:rPr>
          <w:rFonts w:ascii="Verdana" w:hAnsi="Verdana" w:cs="Calibri"/>
          <w:sz w:val="20"/>
          <w:szCs w:val="20"/>
        </w:rPr>
        <w:t xml:space="preserve"> 15 et 16 novembre 2021</w:t>
      </w:r>
      <w:r>
        <w:rPr>
          <w:rFonts w:ascii="Verdana" w:hAnsi="Verdana" w:cs="Calibri"/>
          <w:sz w:val="20"/>
          <w:szCs w:val="20"/>
        </w:rPr>
        <w:t>.</w:t>
      </w:r>
    </w:p>
    <w:p w14:paraId="79795D4E" w14:textId="3670E7C6" w:rsidR="00D81627" w:rsidRPr="0044616A" w:rsidRDefault="00D81627" w:rsidP="00D81627">
      <w:pPr>
        <w:jc w:val="both"/>
        <w:rPr>
          <w:rFonts w:ascii="Verdana" w:hAnsi="Verdana" w:cs="Calibri"/>
          <w:sz w:val="20"/>
          <w:szCs w:val="20"/>
        </w:rPr>
      </w:pPr>
      <w:r w:rsidRPr="0044616A">
        <w:rPr>
          <w:rFonts w:ascii="Verdana" w:hAnsi="Verdana" w:cs="Calibri"/>
          <w:sz w:val="20"/>
          <w:szCs w:val="20"/>
        </w:rPr>
        <w:t xml:space="preserve">Les deux versions de Mémorandum en annexe sont soumises aux instances de la COI pour approbation en vue de sa signature par le Secrétaire </w:t>
      </w:r>
      <w:r w:rsidR="009148EB">
        <w:rPr>
          <w:rFonts w:ascii="Verdana" w:hAnsi="Verdana" w:cs="Calibri"/>
          <w:sz w:val="20"/>
          <w:szCs w:val="20"/>
        </w:rPr>
        <w:t>g</w:t>
      </w:r>
      <w:r w:rsidRPr="0044616A">
        <w:rPr>
          <w:rFonts w:ascii="Verdana" w:hAnsi="Verdana" w:cs="Calibri"/>
          <w:sz w:val="20"/>
          <w:szCs w:val="20"/>
        </w:rPr>
        <w:t>énéral de la COI.</w:t>
      </w:r>
    </w:p>
    <w:p w14:paraId="5F7B6606" w14:textId="77777777" w:rsidR="00563C00" w:rsidRPr="0085545C" w:rsidRDefault="00563C00" w:rsidP="00563C00">
      <w:pPr>
        <w:jc w:val="both"/>
        <w:rPr>
          <w:rFonts w:ascii="Verdana" w:hAnsi="Verdana" w:cs="Calibri"/>
          <w:sz w:val="2"/>
          <w:szCs w:val="2"/>
        </w:rPr>
      </w:pPr>
    </w:p>
    <w:p w14:paraId="1C05EFD0" w14:textId="77777777" w:rsidR="00563C00" w:rsidRPr="0008468B" w:rsidRDefault="00563C00" w:rsidP="00563C00">
      <w:pPr>
        <w:pStyle w:val="Titrepartie"/>
      </w:pPr>
      <w:r w:rsidRPr="0008468B">
        <w:t>Proposition de décision</w:t>
      </w:r>
    </w:p>
    <w:p w14:paraId="71E773C5" w14:textId="77777777" w:rsidR="00D81627" w:rsidRDefault="00D81627" w:rsidP="00D81627">
      <w:pPr>
        <w:pStyle w:val="Paragraphe"/>
      </w:pPr>
      <w:r w:rsidRPr="00D81627">
        <w:t>Le Comité des OPL recommande au Conseil des ministres de :</w:t>
      </w:r>
    </w:p>
    <w:p w14:paraId="0BA832C3" w14:textId="77777777" w:rsidR="002068B5" w:rsidRDefault="00D81627" w:rsidP="00D81627">
      <w:pPr>
        <w:pStyle w:val="Paragraphe"/>
        <w:numPr>
          <w:ilvl w:val="0"/>
          <w:numId w:val="6"/>
        </w:numPr>
      </w:pPr>
      <w:r w:rsidRPr="00D81627">
        <w:t>Approuver le projet de mémorandum d’entente entre la COI et l’IORA en vue du renforcement de la collaboration entre les deux Organisations,</w:t>
      </w:r>
    </w:p>
    <w:p w14:paraId="79EFBC64" w14:textId="649D0306" w:rsidR="00563C00" w:rsidRDefault="00D81627" w:rsidP="00563C00">
      <w:pPr>
        <w:pStyle w:val="Paragraphe"/>
        <w:numPr>
          <w:ilvl w:val="0"/>
          <w:numId w:val="6"/>
        </w:numPr>
      </w:pPr>
      <w:r w:rsidRPr="00D81627">
        <w:t xml:space="preserve">Demande au </w:t>
      </w:r>
      <w:r w:rsidR="002068B5" w:rsidRPr="00D81627">
        <w:t>Secrétariat</w:t>
      </w:r>
      <w:r w:rsidRPr="00D81627">
        <w:t xml:space="preserve"> Général de prendre les dispositions nécessaires en vue de la signature dudit mémorandum d’entente.</w:t>
      </w:r>
    </w:p>
    <w:p w14:paraId="7679FF78" w14:textId="77777777" w:rsidR="00563C00" w:rsidRPr="00563C00" w:rsidRDefault="00563C00" w:rsidP="00563C00">
      <w:pPr>
        <w:jc w:val="both"/>
        <w:rPr>
          <w:rFonts w:ascii="Verdana" w:hAnsi="Verdana" w:cs="Calibri"/>
          <w:sz w:val="20"/>
          <w:szCs w:val="20"/>
        </w:rPr>
      </w:pPr>
    </w:p>
    <w:p w14:paraId="3DE527D6" w14:textId="72E0C3CE" w:rsidR="002068B5" w:rsidRPr="002068B5" w:rsidRDefault="00563C00" w:rsidP="00563C00">
      <w:pPr>
        <w:pStyle w:val="Titrepartie"/>
      </w:pPr>
      <w:r w:rsidRPr="0008468B">
        <w:t>Rappel des décisions antérieures</w:t>
      </w:r>
      <w:bookmarkEnd w:id="0"/>
    </w:p>
    <w:p w14:paraId="03C8526B" w14:textId="51E84F5D" w:rsidR="002068B5" w:rsidRDefault="002068B5" w:rsidP="00563C00">
      <w:pPr>
        <w:rPr>
          <w:rFonts w:ascii="Verdana" w:eastAsia="Times New Roman" w:hAnsi="Verdana" w:cs="Times New Roman"/>
          <w:b/>
          <w:bCs/>
          <w:i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i/>
          <w:sz w:val="20"/>
          <w:szCs w:val="20"/>
        </w:rPr>
        <w:t xml:space="preserve">Cf. </w:t>
      </w:r>
      <w:r w:rsidRPr="002068B5">
        <w:rPr>
          <w:rFonts w:ascii="Verdana" w:eastAsia="Times New Roman" w:hAnsi="Verdana" w:cs="Times New Roman"/>
          <w:b/>
          <w:bCs/>
          <w:i/>
          <w:sz w:val="20"/>
          <w:szCs w:val="20"/>
        </w:rPr>
        <w:t>Décision 4. Coopération avec l’IORA, Comité des Officiers permanents de liaison, 17 et 18 mai 2021.</w:t>
      </w:r>
    </w:p>
    <w:p w14:paraId="36DA2BFB" w14:textId="7AFCD89C" w:rsidR="002068B5" w:rsidRPr="002068B5" w:rsidRDefault="002068B5" w:rsidP="00563C00">
      <w:pPr>
        <w:jc w:val="both"/>
        <w:rPr>
          <w:rFonts w:ascii="Verdana" w:hAnsi="Verdana" w:cs="Calibri"/>
          <w:sz w:val="20"/>
          <w:szCs w:val="20"/>
        </w:rPr>
      </w:pPr>
      <w:r w:rsidRPr="002068B5">
        <w:rPr>
          <w:rFonts w:ascii="Verdana" w:hAnsi="Verdana" w:cs="Calibri"/>
          <w:sz w:val="20"/>
          <w:szCs w:val="20"/>
        </w:rPr>
        <w:t>Le Comité des OPL prend note de la poursuite des consultations avec l’IORA en vue de la finalisation d’un projet de mémorandum d’entente COI-IORA à soumettre aux prochaines réunions des instances.</w:t>
      </w:r>
    </w:p>
    <w:p w14:paraId="2AD18077" w14:textId="77777777" w:rsidR="00563C00" w:rsidRPr="0085545C" w:rsidRDefault="00563C00" w:rsidP="00563C00">
      <w:pPr>
        <w:rPr>
          <w:rFonts w:ascii="Verdana" w:hAnsi="Verdana"/>
          <w:b/>
          <w:bCs/>
          <w:i/>
          <w:iCs/>
          <w:sz w:val="4"/>
          <w:szCs w:val="4"/>
        </w:rPr>
      </w:pPr>
    </w:p>
    <w:p w14:paraId="423A1991" w14:textId="745312B8" w:rsidR="00563C00" w:rsidRPr="0008468B" w:rsidRDefault="002068B5" w:rsidP="00563C00">
      <w:pPr>
        <w:pStyle w:val="Titrepartie"/>
      </w:pPr>
      <w:r w:rsidRPr="0008468B">
        <w:t>Annexe :</w:t>
      </w:r>
    </w:p>
    <w:p w14:paraId="7F83C229" w14:textId="271FF581" w:rsidR="00AA0342" w:rsidRDefault="00563C00" w:rsidP="0085545C">
      <w:pPr>
        <w:pStyle w:val="Paragraphedeliste"/>
        <w:numPr>
          <w:ilvl w:val="0"/>
          <w:numId w:val="1"/>
        </w:numPr>
      </w:pPr>
      <w:r>
        <w:t xml:space="preserve">Annexe 1 : </w:t>
      </w:r>
      <w:r w:rsidR="002068B5" w:rsidRPr="002068B5">
        <w:t>Projet de mémorandum d’entente entre la COI et l’IORA (version française et anglaise).</w:t>
      </w:r>
    </w:p>
    <w:sectPr w:rsidR="00AA0342" w:rsidSect="0085545C">
      <w:headerReference w:type="default" r:id="rId7"/>
      <w:footerReference w:type="default" r:id="rId8"/>
      <w:pgSz w:w="11906" w:h="16838"/>
      <w:pgMar w:top="1276" w:right="1417" w:bottom="851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BEF5" w14:textId="77777777" w:rsidR="00000000" w:rsidRDefault="0085545C">
      <w:pPr>
        <w:spacing w:after="0" w:line="240" w:lineRule="auto"/>
      </w:pPr>
      <w:r>
        <w:separator/>
      </w:r>
    </w:p>
  </w:endnote>
  <w:endnote w:type="continuationSeparator" w:id="0">
    <w:p w14:paraId="624BD573" w14:textId="77777777" w:rsidR="00000000" w:rsidRDefault="0085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392675"/>
      <w:docPartObj>
        <w:docPartGallery w:val="Page Numbers (Bottom of Page)"/>
        <w:docPartUnique/>
      </w:docPartObj>
    </w:sdtPr>
    <w:sdtEndPr/>
    <w:sdtContent>
      <w:p w14:paraId="01A9BAF5" w14:textId="77777777" w:rsidR="00AA63A3" w:rsidRDefault="00E50A66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75EEC4" w14:textId="77777777" w:rsidR="00063A26" w:rsidRDefault="008554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AFC2F" w14:textId="77777777" w:rsidR="00000000" w:rsidRDefault="0085545C">
      <w:pPr>
        <w:spacing w:after="0" w:line="240" w:lineRule="auto"/>
      </w:pPr>
      <w:r>
        <w:separator/>
      </w:r>
    </w:p>
  </w:footnote>
  <w:footnote w:type="continuationSeparator" w:id="0">
    <w:p w14:paraId="0A9E2977" w14:textId="77777777" w:rsidR="00000000" w:rsidRDefault="00855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877E" w14:textId="0ECE2DF9" w:rsidR="00063A26" w:rsidRDefault="00E50A66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</w:rPr>
      <w:drawing>
        <wp:inline distT="0" distB="0" distL="0" distR="0" wp14:anchorId="1F4DF1EC" wp14:editId="0C46B91D">
          <wp:extent cx="1090909" cy="360000"/>
          <wp:effectExtent l="0" t="0" r="0" b="254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8252D">
      <w:rPr>
        <w:rFonts w:ascii="Verdana" w:hAnsi="Verdana"/>
        <w:b/>
        <w:bCs/>
        <w:sz w:val="20"/>
        <w:szCs w:val="20"/>
      </w:rPr>
      <w:t xml:space="preserve">Point. </w:t>
    </w:r>
    <w:r w:rsidR="00027545">
      <w:rPr>
        <w:rFonts w:ascii="Verdana" w:hAnsi="Verdana"/>
        <w:b/>
        <w:bCs/>
        <w:sz w:val="20"/>
        <w:szCs w:val="20"/>
      </w:rPr>
      <w:t>2.2.</w:t>
    </w:r>
  </w:p>
  <w:p w14:paraId="4D61BE85" w14:textId="77777777" w:rsidR="00AA63A3" w:rsidRDefault="0085545C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92CEA"/>
    <w:multiLevelType w:val="hybridMultilevel"/>
    <w:tmpl w:val="B6D49174"/>
    <w:lvl w:ilvl="0" w:tplc="1C0422E2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6A55"/>
    <w:multiLevelType w:val="hybridMultilevel"/>
    <w:tmpl w:val="EC16A5CC"/>
    <w:lvl w:ilvl="0" w:tplc="88081EB8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F2543"/>
    <w:multiLevelType w:val="hybridMultilevel"/>
    <w:tmpl w:val="5ED211E8"/>
    <w:lvl w:ilvl="0" w:tplc="04FA47F8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00"/>
    <w:rsid w:val="00027545"/>
    <w:rsid w:val="001F6B17"/>
    <w:rsid w:val="002068B5"/>
    <w:rsid w:val="0044616A"/>
    <w:rsid w:val="00563C00"/>
    <w:rsid w:val="0085545C"/>
    <w:rsid w:val="009148EB"/>
    <w:rsid w:val="00AA0342"/>
    <w:rsid w:val="00D01B2C"/>
    <w:rsid w:val="00D81627"/>
    <w:rsid w:val="00E5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7408"/>
  <w15:chartTrackingRefBased/>
  <w15:docId w15:val="{22ED15D8-9D29-5E46-960C-8D5A7039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C00"/>
    <w:pPr>
      <w:spacing w:after="160" w:line="259" w:lineRule="auto"/>
    </w:pPr>
    <w:rPr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3C00"/>
    <w:rPr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6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3C00"/>
    <w:rPr>
      <w:sz w:val="22"/>
      <w:szCs w:val="22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563C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563C00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link w:val="ParagrapheCar"/>
    <w:qFormat/>
    <w:rsid w:val="00563C00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563C00"/>
    <w:pPr>
      <w:numPr>
        <w:numId w:val="2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563C00"/>
    <w:rPr>
      <w:rFonts w:ascii="Verdana" w:hAnsi="Verdana" w:cs="Calibri"/>
      <w:sz w:val="20"/>
      <w:szCs w:val="20"/>
      <w:lang w:val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63C00"/>
    <w:rPr>
      <w:sz w:val="22"/>
      <w:szCs w:val="22"/>
      <w:lang w:val="fr-FR"/>
    </w:rPr>
  </w:style>
  <w:style w:type="character" w:customStyle="1" w:styleId="TitrepartieCar">
    <w:name w:val="Titre partie Car"/>
    <w:basedOn w:val="ParagraphedelisteCar"/>
    <w:link w:val="Titrepartie"/>
    <w:rsid w:val="00563C00"/>
    <w:rPr>
      <w:rFonts w:ascii="Verdana" w:hAnsi="Verdana" w:cs="Calibri"/>
      <w:b/>
      <w:bCs/>
      <w:color w:val="0070C0"/>
      <w:sz w:val="22"/>
      <w:szCs w:val="20"/>
      <w:lang w:val="fr-FR"/>
    </w:rPr>
  </w:style>
  <w:style w:type="paragraph" w:customStyle="1" w:styleId="Sous-partie2">
    <w:name w:val="Sous-partie 2"/>
    <w:basedOn w:val="Paragraphedeliste"/>
    <w:qFormat/>
    <w:rsid w:val="00563C00"/>
    <w:pPr>
      <w:numPr>
        <w:ilvl w:val="1"/>
        <w:numId w:val="2"/>
      </w:numPr>
      <w:tabs>
        <w:tab w:val="num" w:pos="360"/>
      </w:tabs>
      <w:ind w:left="720" w:firstLine="0"/>
      <w:jc w:val="both"/>
    </w:pPr>
    <w:rPr>
      <w:rFonts w:ascii="Verdana" w:hAnsi="Verdana" w:cs="Calibri"/>
      <w:color w:val="0070C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6</cp:revision>
  <dcterms:created xsi:type="dcterms:W3CDTF">2022-01-09T11:09:00Z</dcterms:created>
  <dcterms:modified xsi:type="dcterms:W3CDTF">2022-01-17T08:37:00Z</dcterms:modified>
</cp:coreProperties>
</file>