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93BA" w14:textId="2EB2EB5F" w:rsidR="00381225" w:rsidRPr="007854F0" w:rsidRDefault="00381225">
      <w:pPr>
        <w:rPr>
          <w:b/>
          <w:bCs/>
        </w:rPr>
      </w:pPr>
      <w:r w:rsidRPr="007854F0">
        <w:rPr>
          <w:b/>
          <w:bCs/>
        </w:rPr>
        <w:t>Conseil extraordinaire du Conseil des ministres de la COI | 26 novembre 2021, La Réunion</w:t>
      </w:r>
    </w:p>
    <w:p w14:paraId="20FC70B5" w14:textId="2198F16C" w:rsidR="00381225" w:rsidRPr="007854F0" w:rsidRDefault="00381225" w:rsidP="00381225">
      <w:pPr>
        <w:pBdr>
          <w:bottom w:val="single" w:sz="4" w:space="1" w:color="0070C0"/>
        </w:pBdr>
        <w:rPr>
          <w:b/>
          <w:bCs/>
        </w:rPr>
      </w:pPr>
      <w:r w:rsidRPr="007854F0">
        <w:rPr>
          <w:b/>
          <w:bCs/>
        </w:rPr>
        <w:t>Tableau de suivi des décisions</w:t>
      </w:r>
      <w:r w:rsidR="007854F0">
        <w:rPr>
          <w:b/>
          <w:bCs/>
        </w:rPr>
        <w:t xml:space="preserve"> au 21/01/2022</w:t>
      </w:r>
    </w:p>
    <w:p w14:paraId="604D0679" w14:textId="05FE32B7" w:rsidR="00381225" w:rsidRPr="007854F0" w:rsidRDefault="00381225">
      <w:pPr>
        <w:rPr>
          <w:sz w:val="2"/>
          <w:szCs w:val="2"/>
        </w:rPr>
      </w:pPr>
    </w:p>
    <w:tbl>
      <w:tblPr>
        <w:tblStyle w:val="Grilledutableau"/>
        <w:tblW w:w="0" w:type="auto"/>
        <w:tblLook w:val="04A0" w:firstRow="1" w:lastRow="0" w:firstColumn="1" w:lastColumn="0" w:noHBand="0" w:noVBand="1"/>
      </w:tblPr>
      <w:tblGrid>
        <w:gridCol w:w="4475"/>
        <w:gridCol w:w="1623"/>
        <w:gridCol w:w="5926"/>
        <w:gridCol w:w="3364"/>
      </w:tblGrid>
      <w:tr w:rsidR="00381225" w14:paraId="27729D42" w14:textId="77777777" w:rsidTr="007854F0">
        <w:trPr>
          <w:tblHeader/>
        </w:trPr>
        <w:tc>
          <w:tcPr>
            <w:tcW w:w="4475" w:type="dxa"/>
            <w:shd w:val="clear" w:color="auto" w:fill="D9E2F3" w:themeFill="accent1" w:themeFillTint="33"/>
          </w:tcPr>
          <w:p w14:paraId="40AB3EB5" w14:textId="3D671ACF" w:rsidR="00381225" w:rsidRPr="007854F0" w:rsidRDefault="00381225">
            <w:pPr>
              <w:rPr>
                <w:b/>
                <w:bCs/>
              </w:rPr>
            </w:pPr>
            <w:r w:rsidRPr="007854F0">
              <w:rPr>
                <w:b/>
                <w:bCs/>
              </w:rPr>
              <w:t>Décision</w:t>
            </w:r>
          </w:p>
        </w:tc>
        <w:tc>
          <w:tcPr>
            <w:tcW w:w="1623" w:type="dxa"/>
            <w:shd w:val="clear" w:color="auto" w:fill="D9E2F3" w:themeFill="accent1" w:themeFillTint="33"/>
          </w:tcPr>
          <w:p w14:paraId="04918CC9" w14:textId="75B488D6" w:rsidR="00381225" w:rsidRPr="007854F0" w:rsidRDefault="00381225">
            <w:pPr>
              <w:rPr>
                <w:b/>
                <w:bCs/>
              </w:rPr>
            </w:pPr>
            <w:r w:rsidRPr="007854F0">
              <w:rPr>
                <w:b/>
                <w:bCs/>
              </w:rPr>
              <w:t>Responsable</w:t>
            </w:r>
          </w:p>
        </w:tc>
        <w:tc>
          <w:tcPr>
            <w:tcW w:w="5926" w:type="dxa"/>
            <w:shd w:val="clear" w:color="auto" w:fill="D9E2F3" w:themeFill="accent1" w:themeFillTint="33"/>
          </w:tcPr>
          <w:p w14:paraId="5ED2A521" w14:textId="54D13F89" w:rsidR="00381225" w:rsidRPr="007854F0" w:rsidRDefault="00381225">
            <w:pPr>
              <w:rPr>
                <w:b/>
                <w:bCs/>
              </w:rPr>
            </w:pPr>
            <w:r w:rsidRPr="007854F0">
              <w:rPr>
                <w:b/>
                <w:bCs/>
              </w:rPr>
              <w:t>Etat d’avancement</w:t>
            </w:r>
          </w:p>
        </w:tc>
        <w:tc>
          <w:tcPr>
            <w:tcW w:w="3364" w:type="dxa"/>
            <w:shd w:val="clear" w:color="auto" w:fill="D9E2F3" w:themeFill="accent1" w:themeFillTint="33"/>
          </w:tcPr>
          <w:p w14:paraId="5215BFF9" w14:textId="20E5196F" w:rsidR="00381225" w:rsidRPr="007854F0" w:rsidRDefault="00381225">
            <w:pPr>
              <w:rPr>
                <w:b/>
                <w:bCs/>
              </w:rPr>
            </w:pPr>
            <w:r w:rsidRPr="007854F0">
              <w:rPr>
                <w:b/>
                <w:bCs/>
              </w:rPr>
              <w:t>Observations</w:t>
            </w:r>
          </w:p>
        </w:tc>
      </w:tr>
      <w:tr w:rsidR="007E2981" w14:paraId="71771337" w14:textId="77777777" w:rsidTr="00567454">
        <w:tc>
          <w:tcPr>
            <w:tcW w:w="15388" w:type="dxa"/>
            <w:gridSpan w:val="4"/>
          </w:tcPr>
          <w:p w14:paraId="5F0C2F15" w14:textId="0B65088A" w:rsidR="007E2981" w:rsidRDefault="007E2981">
            <w:r w:rsidRPr="00376D3E">
              <w:rPr>
                <w:rFonts w:ascii="Verdana" w:hAnsi="Verdana"/>
                <w:b/>
                <w:bCs/>
                <w:color w:val="ED7D31" w:themeColor="accent2"/>
                <w:sz w:val="20"/>
                <w:szCs w:val="20"/>
              </w:rPr>
              <w:t xml:space="preserve">1 – </w:t>
            </w:r>
            <w:r>
              <w:rPr>
                <w:rFonts w:ascii="Verdana" w:hAnsi="Verdana"/>
                <w:b/>
                <w:bCs/>
                <w:color w:val="ED7D31" w:themeColor="accent2"/>
                <w:sz w:val="20"/>
                <w:szCs w:val="20"/>
              </w:rPr>
              <w:t>Des biens publics régionaux à préserver</w:t>
            </w:r>
          </w:p>
        </w:tc>
      </w:tr>
      <w:tr w:rsidR="00381225" w14:paraId="35DEB255" w14:textId="77777777" w:rsidTr="007E2981">
        <w:tc>
          <w:tcPr>
            <w:tcW w:w="4475" w:type="dxa"/>
          </w:tcPr>
          <w:p w14:paraId="146F6CF5" w14:textId="77777777" w:rsidR="00381225" w:rsidRPr="00376D3E" w:rsidRDefault="00381225" w:rsidP="00381225">
            <w:pPr>
              <w:spacing w:after="120"/>
              <w:ind w:firstLine="708"/>
              <w:jc w:val="center"/>
              <w:rPr>
                <w:rFonts w:ascii="Verdana" w:hAnsi="Verdana"/>
                <w:b/>
                <w:bCs/>
                <w:sz w:val="20"/>
                <w:szCs w:val="20"/>
              </w:rPr>
            </w:pPr>
            <w:r w:rsidRPr="00376D3E">
              <w:rPr>
                <w:rFonts w:ascii="Verdana" w:hAnsi="Verdana"/>
                <w:b/>
                <w:bCs/>
                <w:sz w:val="20"/>
                <w:szCs w:val="20"/>
              </w:rPr>
              <w:t xml:space="preserve">Décision 1. </w:t>
            </w:r>
            <w:r>
              <w:rPr>
                <w:rFonts w:ascii="Verdana" w:hAnsi="Verdana"/>
                <w:b/>
                <w:bCs/>
                <w:sz w:val="20"/>
                <w:szCs w:val="20"/>
              </w:rPr>
              <w:t xml:space="preserve">Santé et réseau SEGA – One </w:t>
            </w:r>
            <w:proofErr w:type="spellStart"/>
            <w:r>
              <w:rPr>
                <w:rFonts w:ascii="Verdana" w:hAnsi="Verdana"/>
                <w:b/>
                <w:bCs/>
                <w:sz w:val="20"/>
                <w:szCs w:val="20"/>
              </w:rPr>
              <w:t>Health</w:t>
            </w:r>
            <w:proofErr w:type="spellEnd"/>
          </w:p>
          <w:p w14:paraId="11B3BB76" w14:textId="77777777" w:rsidR="00381225" w:rsidRPr="00AF1A09" w:rsidRDefault="00381225" w:rsidP="00381225">
            <w:pPr>
              <w:pStyle w:val="Sansinterligne"/>
              <w:jc w:val="both"/>
              <w:rPr>
                <w:rFonts w:ascii="Verdana" w:hAnsi="Verdana" w:cs="Verdana"/>
                <w:bCs/>
                <w:sz w:val="20"/>
                <w:szCs w:val="20"/>
              </w:rPr>
            </w:pPr>
            <w:r w:rsidRPr="00AF1A09">
              <w:rPr>
                <w:rFonts w:ascii="Verdana" w:hAnsi="Verdana" w:cs="Verdana"/>
                <w:bCs/>
                <w:sz w:val="20"/>
                <w:szCs w:val="20"/>
              </w:rPr>
              <w:t>Le Conseil des ministres :</w:t>
            </w:r>
          </w:p>
          <w:p w14:paraId="372B6A25" w14:textId="77777777" w:rsidR="00381225" w:rsidRPr="00AF1A09" w:rsidRDefault="00381225" w:rsidP="00381225">
            <w:pPr>
              <w:pStyle w:val="Sansinterligne"/>
              <w:jc w:val="both"/>
              <w:rPr>
                <w:rFonts w:ascii="Verdana" w:hAnsi="Verdana" w:cs="Verdana"/>
                <w:bCs/>
                <w:sz w:val="20"/>
                <w:szCs w:val="20"/>
              </w:rPr>
            </w:pPr>
          </w:p>
          <w:p w14:paraId="1793E3D6" w14:textId="77777777" w:rsidR="00381225" w:rsidRPr="00AF1A09" w:rsidRDefault="00381225" w:rsidP="00381225">
            <w:pPr>
              <w:pStyle w:val="Sansinterligne"/>
              <w:numPr>
                <w:ilvl w:val="0"/>
                <w:numId w:val="1"/>
              </w:numPr>
              <w:spacing w:after="120"/>
              <w:ind w:left="567"/>
              <w:jc w:val="both"/>
              <w:rPr>
                <w:rFonts w:ascii="Verdana" w:hAnsi="Verdana" w:cs="Verdana"/>
                <w:bCs/>
                <w:sz w:val="20"/>
                <w:szCs w:val="20"/>
              </w:rPr>
            </w:pPr>
            <w:r w:rsidRPr="00AF1A09">
              <w:rPr>
                <w:rFonts w:ascii="Verdana" w:hAnsi="Verdana" w:cs="Verdana"/>
                <w:bCs/>
                <w:sz w:val="20"/>
                <w:szCs w:val="20"/>
              </w:rPr>
              <w:t>Remercie l’Agence franç</w:t>
            </w:r>
            <w:r w:rsidRPr="00AF1A09">
              <w:rPr>
                <w:rFonts w:ascii="Verdana" w:hAnsi="Verdana" w:cs="Arial"/>
                <w:bCs/>
                <w:sz w:val="20"/>
                <w:szCs w:val="20"/>
              </w:rPr>
              <w:t>a</w:t>
            </w:r>
            <w:r w:rsidRPr="00AF1A09">
              <w:rPr>
                <w:rFonts w:ascii="Verdana" w:hAnsi="Verdana" w:cs="Verdana"/>
                <w:bCs/>
                <w:sz w:val="20"/>
                <w:szCs w:val="20"/>
              </w:rPr>
              <w:t xml:space="preserve">ise de développement (AFD) et l’Union européenne pour leur soutien dans la lutte contre la pandémie de Covid-19 dans les États membres de la COI, l’épidémie de fièvre aphteuse à Maurice et la fièvre de la Vallée du Rift à Madagascar ; </w:t>
            </w:r>
          </w:p>
          <w:p w14:paraId="1F984CC8" w14:textId="77777777" w:rsidR="00381225" w:rsidRPr="00AF1A09" w:rsidRDefault="00381225" w:rsidP="00381225">
            <w:pPr>
              <w:pStyle w:val="Sansinterligne"/>
              <w:numPr>
                <w:ilvl w:val="0"/>
                <w:numId w:val="1"/>
              </w:numPr>
              <w:spacing w:after="120"/>
              <w:ind w:left="567"/>
              <w:jc w:val="both"/>
              <w:rPr>
                <w:rFonts w:ascii="Verdana" w:hAnsi="Verdana" w:cs="Verdana"/>
                <w:bCs/>
                <w:sz w:val="20"/>
                <w:szCs w:val="20"/>
              </w:rPr>
            </w:pPr>
            <w:r w:rsidRPr="00AF1A09">
              <w:rPr>
                <w:rFonts w:ascii="Verdana" w:hAnsi="Verdana" w:cs="Verdana"/>
                <w:bCs/>
                <w:sz w:val="20"/>
                <w:szCs w:val="20"/>
              </w:rPr>
              <w:t xml:space="preserve">Prend note du rapport de mise en œuvre du plan d’urgence et du plan de riposte de la COI contre la Covid-19 et félicite le Secrétariat général et l’équipe de l’Unité de Veille sanitaire pour les résultats obtenus à ce jour ; </w:t>
            </w:r>
          </w:p>
          <w:p w14:paraId="30C64570"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Remercie l’AFD pour le financement additionnel au projet RSIE3 pour un montant de 1.8 million d’euros et donne son accord au Secrétariat général pour la signature de la Convention de financement ;</w:t>
            </w:r>
          </w:p>
          <w:p w14:paraId="416296AE"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 xml:space="preserve">Demande au Secrétariat général d’engager les discussions avec les États membres sur l’intérêt et l’opportunité de l’utilisation éventuelle du RUNCOV développé par le CIRAD ; </w:t>
            </w:r>
          </w:p>
          <w:p w14:paraId="7E3B6580"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 xml:space="preserve">Prend note de l’avancement du programme FETP (formation en épidémiologie de terrain) ainsi que </w:t>
            </w:r>
            <w:r w:rsidRPr="00AF1A09">
              <w:rPr>
                <w:rFonts w:ascii="Verdana" w:hAnsi="Verdana" w:cs="Verdana"/>
                <w:bCs/>
                <w:sz w:val="20"/>
                <w:szCs w:val="20"/>
              </w:rPr>
              <w:lastRenderedPageBreak/>
              <w:t>des conventions qui seront soumises dans ce cadre pour validation, et demande au Secrétariat général de soumettre aux États membres un plan de financement pour la poursuite de ce programme au-delà de la première cohorte de Master ;</w:t>
            </w:r>
          </w:p>
          <w:p w14:paraId="47B1ECF7"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Prend note de la signature du contrat avec l’Institut Pasteur de Madagascar portant sur l’accueil de stagiaires du réseau et l’accès à sa plateforme de diagnostic avancé et de celui qui sera passé avec le laboratoire de microbiologie du CHU de La Réunion ;</w:t>
            </w:r>
          </w:p>
          <w:p w14:paraId="0FDC972D"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 xml:space="preserve">Demande au Secrétariat général d’inscrire l’étude de faisabilité du fonds SEGA One </w:t>
            </w:r>
            <w:proofErr w:type="spellStart"/>
            <w:r w:rsidRPr="00AF1A09">
              <w:rPr>
                <w:rFonts w:ascii="Verdana" w:hAnsi="Verdana" w:cs="Verdana"/>
                <w:bCs/>
                <w:sz w:val="20"/>
                <w:szCs w:val="20"/>
              </w:rPr>
              <w:t>Health</w:t>
            </w:r>
            <w:proofErr w:type="spellEnd"/>
            <w:r w:rsidRPr="00AF1A09">
              <w:rPr>
                <w:rFonts w:ascii="Verdana" w:hAnsi="Verdana" w:cs="Verdana"/>
                <w:bCs/>
                <w:sz w:val="20"/>
                <w:szCs w:val="20"/>
              </w:rPr>
              <w:t xml:space="preserve"> à l’ordre du jour du Comité de pilotage du 1</w:t>
            </w:r>
            <w:r w:rsidRPr="00AF1A09">
              <w:rPr>
                <w:rFonts w:ascii="Verdana" w:hAnsi="Verdana" w:cs="Verdana"/>
                <w:bCs/>
                <w:sz w:val="20"/>
                <w:szCs w:val="20"/>
                <w:vertAlign w:val="superscript"/>
              </w:rPr>
              <w:t>er</w:t>
            </w:r>
            <w:r w:rsidRPr="00AF1A09">
              <w:rPr>
                <w:rFonts w:ascii="Verdana" w:hAnsi="Verdana" w:cs="Verdana"/>
                <w:bCs/>
                <w:sz w:val="20"/>
                <w:szCs w:val="20"/>
              </w:rPr>
              <w:t xml:space="preserve"> au 4 décembre 2021 et d’organiser ultérieurement un atelier régional de validation ; </w:t>
            </w:r>
          </w:p>
          <w:p w14:paraId="1CA04BDA" w14:textId="77777777" w:rsidR="00381225" w:rsidRPr="00AF1A09" w:rsidRDefault="00381225" w:rsidP="00381225">
            <w:pPr>
              <w:pStyle w:val="Sansinterligne"/>
              <w:numPr>
                <w:ilvl w:val="0"/>
                <w:numId w:val="1"/>
              </w:numPr>
              <w:spacing w:after="120"/>
              <w:ind w:left="567" w:hanging="357"/>
              <w:jc w:val="both"/>
              <w:rPr>
                <w:rFonts w:ascii="Verdana" w:hAnsi="Verdana" w:cs="Verdana"/>
                <w:bCs/>
                <w:sz w:val="20"/>
                <w:szCs w:val="20"/>
              </w:rPr>
            </w:pPr>
            <w:r w:rsidRPr="00AF1A09">
              <w:rPr>
                <w:rFonts w:ascii="Verdana" w:hAnsi="Verdana" w:cs="Verdana"/>
                <w:bCs/>
                <w:sz w:val="20"/>
                <w:szCs w:val="20"/>
              </w:rPr>
              <w:t xml:space="preserve">Encourage le Secrétariat général à organiser une réunion des ministres en charge de la Santé et de l’Élevage des États membres qui pourrait, entre autres, valider l’établissement du fonds SEGA One </w:t>
            </w:r>
            <w:proofErr w:type="spellStart"/>
            <w:r w:rsidRPr="00AF1A09">
              <w:rPr>
                <w:rFonts w:ascii="Verdana" w:hAnsi="Verdana" w:cs="Verdana"/>
                <w:bCs/>
                <w:sz w:val="20"/>
                <w:szCs w:val="20"/>
              </w:rPr>
              <w:t>Health</w:t>
            </w:r>
            <w:proofErr w:type="spellEnd"/>
            <w:r w:rsidRPr="00AF1A09">
              <w:rPr>
                <w:rFonts w:ascii="Verdana" w:hAnsi="Verdana" w:cs="Verdana"/>
                <w:bCs/>
                <w:sz w:val="20"/>
                <w:szCs w:val="20"/>
              </w:rPr>
              <w:t>.</w:t>
            </w:r>
          </w:p>
          <w:p w14:paraId="002915FA" w14:textId="77777777" w:rsidR="00381225" w:rsidRDefault="00381225"/>
        </w:tc>
        <w:tc>
          <w:tcPr>
            <w:tcW w:w="1623" w:type="dxa"/>
          </w:tcPr>
          <w:p w14:paraId="423BE3AA" w14:textId="77777777" w:rsidR="00381225" w:rsidRDefault="00381225"/>
          <w:p w14:paraId="433CC800" w14:textId="3D58755D" w:rsidR="007E2981" w:rsidRDefault="007E2981">
            <w:r>
              <w:t>DP</w:t>
            </w:r>
          </w:p>
        </w:tc>
        <w:tc>
          <w:tcPr>
            <w:tcW w:w="5926" w:type="dxa"/>
          </w:tcPr>
          <w:p w14:paraId="57181235" w14:textId="578286FB" w:rsidR="005003E4" w:rsidRPr="00CB6906" w:rsidRDefault="00AA35F1">
            <w:r w:rsidRPr="00CB6906">
              <w:t>1 a.</w:t>
            </w:r>
          </w:p>
          <w:p w14:paraId="458130B6" w14:textId="083694AE" w:rsidR="00AA35F1" w:rsidRPr="00CB6906" w:rsidRDefault="00AA35F1"/>
          <w:p w14:paraId="3BD588ED" w14:textId="7A03E28F" w:rsidR="00AA35F1" w:rsidRPr="00CB6906" w:rsidRDefault="00AA35F1" w:rsidP="00AA35F1">
            <w:pPr>
              <w:pStyle w:val="Sansinterligne"/>
              <w:spacing w:after="120"/>
              <w:jc w:val="both"/>
              <w:rPr>
                <w:rFonts w:ascii="Verdana" w:hAnsi="Verdana"/>
                <w:sz w:val="20"/>
                <w:szCs w:val="20"/>
              </w:rPr>
            </w:pPr>
            <w:r w:rsidRPr="00CB6906">
              <w:rPr>
                <w:rFonts w:ascii="Verdana" w:hAnsi="Verdana"/>
                <w:sz w:val="20"/>
                <w:szCs w:val="20"/>
              </w:rPr>
              <w:t xml:space="preserve">Les deux premières campagnes de vaccination contre la fièvre aphteuse à Maurice et à Rodrigues sont terminées. Le SG-Coi </w:t>
            </w:r>
            <w:r w:rsidR="00FC1290" w:rsidRPr="00CB6906">
              <w:rPr>
                <w:rFonts w:ascii="Verdana" w:hAnsi="Verdana"/>
                <w:sz w:val="20"/>
                <w:szCs w:val="20"/>
              </w:rPr>
              <w:t>explore les voies et moyens pour l’acquisition des prochaines doses de vaccins en concertations avec les autres partenaires qui appuient le ministère de l’agro-industrie de Maurice (ex</w:t>
            </w:r>
            <w:r w:rsidR="00C07043" w:rsidRPr="00CB6906">
              <w:rPr>
                <w:rFonts w:ascii="Verdana" w:hAnsi="Verdana"/>
                <w:sz w:val="20"/>
                <w:szCs w:val="20"/>
              </w:rPr>
              <w:t>emple</w:t>
            </w:r>
            <w:r w:rsidR="00FC1290" w:rsidRPr="00CB6906">
              <w:rPr>
                <w:rFonts w:ascii="Verdana" w:hAnsi="Verdana"/>
                <w:sz w:val="20"/>
                <w:szCs w:val="20"/>
              </w:rPr>
              <w:t xml:space="preserve"> FAO)</w:t>
            </w:r>
            <w:r w:rsidRPr="00CB6906">
              <w:rPr>
                <w:rFonts w:ascii="Verdana" w:hAnsi="Verdana"/>
                <w:sz w:val="20"/>
                <w:szCs w:val="20"/>
              </w:rPr>
              <w:t xml:space="preserve"> </w:t>
            </w:r>
          </w:p>
          <w:p w14:paraId="35BB7C91" w14:textId="77777777" w:rsidR="00956F56" w:rsidRPr="00CB6906" w:rsidRDefault="00AA35F1" w:rsidP="00AA35F1">
            <w:pPr>
              <w:pStyle w:val="Sansinterligne"/>
              <w:spacing w:after="120"/>
              <w:jc w:val="both"/>
              <w:rPr>
                <w:rFonts w:ascii="Verdana" w:hAnsi="Verdana"/>
                <w:sz w:val="20"/>
                <w:szCs w:val="20"/>
              </w:rPr>
            </w:pPr>
            <w:r w:rsidRPr="00CB6906">
              <w:rPr>
                <w:rFonts w:ascii="Verdana" w:hAnsi="Verdana"/>
                <w:sz w:val="20"/>
                <w:szCs w:val="20"/>
              </w:rPr>
              <w:t>Concernant l’épidémie de fièvre de la Vallée du Rift à Madagascar</w:t>
            </w:r>
            <w:r w:rsidRPr="00CB6906">
              <w:rPr>
                <w:rFonts w:ascii="Verdana" w:hAnsi="Verdana"/>
                <w:b/>
                <w:bCs/>
                <w:sz w:val="20"/>
                <w:szCs w:val="20"/>
              </w:rPr>
              <w:t xml:space="preserve">, </w:t>
            </w:r>
            <w:r w:rsidRPr="00CB6906">
              <w:rPr>
                <w:rFonts w:ascii="Verdana" w:hAnsi="Verdana"/>
                <w:sz w:val="20"/>
                <w:szCs w:val="20"/>
              </w:rPr>
              <w:t>la riposte est en cours</w:t>
            </w:r>
            <w:r w:rsidR="00956F56" w:rsidRPr="00CB6906">
              <w:rPr>
                <w:rFonts w:ascii="Verdana" w:hAnsi="Verdana"/>
                <w:sz w:val="20"/>
                <w:szCs w:val="20"/>
              </w:rPr>
              <w:t xml:space="preserve"> (</w:t>
            </w:r>
            <w:r w:rsidRPr="00CB6906">
              <w:rPr>
                <w:rFonts w:ascii="Verdana" w:hAnsi="Verdana"/>
                <w:sz w:val="20"/>
                <w:szCs w:val="20"/>
              </w:rPr>
              <w:t xml:space="preserve">médicaments, équipements de prélèvements…), et le contrat pour l’achat de vaccin sera complété dès que certains aspects </w:t>
            </w:r>
            <w:r w:rsidR="006538C9" w:rsidRPr="00CB6906">
              <w:rPr>
                <w:rFonts w:ascii="Verdana" w:hAnsi="Verdana"/>
                <w:sz w:val="20"/>
                <w:szCs w:val="20"/>
              </w:rPr>
              <w:t>logistique,</w:t>
            </w:r>
            <w:r w:rsidRPr="00CB6906">
              <w:rPr>
                <w:rFonts w:ascii="Verdana" w:hAnsi="Verdana"/>
                <w:sz w:val="20"/>
                <w:szCs w:val="20"/>
              </w:rPr>
              <w:t xml:space="preserve"> chaîne de froid, transit et dédouanement</w:t>
            </w:r>
            <w:r w:rsidR="00956F56" w:rsidRPr="00CB6906">
              <w:rPr>
                <w:rFonts w:ascii="Verdana" w:hAnsi="Verdana"/>
                <w:sz w:val="20"/>
                <w:szCs w:val="20"/>
              </w:rPr>
              <w:t xml:space="preserve"> etc.</w:t>
            </w:r>
            <w:r w:rsidRPr="00CB6906">
              <w:rPr>
                <w:rFonts w:ascii="Verdana" w:hAnsi="Verdana"/>
                <w:sz w:val="20"/>
                <w:szCs w:val="20"/>
              </w:rPr>
              <w:t xml:space="preserve"> </w:t>
            </w:r>
            <w:r w:rsidR="006538C9" w:rsidRPr="00CB6906">
              <w:rPr>
                <w:rFonts w:ascii="Verdana" w:hAnsi="Verdana"/>
                <w:sz w:val="20"/>
                <w:szCs w:val="20"/>
              </w:rPr>
              <w:t>seront complété</w:t>
            </w:r>
            <w:r w:rsidRPr="00CB6906">
              <w:rPr>
                <w:rFonts w:ascii="Verdana" w:hAnsi="Verdana"/>
                <w:sz w:val="20"/>
                <w:szCs w:val="20"/>
              </w:rPr>
              <w:t>s.</w:t>
            </w:r>
          </w:p>
          <w:p w14:paraId="2DDD879E" w14:textId="5F31BB2B" w:rsidR="006538C9" w:rsidRPr="00CB6906" w:rsidRDefault="006538C9" w:rsidP="00AA35F1">
            <w:pPr>
              <w:pStyle w:val="Sansinterligne"/>
              <w:spacing w:after="120"/>
              <w:jc w:val="both"/>
              <w:rPr>
                <w:rFonts w:ascii="Verdana" w:hAnsi="Verdana"/>
                <w:sz w:val="20"/>
                <w:szCs w:val="20"/>
              </w:rPr>
            </w:pPr>
            <w:r w:rsidRPr="00CB6906">
              <w:rPr>
                <w:rFonts w:ascii="Verdana" w:hAnsi="Verdana"/>
                <w:sz w:val="20"/>
                <w:szCs w:val="20"/>
              </w:rPr>
              <w:t>P</w:t>
            </w:r>
            <w:r w:rsidR="00AA35F1" w:rsidRPr="00CB6906">
              <w:rPr>
                <w:rFonts w:ascii="Verdana" w:hAnsi="Verdana"/>
                <w:sz w:val="20"/>
                <w:szCs w:val="20"/>
              </w:rPr>
              <w:t xml:space="preserve">lusieurs investigations ripostes ont été réalisées en santé animale ainsi que la formation d’une centaine de vétérinaires. </w:t>
            </w:r>
          </w:p>
          <w:p w14:paraId="11E639A4" w14:textId="77777777" w:rsidR="00493BBA" w:rsidRPr="00CB6906" w:rsidRDefault="00493BBA" w:rsidP="00AA35F1">
            <w:pPr>
              <w:pStyle w:val="Sansinterligne"/>
              <w:spacing w:after="120"/>
              <w:jc w:val="both"/>
              <w:rPr>
                <w:rFonts w:ascii="Verdana" w:hAnsi="Verdana"/>
                <w:sz w:val="20"/>
                <w:szCs w:val="20"/>
              </w:rPr>
            </w:pPr>
          </w:p>
          <w:p w14:paraId="2B35C8E3" w14:textId="681BB6CA" w:rsidR="006538C9" w:rsidRPr="00CB6906" w:rsidRDefault="006538C9" w:rsidP="00AA35F1">
            <w:pPr>
              <w:pStyle w:val="Sansinterligne"/>
              <w:spacing w:after="120"/>
              <w:jc w:val="both"/>
              <w:rPr>
                <w:rFonts w:ascii="Verdana" w:hAnsi="Verdana"/>
                <w:sz w:val="20"/>
                <w:szCs w:val="20"/>
              </w:rPr>
            </w:pPr>
            <w:r w:rsidRPr="00CB6906">
              <w:rPr>
                <w:rFonts w:ascii="Verdana" w:hAnsi="Verdana"/>
                <w:sz w:val="20"/>
                <w:szCs w:val="20"/>
              </w:rPr>
              <w:t xml:space="preserve">1 b. </w:t>
            </w:r>
          </w:p>
          <w:p w14:paraId="31826AEF" w14:textId="64D890D4" w:rsidR="006538C9" w:rsidRPr="00CB6906" w:rsidRDefault="006538C9" w:rsidP="006538C9">
            <w:pPr>
              <w:pStyle w:val="Sansinterligne"/>
              <w:spacing w:after="120"/>
              <w:jc w:val="both"/>
              <w:rPr>
                <w:rFonts w:ascii="Verdana" w:hAnsi="Verdana"/>
                <w:sz w:val="20"/>
                <w:szCs w:val="20"/>
              </w:rPr>
            </w:pPr>
            <w:r w:rsidRPr="00CB6906">
              <w:rPr>
                <w:rFonts w:ascii="Verdana" w:hAnsi="Verdana"/>
                <w:sz w:val="20"/>
                <w:szCs w:val="20"/>
              </w:rPr>
              <w:t xml:space="preserve">Durant le dernier trimestre 2021, plusieurs livraisons d’équipements ont pu être effectuées. L’état d’avancement disponible dans la fiche Conseil. </w:t>
            </w:r>
          </w:p>
          <w:p w14:paraId="261EA78E" w14:textId="77777777" w:rsidR="006538C9" w:rsidRPr="00CB6906" w:rsidRDefault="006538C9" w:rsidP="006538C9">
            <w:pPr>
              <w:pStyle w:val="Sansinterligne"/>
              <w:spacing w:after="120"/>
              <w:jc w:val="both"/>
              <w:rPr>
                <w:rFonts w:ascii="Verdana" w:hAnsi="Verdana"/>
                <w:sz w:val="20"/>
                <w:szCs w:val="20"/>
              </w:rPr>
            </w:pPr>
            <w:r w:rsidRPr="00CB6906">
              <w:rPr>
                <w:rFonts w:ascii="Verdana" w:hAnsi="Verdana"/>
                <w:sz w:val="20"/>
                <w:szCs w:val="20"/>
              </w:rPr>
              <w:t xml:space="preserve">On s’achemine vers la fin du plan de riposte et du plan d’urgence. </w:t>
            </w:r>
          </w:p>
          <w:p w14:paraId="74F8C60A" w14:textId="0C5597F6" w:rsidR="006538C9" w:rsidRPr="00CB6906" w:rsidRDefault="006538C9" w:rsidP="006538C9">
            <w:pPr>
              <w:pStyle w:val="Sansinterligne"/>
              <w:spacing w:after="120"/>
              <w:jc w:val="both"/>
              <w:rPr>
                <w:rFonts w:ascii="Verdana" w:hAnsi="Verdana"/>
                <w:sz w:val="20"/>
                <w:szCs w:val="20"/>
              </w:rPr>
            </w:pPr>
            <w:r w:rsidRPr="00CB6906">
              <w:rPr>
                <w:rFonts w:ascii="Verdana" w:hAnsi="Verdana"/>
                <w:sz w:val="20"/>
                <w:szCs w:val="20"/>
              </w:rPr>
              <w:t>Le projet RSIE4 et le nouveau top up au projet RSIE3 vont permettre, entre autres, de continuer les efforts déployés.</w:t>
            </w:r>
          </w:p>
          <w:p w14:paraId="538626E3" w14:textId="7C9810C5" w:rsidR="006538C9" w:rsidRPr="00CB6906" w:rsidRDefault="006538C9" w:rsidP="006538C9">
            <w:pPr>
              <w:pStyle w:val="Sansinterligne"/>
              <w:spacing w:after="120"/>
              <w:jc w:val="both"/>
              <w:rPr>
                <w:rFonts w:ascii="Verdana" w:hAnsi="Verdana"/>
                <w:sz w:val="20"/>
                <w:szCs w:val="20"/>
              </w:rPr>
            </w:pPr>
            <w:r w:rsidRPr="00CB6906">
              <w:rPr>
                <w:rFonts w:ascii="Verdana" w:hAnsi="Verdana"/>
                <w:sz w:val="20"/>
                <w:szCs w:val="20"/>
              </w:rPr>
              <w:t>1 c.</w:t>
            </w:r>
          </w:p>
          <w:p w14:paraId="1DA28360" w14:textId="483DF3F6" w:rsidR="005003E4" w:rsidRPr="00CB6906" w:rsidRDefault="006538C9" w:rsidP="00493BBA">
            <w:pPr>
              <w:pStyle w:val="Sansinterligne"/>
              <w:spacing w:after="120"/>
              <w:jc w:val="both"/>
              <w:rPr>
                <w:rFonts w:ascii="Verdana" w:hAnsi="Verdana"/>
                <w:sz w:val="20"/>
                <w:szCs w:val="20"/>
              </w:rPr>
            </w:pPr>
            <w:r w:rsidRPr="00CB6906">
              <w:rPr>
                <w:rFonts w:ascii="Verdana" w:hAnsi="Verdana"/>
                <w:sz w:val="20"/>
                <w:szCs w:val="20"/>
              </w:rPr>
              <w:t>Signature réalisée à la Réunion en marge du Conseil extraordinaire novembre 2022</w:t>
            </w:r>
          </w:p>
          <w:p w14:paraId="30BFB25D" w14:textId="28080798" w:rsidR="00C77076" w:rsidRPr="00CB6906" w:rsidRDefault="00C77076">
            <w:r w:rsidRPr="00CB6906">
              <w:lastRenderedPageBreak/>
              <w:t xml:space="preserve">1 d. </w:t>
            </w:r>
          </w:p>
          <w:p w14:paraId="0704A56C" w14:textId="77777777" w:rsidR="00C77076" w:rsidRPr="00CB6906" w:rsidRDefault="00C77076"/>
          <w:p w14:paraId="584AE53E" w14:textId="70C85790" w:rsidR="00C77076" w:rsidRPr="00CB6906" w:rsidRDefault="00C77076" w:rsidP="00C77076">
            <w:pPr>
              <w:pStyle w:val="Sansinterligne"/>
              <w:spacing w:after="120"/>
              <w:jc w:val="both"/>
              <w:rPr>
                <w:rFonts w:ascii="Verdana" w:hAnsi="Verdana"/>
                <w:sz w:val="20"/>
                <w:szCs w:val="20"/>
              </w:rPr>
            </w:pPr>
            <w:r w:rsidRPr="00CB6906">
              <w:rPr>
                <w:rFonts w:ascii="Verdana" w:hAnsi="Verdana"/>
                <w:sz w:val="20"/>
                <w:szCs w:val="20"/>
              </w:rPr>
              <w:t>Le SG-COI a transmis toutes les informations aux ministères de la Santé des États membres concernant le RUNCOV. En fonction des intérêts, les discussions se poursuivront entre le SG-</w:t>
            </w:r>
            <w:proofErr w:type="gramStart"/>
            <w:r w:rsidRPr="00CB6906">
              <w:rPr>
                <w:rFonts w:ascii="Verdana" w:hAnsi="Verdana"/>
                <w:sz w:val="20"/>
                <w:szCs w:val="20"/>
              </w:rPr>
              <w:t>COI ,</w:t>
            </w:r>
            <w:proofErr w:type="gramEnd"/>
            <w:r w:rsidRPr="00CB6906">
              <w:rPr>
                <w:rFonts w:ascii="Verdana" w:hAnsi="Verdana"/>
                <w:sz w:val="20"/>
                <w:szCs w:val="20"/>
              </w:rPr>
              <w:t xml:space="preserve"> les ministères de la santé, le bailleur et le CIRAD pour considérer les éventuels besoins.</w:t>
            </w:r>
          </w:p>
          <w:p w14:paraId="04053614" w14:textId="77777777" w:rsidR="00C77076" w:rsidRPr="00CB6906" w:rsidRDefault="00C77076"/>
          <w:p w14:paraId="74831454" w14:textId="77777777" w:rsidR="00C77076" w:rsidRPr="00CB6906" w:rsidRDefault="00C77076">
            <w:r w:rsidRPr="00CB6906">
              <w:t>1 e.</w:t>
            </w:r>
          </w:p>
          <w:p w14:paraId="0FB61A09" w14:textId="77777777" w:rsidR="00656891" w:rsidRPr="00CB6906" w:rsidRDefault="00656891"/>
          <w:p w14:paraId="63E18DDD" w14:textId="5F0C37B7" w:rsidR="00FB75F4" w:rsidRPr="00CB6906" w:rsidRDefault="00FB75F4" w:rsidP="00FB75F4">
            <w:pPr>
              <w:pStyle w:val="Sansinterligne"/>
              <w:spacing w:after="120"/>
              <w:jc w:val="both"/>
              <w:rPr>
                <w:rFonts w:ascii="Verdana" w:hAnsi="Verdana"/>
                <w:sz w:val="20"/>
                <w:szCs w:val="20"/>
              </w:rPr>
            </w:pPr>
            <w:r w:rsidRPr="00CB6906">
              <w:rPr>
                <w:rFonts w:ascii="Verdana" w:hAnsi="Verdana"/>
                <w:sz w:val="20"/>
                <w:szCs w:val="20"/>
              </w:rPr>
              <w:t>Le lancement de la formation de la première cohorte débutera ce premier trimestre 2022 pour Madagascar et les Comores.</w:t>
            </w:r>
          </w:p>
          <w:p w14:paraId="53052574" w14:textId="1C59322B" w:rsidR="00FB75F4" w:rsidRPr="00CB6906" w:rsidRDefault="00FB75F4" w:rsidP="00FB75F4">
            <w:pPr>
              <w:pStyle w:val="Sansinterligne"/>
              <w:spacing w:after="120"/>
              <w:jc w:val="both"/>
              <w:rPr>
                <w:rFonts w:ascii="Verdana" w:hAnsi="Verdana"/>
                <w:sz w:val="20"/>
                <w:szCs w:val="20"/>
              </w:rPr>
            </w:pPr>
            <w:r w:rsidRPr="00CB6906">
              <w:rPr>
                <w:rFonts w:ascii="Verdana" w:hAnsi="Verdana"/>
                <w:sz w:val="20"/>
                <w:szCs w:val="20"/>
              </w:rPr>
              <w:t xml:space="preserve">Concernant les Seychelles, une nouvelle convention entre la COI, les ministères en charge de la santé et de l’élevage aux Seychelles et le MIH est en cours de préparation. </w:t>
            </w:r>
          </w:p>
          <w:p w14:paraId="4B5B9B10" w14:textId="400D4BA7" w:rsidR="00C77076" w:rsidRPr="00CB6906" w:rsidRDefault="00FB75F4" w:rsidP="00656891">
            <w:pPr>
              <w:pStyle w:val="Sansinterligne"/>
              <w:spacing w:after="120"/>
              <w:jc w:val="both"/>
              <w:rPr>
                <w:rFonts w:ascii="Verdana" w:hAnsi="Verdana"/>
                <w:sz w:val="20"/>
                <w:szCs w:val="20"/>
              </w:rPr>
            </w:pPr>
            <w:r w:rsidRPr="00CB6906">
              <w:rPr>
                <w:rFonts w:ascii="Verdana" w:hAnsi="Verdana"/>
                <w:sz w:val="20"/>
                <w:szCs w:val="20"/>
              </w:rPr>
              <w:t>Concernant le niveau Master en FETP</w:t>
            </w:r>
            <w:r w:rsidR="00524FA8" w:rsidRPr="00CB6906">
              <w:rPr>
                <w:rFonts w:ascii="Verdana" w:hAnsi="Verdana"/>
                <w:sz w:val="20"/>
                <w:szCs w:val="20"/>
              </w:rPr>
              <w:t xml:space="preserve"> : </w:t>
            </w:r>
            <w:r w:rsidRPr="00CB6906">
              <w:rPr>
                <w:rFonts w:ascii="Verdana" w:hAnsi="Verdana"/>
                <w:sz w:val="20"/>
                <w:szCs w:val="20"/>
              </w:rPr>
              <w:t xml:space="preserve">Le guide de cette formation a déjà été validé. Pour avancer vers le démarrage, le comité de pilotage du réseau SEGA One </w:t>
            </w:r>
            <w:proofErr w:type="spellStart"/>
            <w:r w:rsidRPr="00CB6906">
              <w:rPr>
                <w:rFonts w:ascii="Verdana" w:hAnsi="Verdana"/>
                <w:sz w:val="20"/>
                <w:szCs w:val="20"/>
              </w:rPr>
              <w:t>Health</w:t>
            </w:r>
            <w:proofErr w:type="spellEnd"/>
            <w:r w:rsidRPr="00CB6906">
              <w:rPr>
                <w:rFonts w:ascii="Verdana" w:hAnsi="Verdana"/>
                <w:sz w:val="20"/>
                <w:szCs w:val="20"/>
              </w:rPr>
              <w:t xml:space="preserve"> a décidé que l’accréditation de la formation par au moins une des institutions de formation de la région était suffisante pour avancer. </w:t>
            </w:r>
          </w:p>
          <w:p w14:paraId="780A22DE" w14:textId="183DDC47" w:rsidR="00956F56" w:rsidRPr="00CB6906" w:rsidRDefault="00FC1290" w:rsidP="00656891">
            <w:pPr>
              <w:pStyle w:val="Sansinterligne"/>
              <w:spacing w:after="120"/>
              <w:jc w:val="both"/>
              <w:rPr>
                <w:rFonts w:ascii="Verdana" w:hAnsi="Verdana"/>
                <w:sz w:val="20"/>
                <w:szCs w:val="20"/>
              </w:rPr>
            </w:pPr>
            <w:r w:rsidRPr="00CB6906">
              <w:rPr>
                <w:rFonts w:ascii="Verdana" w:hAnsi="Verdana"/>
                <w:sz w:val="20"/>
                <w:szCs w:val="20"/>
              </w:rPr>
              <w:t xml:space="preserve">Des </w:t>
            </w:r>
            <w:r w:rsidR="00524FA8" w:rsidRPr="00CB6906">
              <w:rPr>
                <w:rFonts w:ascii="Verdana" w:hAnsi="Verdana"/>
                <w:sz w:val="20"/>
                <w:szCs w:val="20"/>
              </w:rPr>
              <w:t>discussions</w:t>
            </w:r>
            <w:r w:rsidRPr="00CB6906">
              <w:rPr>
                <w:rFonts w:ascii="Verdana" w:hAnsi="Verdana"/>
                <w:sz w:val="20"/>
                <w:szCs w:val="20"/>
              </w:rPr>
              <w:t xml:space="preserve"> ont débuté avec les </w:t>
            </w:r>
            <w:r w:rsidR="00524FA8" w:rsidRPr="00CB6906">
              <w:rPr>
                <w:rFonts w:ascii="Verdana" w:hAnsi="Verdana"/>
                <w:sz w:val="20"/>
                <w:szCs w:val="20"/>
              </w:rPr>
              <w:t>bailleurs</w:t>
            </w:r>
            <w:r w:rsidRPr="00CB6906">
              <w:rPr>
                <w:rFonts w:ascii="Verdana" w:hAnsi="Verdana"/>
                <w:sz w:val="20"/>
                <w:szCs w:val="20"/>
              </w:rPr>
              <w:t xml:space="preserve"> sur les suites du financement du FETP, par ailleurs ce programme entre dans le cadre du fonds SEGA</w:t>
            </w:r>
          </w:p>
          <w:p w14:paraId="18385C13" w14:textId="77777777" w:rsidR="00493BBA" w:rsidRPr="00CB6906" w:rsidRDefault="00493BBA" w:rsidP="00656891">
            <w:pPr>
              <w:pStyle w:val="Sansinterligne"/>
              <w:spacing w:after="120"/>
              <w:jc w:val="both"/>
              <w:rPr>
                <w:rFonts w:ascii="Verdana" w:hAnsi="Verdana"/>
                <w:sz w:val="20"/>
                <w:szCs w:val="20"/>
              </w:rPr>
            </w:pPr>
          </w:p>
          <w:p w14:paraId="722B82A0" w14:textId="6A811237" w:rsidR="00956F56" w:rsidRPr="00CB6906" w:rsidRDefault="00956F56" w:rsidP="00656891">
            <w:pPr>
              <w:pStyle w:val="Sansinterligne"/>
              <w:spacing w:after="120"/>
              <w:jc w:val="both"/>
              <w:rPr>
                <w:rFonts w:ascii="Verdana" w:hAnsi="Verdana"/>
                <w:sz w:val="20"/>
                <w:szCs w:val="20"/>
              </w:rPr>
            </w:pPr>
            <w:r w:rsidRPr="00CB6906">
              <w:rPr>
                <w:rFonts w:ascii="Verdana" w:hAnsi="Verdana"/>
                <w:sz w:val="20"/>
                <w:szCs w:val="20"/>
              </w:rPr>
              <w:t>1 f.</w:t>
            </w:r>
          </w:p>
          <w:p w14:paraId="6344E24B" w14:textId="20531DAD" w:rsidR="00FC1290" w:rsidRPr="00CB6906" w:rsidRDefault="00FC1290" w:rsidP="00656891">
            <w:pPr>
              <w:pStyle w:val="Sansinterligne"/>
              <w:spacing w:after="120"/>
              <w:jc w:val="both"/>
              <w:rPr>
                <w:rFonts w:ascii="Verdana" w:hAnsi="Verdana"/>
                <w:sz w:val="20"/>
                <w:szCs w:val="20"/>
              </w:rPr>
            </w:pPr>
            <w:r w:rsidRPr="00CB6906">
              <w:rPr>
                <w:rFonts w:ascii="Verdana" w:hAnsi="Verdana"/>
                <w:sz w:val="20"/>
                <w:szCs w:val="20"/>
              </w:rPr>
              <w:t>Le contrat avec Institut pasteur est en cours d’</w:t>
            </w:r>
            <w:r w:rsidR="00524FA8" w:rsidRPr="00CB6906">
              <w:rPr>
                <w:rFonts w:ascii="Verdana" w:hAnsi="Verdana"/>
                <w:sz w:val="20"/>
                <w:szCs w:val="20"/>
              </w:rPr>
              <w:t>exécution</w:t>
            </w:r>
          </w:p>
          <w:p w14:paraId="11EE6FA9" w14:textId="37AF44C2" w:rsidR="00656891" w:rsidRPr="00CB6906" w:rsidRDefault="00656891" w:rsidP="00656891">
            <w:pPr>
              <w:pStyle w:val="Sansinterligne"/>
              <w:spacing w:after="120"/>
              <w:jc w:val="both"/>
            </w:pPr>
            <w:r w:rsidRPr="00CB6906">
              <w:t>1 g.</w:t>
            </w:r>
          </w:p>
          <w:p w14:paraId="5E5C5932" w14:textId="0BC504BA" w:rsidR="005003E4" w:rsidRPr="00CB6906" w:rsidRDefault="00656891" w:rsidP="00656891">
            <w:pPr>
              <w:pStyle w:val="Sansinterligne"/>
              <w:spacing w:after="120"/>
              <w:jc w:val="both"/>
            </w:pPr>
            <w:r w:rsidRPr="00CB6906">
              <w:t xml:space="preserve">Le rapport intermédiaire </w:t>
            </w:r>
            <w:r w:rsidR="005003E4" w:rsidRPr="00CB6906">
              <w:t>pour la mise en œuvre du</w:t>
            </w:r>
            <w:r w:rsidRPr="00CB6906">
              <w:t xml:space="preserve"> </w:t>
            </w:r>
            <w:r w:rsidR="005003E4" w:rsidRPr="00CB6906">
              <w:t xml:space="preserve">fonds SEGA-One </w:t>
            </w:r>
            <w:proofErr w:type="spellStart"/>
            <w:r w:rsidR="005003E4" w:rsidRPr="00CB6906">
              <w:t>Health</w:t>
            </w:r>
            <w:proofErr w:type="spellEnd"/>
            <w:r w:rsidR="005003E4" w:rsidRPr="00CB6906">
              <w:t xml:space="preserve"> a été présenté lors du dernier Comité de pilotage</w:t>
            </w:r>
            <w:r w:rsidR="00FC1290" w:rsidRPr="00CB6906">
              <w:t>, qui a recommandé la validation du statut du fonds SEGA par le Comité ministériel sectoriel</w:t>
            </w:r>
          </w:p>
          <w:p w14:paraId="6B4380FF" w14:textId="77777777" w:rsidR="005003E4" w:rsidRPr="00CB6906" w:rsidRDefault="005003E4" w:rsidP="00656891">
            <w:pPr>
              <w:pStyle w:val="Sansinterligne"/>
              <w:spacing w:after="120"/>
              <w:jc w:val="both"/>
            </w:pPr>
            <w:r w:rsidRPr="00CB6906">
              <w:lastRenderedPageBreak/>
              <w:t xml:space="preserve">1 h. </w:t>
            </w:r>
          </w:p>
          <w:p w14:paraId="0DD179FA" w14:textId="583DD56C" w:rsidR="005003E4" w:rsidRPr="00CB6906" w:rsidRDefault="005003E4" w:rsidP="00656891">
            <w:pPr>
              <w:pStyle w:val="Sansinterligne"/>
              <w:spacing w:after="120"/>
              <w:jc w:val="both"/>
            </w:pPr>
            <w:r w:rsidRPr="00CB6906">
              <w:t xml:space="preserve">Réunion ministérielle été prévue en février 2022, mais du fait de circonstances en dehors de notre volonté elle sera reportée </w:t>
            </w:r>
            <w:r w:rsidR="00956F56" w:rsidRPr="00CB6906">
              <w:t>à</w:t>
            </w:r>
            <w:r w:rsidRPr="00CB6906">
              <w:t xml:space="preserve"> une date ultérieure. </w:t>
            </w:r>
          </w:p>
        </w:tc>
        <w:tc>
          <w:tcPr>
            <w:tcW w:w="3364" w:type="dxa"/>
          </w:tcPr>
          <w:p w14:paraId="168C1ED6" w14:textId="77777777" w:rsidR="00381225" w:rsidRDefault="00381225"/>
          <w:p w14:paraId="298C4053" w14:textId="77777777" w:rsidR="00F9114C" w:rsidRPr="00F9114C" w:rsidRDefault="00F9114C" w:rsidP="00F9114C"/>
          <w:p w14:paraId="1D717424" w14:textId="77777777" w:rsidR="00F9114C" w:rsidRPr="00F9114C" w:rsidRDefault="00F9114C" w:rsidP="00F9114C"/>
          <w:p w14:paraId="0CAC68E2" w14:textId="77777777" w:rsidR="00F9114C" w:rsidRPr="00F9114C" w:rsidRDefault="00F9114C" w:rsidP="00F9114C"/>
          <w:p w14:paraId="38B394B2" w14:textId="77777777" w:rsidR="00F9114C" w:rsidRPr="00F9114C" w:rsidRDefault="00F9114C" w:rsidP="00F9114C"/>
          <w:p w14:paraId="5CCDFB15" w14:textId="77777777" w:rsidR="00F9114C" w:rsidRPr="00F9114C" w:rsidRDefault="00F9114C" w:rsidP="00F9114C"/>
          <w:p w14:paraId="09830D36" w14:textId="77777777" w:rsidR="00F9114C" w:rsidRPr="00F9114C" w:rsidRDefault="00F9114C" w:rsidP="00F9114C"/>
          <w:p w14:paraId="73BCD8B3" w14:textId="77777777" w:rsidR="00F9114C" w:rsidRPr="00F9114C" w:rsidRDefault="00F9114C" w:rsidP="00F9114C"/>
          <w:p w14:paraId="505E5911" w14:textId="77777777" w:rsidR="00F9114C" w:rsidRPr="00F9114C" w:rsidRDefault="00F9114C" w:rsidP="00F9114C"/>
          <w:p w14:paraId="6047C8FF" w14:textId="77777777" w:rsidR="00F9114C" w:rsidRPr="00F9114C" w:rsidRDefault="00F9114C" w:rsidP="00F9114C"/>
          <w:p w14:paraId="6206FB5C" w14:textId="77777777" w:rsidR="00F9114C" w:rsidRPr="00F9114C" w:rsidRDefault="00F9114C" w:rsidP="00F9114C"/>
          <w:p w14:paraId="4CD6F977" w14:textId="77777777" w:rsidR="00F9114C" w:rsidRPr="00F9114C" w:rsidRDefault="00F9114C" w:rsidP="00F9114C"/>
          <w:p w14:paraId="58121293" w14:textId="77777777" w:rsidR="00F9114C" w:rsidRPr="00F9114C" w:rsidRDefault="00F9114C" w:rsidP="00F9114C"/>
          <w:p w14:paraId="13D50AD5" w14:textId="77777777" w:rsidR="00F9114C" w:rsidRPr="00F9114C" w:rsidRDefault="00F9114C" w:rsidP="00F9114C"/>
          <w:p w14:paraId="6969EFA5" w14:textId="77777777" w:rsidR="00F9114C" w:rsidRPr="00F9114C" w:rsidRDefault="00F9114C" w:rsidP="00F9114C"/>
          <w:p w14:paraId="58034427" w14:textId="77777777" w:rsidR="00F9114C" w:rsidRPr="00F9114C" w:rsidRDefault="00F9114C" w:rsidP="00F9114C"/>
          <w:p w14:paraId="785B5D23" w14:textId="77777777" w:rsidR="00F9114C" w:rsidRPr="00F9114C" w:rsidRDefault="00F9114C" w:rsidP="00F9114C"/>
          <w:p w14:paraId="7875C1A3" w14:textId="77777777" w:rsidR="00F9114C" w:rsidRPr="00F9114C" w:rsidRDefault="00F9114C" w:rsidP="00F9114C"/>
          <w:p w14:paraId="08BB1DDC" w14:textId="77777777" w:rsidR="00F9114C" w:rsidRDefault="00F9114C" w:rsidP="00F9114C"/>
          <w:p w14:paraId="663C89A5" w14:textId="77777777" w:rsidR="00F9114C" w:rsidRPr="00F9114C" w:rsidRDefault="00F9114C" w:rsidP="00F9114C"/>
          <w:p w14:paraId="3C1002A5" w14:textId="77777777" w:rsidR="00F9114C" w:rsidRPr="00F9114C" w:rsidRDefault="00F9114C" w:rsidP="00F9114C"/>
          <w:p w14:paraId="01C8F930" w14:textId="77777777" w:rsidR="00F9114C" w:rsidRPr="00F9114C" w:rsidRDefault="00F9114C" w:rsidP="00F9114C"/>
          <w:p w14:paraId="73B40E3D" w14:textId="77777777" w:rsidR="00F9114C" w:rsidRPr="00F9114C" w:rsidRDefault="00F9114C" w:rsidP="00F9114C"/>
          <w:p w14:paraId="72BD2457" w14:textId="77777777" w:rsidR="00F9114C" w:rsidRPr="00F9114C" w:rsidRDefault="00F9114C" w:rsidP="00F9114C"/>
          <w:p w14:paraId="67D2B6F2" w14:textId="77777777" w:rsidR="00F9114C" w:rsidRPr="00F9114C" w:rsidRDefault="00F9114C" w:rsidP="00F9114C"/>
          <w:p w14:paraId="286E26A3" w14:textId="77777777" w:rsidR="00F9114C" w:rsidRDefault="00F9114C" w:rsidP="00F9114C"/>
          <w:p w14:paraId="66A59A2F" w14:textId="77777777" w:rsidR="00F9114C" w:rsidRPr="00F9114C" w:rsidRDefault="00F9114C" w:rsidP="00F9114C"/>
          <w:p w14:paraId="29271C15" w14:textId="77777777" w:rsidR="00F9114C" w:rsidRPr="00F9114C" w:rsidRDefault="00F9114C" w:rsidP="00F9114C"/>
          <w:p w14:paraId="60CDC76C" w14:textId="77777777" w:rsidR="00F9114C" w:rsidRDefault="00F9114C" w:rsidP="00F9114C"/>
          <w:p w14:paraId="2D930A5D" w14:textId="77777777" w:rsidR="00F9114C" w:rsidRDefault="00F9114C" w:rsidP="00F9114C"/>
          <w:p w14:paraId="53A453A6" w14:textId="77777777" w:rsidR="00F9114C" w:rsidRDefault="00F9114C" w:rsidP="00F9114C">
            <w:pPr>
              <w:jc w:val="right"/>
            </w:pPr>
          </w:p>
          <w:p w14:paraId="384122BE" w14:textId="3D35CA72" w:rsidR="00F9114C" w:rsidRPr="00F9114C" w:rsidRDefault="00F9114C" w:rsidP="00F9114C">
            <w:pPr>
              <w:jc w:val="right"/>
            </w:pPr>
          </w:p>
        </w:tc>
      </w:tr>
      <w:tr w:rsidR="00381225" w14:paraId="03D35DC7" w14:textId="77777777" w:rsidTr="007E2981">
        <w:tc>
          <w:tcPr>
            <w:tcW w:w="4475" w:type="dxa"/>
          </w:tcPr>
          <w:p w14:paraId="096A7539" w14:textId="77777777" w:rsidR="00381225" w:rsidRPr="00376D3E" w:rsidRDefault="00381225" w:rsidP="00381225">
            <w:pPr>
              <w:spacing w:after="120"/>
              <w:ind w:firstLine="708"/>
              <w:jc w:val="center"/>
              <w:rPr>
                <w:rFonts w:ascii="Verdana" w:hAnsi="Verdana"/>
                <w:b/>
                <w:bCs/>
                <w:sz w:val="20"/>
                <w:szCs w:val="20"/>
              </w:rPr>
            </w:pPr>
            <w:r w:rsidRPr="00376D3E">
              <w:rPr>
                <w:rFonts w:ascii="Verdana" w:hAnsi="Verdana"/>
                <w:b/>
                <w:bCs/>
                <w:sz w:val="20"/>
                <w:szCs w:val="20"/>
              </w:rPr>
              <w:lastRenderedPageBreak/>
              <w:t xml:space="preserve">Décision 2. </w:t>
            </w:r>
            <w:r>
              <w:rPr>
                <w:rFonts w:ascii="Verdana" w:hAnsi="Verdana"/>
                <w:b/>
                <w:bCs/>
                <w:sz w:val="20"/>
                <w:szCs w:val="20"/>
              </w:rPr>
              <w:t>Environnement et climat</w:t>
            </w:r>
          </w:p>
          <w:p w14:paraId="541FC480" w14:textId="77777777" w:rsidR="00381225" w:rsidRDefault="00381225" w:rsidP="00381225">
            <w:pPr>
              <w:contextualSpacing/>
              <w:rPr>
                <w:rFonts w:ascii="Verdana" w:hAnsi="Verdana"/>
                <w:sz w:val="20"/>
                <w:szCs w:val="20"/>
              </w:rPr>
            </w:pPr>
            <w:r w:rsidRPr="000268AF">
              <w:rPr>
                <w:rFonts w:ascii="Verdana" w:hAnsi="Verdana"/>
                <w:sz w:val="20"/>
                <w:szCs w:val="20"/>
              </w:rPr>
              <w:t xml:space="preserve">Le Conseil des ministres : </w:t>
            </w:r>
          </w:p>
          <w:p w14:paraId="61C25690" w14:textId="77777777" w:rsidR="00381225" w:rsidRPr="000268AF" w:rsidRDefault="00381225" w:rsidP="00381225">
            <w:pPr>
              <w:pStyle w:val="Paragraphedeliste"/>
              <w:numPr>
                <w:ilvl w:val="0"/>
                <w:numId w:val="2"/>
              </w:numPr>
              <w:spacing w:after="120"/>
              <w:contextualSpacing w:val="0"/>
              <w:jc w:val="both"/>
              <w:rPr>
                <w:rFonts w:ascii="Verdana" w:hAnsi="Verdana"/>
                <w:sz w:val="20"/>
                <w:szCs w:val="20"/>
              </w:rPr>
            </w:pPr>
            <w:r w:rsidRPr="000268AF">
              <w:rPr>
                <w:rFonts w:ascii="Verdana" w:hAnsi="Verdana"/>
                <w:sz w:val="20"/>
                <w:szCs w:val="20"/>
              </w:rPr>
              <w:t xml:space="preserve">Félicite le Secrétariat général pour ses efforts de mobilisation des ressources permettant d’accroître le portefeuille de projets et </w:t>
            </w:r>
            <w:r>
              <w:rPr>
                <w:rFonts w:ascii="Verdana" w:hAnsi="Verdana"/>
                <w:sz w:val="20"/>
                <w:szCs w:val="20"/>
              </w:rPr>
              <w:t>d’</w:t>
            </w:r>
            <w:r w:rsidRPr="000268AF">
              <w:rPr>
                <w:rFonts w:ascii="Verdana" w:hAnsi="Verdana"/>
                <w:sz w:val="20"/>
                <w:szCs w:val="20"/>
              </w:rPr>
              <w:t xml:space="preserve">initiatives dans les domaines de la gestion durable des écosystèmes et de l’adaptation aux effets du dérèglement climatique ; </w:t>
            </w:r>
          </w:p>
          <w:p w14:paraId="777FBA03" w14:textId="77777777" w:rsidR="00381225" w:rsidRDefault="00381225" w:rsidP="00381225">
            <w:pPr>
              <w:pStyle w:val="Paragraphedeliste"/>
              <w:numPr>
                <w:ilvl w:val="0"/>
                <w:numId w:val="2"/>
              </w:numPr>
              <w:spacing w:after="120"/>
              <w:contextualSpacing w:val="0"/>
              <w:jc w:val="both"/>
              <w:rPr>
                <w:rFonts w:ascii="Verdana" w:hAnsi="Verdana"/>
                <w:sz w:val="20"/>
                <w:szCs w:val="20"/>
              </w:rPr>
            </w:pPr>
            <w:r w:rsidRPr="000268AF">
              <w:rPr>
                <w:rFonts w:ascii="Verdana" w:hAnsi="Verdana"/>
                <w:sz w:val="20"/>
                <w:szCs w:val="20"/>
              </w:rPr>
              <w:t>Note l’importance de la transmission, dans les délais requis, des documents nécessaires à la levée des conditions suspensives de la convention de financement du projet Hydromet avec le Fonds vert pour le climat ;</w:t>
            </w:r>
          </w:p>
          <w:p w14:paraId="44C1A0B2" w14:textId="77777777" w:rsidR="00381225" w:rsidRDefault="00381225" w:rsidP="00381225">
            <w:pPr>
              <w:pStyle w:val="Paragraphedeliste"/>
              <w:numPr>
                <w:ilvl w:val="0"/>
                <w:numId w:val="2"/>
              </w:numPr>
              <w:spacing w:after="120"/>
              <w:contextualSpacing w:val="0"/>
              <w:jc w:val="both"/>
              <w:rPr>
                <w:rFonts w:ascii="Verdana" w:hAnsi="Verdana"/>
                <w:sz w:val="20"/>
                <w:szCs w:val="20"/>
              </w:rPr>
            </w:pPr>
            <w:r w:rsidRPr="000268AF">
              <w:rPr>
                <w:rFonts w:ascii="Verdana" w:hAnsi="Verdana"/>
                <w:sz w:val="20"/>
                <w:szCs w:val="20"/>
              </w:rPr>
              <w:t xml:space="preserve">Invite le Secrétariat général à tenir la première rencontre du groupe de travail sur la biodiversité dans les meilleurs délais ; </w:t>
            </w:r>
          </w:p>
          <w:p w14:paraId="3B6C4284" w14:textId="2EE5E652" w:rsidR="00381225" w:rsidRPr="00381225" w:rsidRDefault="00381225" w:rsidP="00381225">
            <w:pPr>
              <w:pStyle w:val="Paragraphedeliste"/>
              <w:numPr>
                <w:ilvl w:val="0"/>
                <w:numId w:val="2"/>
              </w:numPr>
              <w:spacing w:after="120"/>
              <w:contextualSpacing w:val="0"/>
              <w:jc w:val="both"/>
              <w:rPr>
                <w:rFonts w:ascii="Verdana" w:hAnsi="Verdana"/>
                <w:sz w:val="20"/>
                <w:szCs w:val="20"/>
              </w:rPr>
            </w:pPr>
            <w:r w:rsidRPr="00381225">
              <w:rPr>
                <w:rFonts w:ascii="Verdana" w:hAnsi="Verdana"/>
                <w:sz w:val="20"/>
                <w:szCs w:val="20"/>
              </w:rPr>
              <w:t>Remercie les partenaires techniques et financiers pour leurs appuis dans la mise en œuvre d’activités structurantes et porteuses pour le développement durable en Indianocéanie.</w:t>
            </w:r>
          </w:p>
        </w:tc>
        <w:tc>
          <w:tcPr>
            <w:tcW w:w="1623" w:type="dxa"/>
          </w:tcPr>
          <w:p w14:paraId="30AD57C2" w14:textId="77777777" w:rsidR="00381225" w:rsidRDefault="00381225"/>
          <w:p w14:paraId="4340A169" w14:textId="486E911D" w:rsidR="007E2981" w:rsidRDefault="007E2981">
            <w:r>
              <w:t>GB</w:t>
            </w:r>
          </w:p>
        </w:tc>
        <w:tc>
          <w:tcPr>
            <w:tcW w:w="5926" w:type="dxa"/>
          </w:tcPr>
          <w:p w14:paraId="602B2BC7" w14:textId="77777777" w:rsidR="00210401" w:rsidRDefault="002632BF">
            <w:r>
              <w:t>2b.</w:t>
            </w:r>
          </w:p>
          <w:p w14:paraId="4AA9E1A1" w14:textId="31297EB3" w:rsidR="00381225" w:rsidRDefault="002632BF" w:rsidP="00210401">
            <w:pPr>
              <w:pStyle w:val="Paragraphedeliste"/>
              <w:numPr>
                <w:ilvl w:val="0"/>
                <w:numId w:val="11"/>
              </w:numPr>
            </w:pPr>
            <w:r>
              <w:t xml:space="preserve"> </w:t>
            </w:r>
            <w:r w:rsidR="00441694">
              <w:t>Les échanges entre le</w:t>
            </w:r>
            <w:r>
              <w:t xml:space="preserve"> Secr</w:t>
            </w:r>
            <w:r w:rsidR="0094212E">
              <w:t>é</w:t>
            </w:r>
            <w:r>
              <w:t xml:space="preserve">tariat </w:t>
            </w:r>
            <w:r w:rsidR="0094212E">
              <w:t>général</w:t>
            </w:r>
            <w:r>
              <w:t xml:space="preserve"> et les </w:t>
            </w:r>
            <w:r w:rsidR="00441694">
              <w:t xml:space="preserve">pays </w:t>
            </w:r>
            <w:r w:rsidR="00210401">
              <w:t>bénéficiaires sont</w:t>
            </w:r>
            <w:r w:rsidR="00441694">
              <w:t xml:space="preserve"> en cours dans le cadre de la </w:t>
            </w:r>
            <w:r w:rsidR="00210401">
              <w:t>préparation du</w:t>
            </w:r>
            <w:r w:rsidR="00441694">
              <w:t xml:space="preserve"> « Project Agreement ». Le Secr</w:t>
            </w:r>
            <w:r w:rsidR="0094212E">
              <w:t>é</w:t>
            </w:r>
            <w:r w:rsidR="00441694">
              <w:t xml:space="preserve">tariat général bénéficie d’un appui d’une consultante </w:t>
            </w:r>
            <w:r w:rsidR="0094212E">
              <w:t>à</w:t>
            </w:r>
            <w:r w:rsidR="00441694">
              <w:t xml:space="preserve"> courte terme pour la finalisation de </w:t>
            </w:r>
            <w:r w:rsidR="0094212E">
              <w:t>c</w:t>
            </w:r>
            <w:r w:rsidR="00441694">
              <w:t xml:space="preserve">es accords ;   </w:t>
            </w:r>
            <w:r w:rsidR="00210401">
              <w:t>Des réunions virtuelle</w:t>
            </w:r>
            <w:r w:rsidR="0094212E">
              <w:t>s</w:t>
            </w:r>
            <w:r w:rsidR="00210401">
              <w:t xml:space="preserve"> avec chaque pays ont été organisé</w:t>
            </w:r>
            <w:r w:rsidR="0094212E">
              <w:t>es</w:t>
            </w:r>
            <w:r w:rsidR="00210401">
              <w:t xml:space="preserve"> dans la préparation de ses accords.</w:t>
            </w:r>
          </w:p>
          <w:p w14:paraId="01D18D8F" w14:textId="7AA58054" w:rsidR="00210401" w:rsidRDefault="00210401" w:rsidP="00210401">
            <w:pPr>
              <w:pStyle w:val="Paragraphedeliste"/>
              <w:numPr>
                <w:ilvl w:val="0"/>
                <w:numId w:val="11"/>
              </w:numPr>
            </w:pPr>
            <w:r>
              <w:t xml:space="preserve">Les lettres d’engagement de deux pays sur la durée de 15ans après la fin du projet sont encore en attente. </w:t>
            </w:r>
          </w:p>
          <w:p w14:paraId="09721FF2" w14:textId="77777777" w:rsidR="00D36F2F" w:rsidRDefault="00D36F2F"/>
          <w:p w14:paraId="10349BAA" w14:textId="4530F4EE" w:rsidR="00D36F2F" w:rsidRDefault="00C53A46" w:rsidP="00D36F2F">
            <w:pPr>
              <w:jc w:val="both"/>
            </w:pPr>
            <w:r>
              <w:t xml:space="preserve">2c. </w:t>
            </w:r>
          </w:p>
          <w:p w14:paraId="023138DD" w14:textId="77777777" w:rsidR="00493BBA" w:rsidRDefault="00493BBA" w:rsidP="00D36F2F">
            <w:pPr>
              <w:jc w:val="both"/>
            </w:pPr>
          </w:p>
          <w:p w14:paraId="3790E17E" w14:textId="147D4B2A" w:rsidR="00D36F2F" w:rsidRDefault="00C53A46" w:rsidP="009624A5">
            <w:pPr>
              <w:jc w:val="both"/>
            </w:pPr>
            <w:r>
              <w:t>Une première réunion de ce groupe de travail a été organisé</w:t>
            </w:r>
            <w:r w:rsidR="009624A5">
              <w:t>e</w:t>
            </w:r>
            <w:r>
              <w:t xml:space="preserve"> en début de janvier </w:t>
            </w:r>
            <w:r w:rsidR="00762CF1">
              <w:t>2022.</w:t>
            </w:r>
            <w:r>
              <w:t xml:space="preserve"> Pour donner </w:t>
            </w:r>
            <w:r w:rsidR="00D36F2F">
              <w:t>suite</w:t>
            </w:r>
            <w:r w:rsidR="00EE19DE">
              <w:t xml:space="preserve"> et en préparation pour la prochaine rencontre programme à la fin de ce semestre</w:t>
            </w:r>
            <w:r w:rsidR="00D36F2F">
              <w:t>,</w:t>
            </w:r>
            <w:r>
              <w:t xml:space="preserve"> le groupe de travail s’est mis d’accord </w:t>
            </w:r>
            <w:r w:rsidR="00D36F2F">
              <w:t>pour :</w:t>
            </w:r>
          </w:p>
          <w:p w14:paraId="0708593E" w14:textId="77777777" w:rsidR="00D36F2F" w:rsidRDefault="00D36F2F" w:rsidP="00D36F2F">
            <w:pPr>
              <w:pStyle w:val="Paragraphedeliste"/>
              <w:jc w:val="both"/>
            </w:pPr>
            <w:r>
              <w:t>- continuer</w:t>
            </w:r>
            <w:r w:rsidR="00C53A46">
              <w:t xml:space="preserve"> </w:t>
            </w:r>
            <w:r>
              <w:t>les travaux dans un premier temps en distanciel</w:t>
            </w:r>
          </w:p>
          <w:p w14:paraId="360E7A87" w14:textId="7D4487EB" w:rsidR="00EE19DE" w:rsidRDefault="00D36F2F" w:rsidP="00D36F2F">
            <w:pPr>
              <w:pStyle w:val="Paragraphedeliste"/>
              <w:jc w:val="both"/>
            </w:pPr>
            <w:r>
              <w:t>- poursui</w:t>
            </w:r>
            <w:r w:rsidR="009624A5">
              <w:t>vre</w:t>
            </w:r>
            <w:r>
              <w:t xml:space="preserve"> </w:t>
            </w:r>
            <w:r w:rsidR="00C53A46">
              <w:t xml:space="preserve">les échanges en bilatéral </w:t>
            </w:r>
            <w:proofErr w:type="spellStart"/>
            <w:r>
              <w:t>c.t.d</w:t>
            </w:r>
            <w:proofErr w:type="spellEnd"/>
            <w:r>
              <w:t>,</w:t>
            </w:r>
            <w:r w:rsidR="00C53A46">
              <w:t xml:space="preserve"> entre le </w:t>
            </w:r>
            <w:r w:rsidR="009624A5">
              <w:t>Secrétariat</w:t>
            </w:r>
            <w:r w:rsidR="00C53A46">
              <w:t xml:space="preserve"> général et les personnes</w:t>
            </w:r>
            <w:r w:rsidR="009624A5">
              <w:t>-</w:t>
            </w:r>
            <w:r w:rsidR="00C53A46">
              <w:t xml:space="preserve">ressources de chaque </w:t>
            </w:r>
            <w:r w:rsidR="00EE19DE">
              <w:t>pays pour la collecte des informations qui seront utile</w:t>
            </w:r>
            <w:r w:rsidR="0094212E">
              <w:t>s</w:t>
            </w:r>
            <w:r w:rsidR="00EE19DE">
              <w:t xml:space="preserve"> au développement du mécanisme régional ; </w:t>
            </w:r>
          </w:p>
          <w:p w14:paraId="217D22B8" w14:textId="2952E225" w:rsidR="00C53A46" w:rsidRDefault="00EE19DE" w:rsidP="00D36F2F">
            <w:pPr>
              <w:pStyle w:val="Paragraphedeliste"/>
              <w:jc w:val="both"/>
            </w:pPr>
            <w:r>
              <w:t xml:space="preserve">- Seychelles confirme </w:t>
            </w:r>
            <w:r w:rsidR="00762CF1">
              <w:t>ses intérêts</w:t>
            </w:r>
            <w:r>
              <w:t xml:space="preserve"> pour être le porte-drapeau de </w:t>
            </w:r>
            <w:r w:rsidR="00762CF1">
              <w:t>ce projet</w:t>
            </w:r>
            <w:r>
              <w:t>.</w:t>
            </w:r>
            <w:r w:rsidR="00C53A46">
              <w:t xml:space="preserve">   </w:t>
            </w:r>
          </w:p>
        </w:tc>
        <w:tc>
          <w:tcPr>
            <w:tcW w:w="3364" w:type="dxa"/>
          </w:tcPr>
          <w:p w14:paraId="3A2D462D" w14:textId="77777777" w:rsidR="00762CF1" w:rsidRDefault="00762CF1" w:rsidP="00762CF1">
            <w:r>
              <w:t xml:space="preserve">2b. </w:t>
            </w:r>
          </w:p>
          <w:p w14:paraId="5A07BC2F" w14:textId="3F906A2C" w:rsidR="00210401" w:rsidRDefault="002632BF" w:rsidP="00762CF1">
            <w:pPr>
              <w:pStyle w:val="Paragraphedeliste"/>
              <w:numPr>
                <w:ilvl w:val="0"/>
                <w:numId w:val="11"/>
              </w:numPr>
            </w:pPr>
            <w:r>
              <w:t xml:space="preserve">Toutes les conditions ne sont pas encore réunies pour lever les conditions suspensives. </w:t>
            </w:r>
          </w:p>
          <w:p w14:paraId="48337863" w14:textId="1F37DEAD" w:rsidR="00210401" w:rsidRDefault="002632BF" w:rsidP="00210401">
            <w:pPr>
              <w:pStyle w:val="Paragraphedeliste"/>
              <w:numPr>
                <w:ilvl w:val="0"/>
                <w:numId w:val="11"/>
              </w:numPr>
            </w:pPr>
            <w:r>
              <w:t>L</w:t>
            </w:r>
            <w:r w:rsidR="0094212E">
              <w:t>’</w:t>
            </w:r>
            <w:r>
              <w:t xml:space="preserve">AFD </w:t>
            </w:r>
            <w:r w:rsidR="0094212E">
              <w:t>a pu</w:t>
            </w:r>
            <w:r>
              <w:t xml:space="preserve"> obtenir une prolongation pour déposer les documents auprès du Fond</w:t>
            </w:r>
            <w:r w:rsidR="0094212E">
              <w:t>s</w:t>
            </w:r>
            <w:r>
              <w:t xml:space="preserve"> Vert jusqu’au début du mois de mars. </w:t>
            </w:r>
          </w:p>
          <w:p w14:paraId="3215E83C" w14:textId="20E549D6" w:rsidR="00EE19DE" w:rsidRDefault="00210401" w:rsidP="00210401">
            <w:pPr>
              <w:pStyle w:val="Paragraphedeliste"/>
              <w:numPr>
                <w:ilvl w:val="0"/>
                <w:numId w:val="11"/>
              </w:numPr>
            </w:pPr>
            <w:r>
              <w:t xml:space="preserve">Ces </w:t>
            </w:r>
            <w:r w:rsidR="00C53A46">
              <w:t>lettres d’engagement</w:t>
            </w:r>
            <w:r>
              <w:t xml:space="preserve"> font partie intégra</w:t>
            </w:r>
            <w:r w:rsidR="0094212E">
              <w:t>nte</w:t>
            </w:r>
            <w:r>
              <w:t xml:space="preserve"> des documents nécessaires </w:t>
            </w:r>
            <w:r w:rsidR="0094212E">
              <w:t>à la</w:t>
            </w:r>
            <w:r>
              <w:t xml:space="preserve"> levée des conditions suspensives</w:t>
            </w:r>
          </w:p>
          <w:p w14:paraId="1823A315" w14:textId="77777777" w:rsidR="00762CF1" w:rsidRDefault="00762CF1" w:rsidP="00762CF1">
            <w:pPr>
              <w:pStyle w:val="Paragraphedeliste"/>
            </w:pPr>
          </w:p>
          <w:p w14:paraId="58A9C40F" w14:textId="5858CB53" w:rsidR="00381225" w:rsidRDefault="00762CF1" w:rsidP="00762CF1">
            <w:r>
              <w:t xml:space="preserve">2c. </w:t>
            </w:r>
            <w:r w:rsidR="00EE19DE">
              <w:t xml:space="preserve"> Les représentants de l’Union des Comores et de Madagascar n’ont pas p</w:t>
            </w:r>
            <w:r w:rsidR="0094212E">
              <w:t xml:space="preserve">u </w:t>
            </w:r>
            <w:proofErr w:type="gramStart"/>
            <w:r w:rsidR="00EE19DE">
              <w:t>participé</w:t>
            </w:r>
            <w:proofErr w:type="gramEnd"/>
          </w:p>
        </w:tc>
      </w:tr>
      <w:tr w:rsidR="007E2981" w14:paraId="1EEA5A02" w14:textId="77777777" w:rsidTr="00CC7FD0">
        <w:tc>
          <w:tcPr>
            <w:tcW w:w="15388" w:type="dxa"/>
            <w:gridSpan w:val="4"/>
          </w:tcPr>
          <w:p w14:paraId="3468434B" w14:textId="2D7A6179" w:rsidR="007E2981" w:rsidRDefault="007E2981">
            <w:r>
              <w:rPr>
                <w:rFonts w:ascii="Verdana" w:hAnsi="Verdana"/>
                <w:b/>
                <w:bCs/>
                <w:color w:val="ED7D31" w:themeColor="accent2"/>
                <w:sz w:val="20"/>
                <w:szCs w:val="20"/>
              </w:rPr>
              <w:t>2</w:t>
            </w:r>
            <w:r w:rsidRPr="00376D3E">
              <w:rPr>
                <w:rFonts w:ascii="Verdana" w:hAnsi="Verdana"/>
                <w:b/>
                <w:bCs/>
                <w:color w:val="ED7D31" w:themeColor="accent2"/>
                <w:sz w:val="20"/>
                <w:szCs w:val="20"/>
              </w:rPr>
              <w:t xml:space="preserve"> – </w:t>
            </w:r>
            <w:r>
              <w:rPr>
                <w:rFonts w:ascii="Verdana" w:hAnsi="Verdana"/>
                <w:b/>
                <w:bCs/>
                <w:color w:val="ED7D31" w:themeColor="accent2"/>
                <w:sz w:val="20"/>
                <w:szCs w:val="20"/>
              </w:rPr>
              <w:t>Les défis de la relance</w:t>
            </w:r>
          </w:p>
        </w:tc>
      </w:tr>
      <w:tr w:rsidR="00381225" w14:paraId="4321FC72" w14:textId="77777777" w:rsidTr="007E2981">
        <w:tc>
          <w:tcPr>
            <w:tcW w:w="4475" w:type="dxa"/>
          </w:tcPr>
          <w:p w14:paraId="5A9925F5" w14:textId="77777777" w:rsidR="00381225" w:rsidRPr="00376D3E" w:rsidRDefault="00381225" w:rsidP="00381225">
            <w:pPr>
              <w:spacing w:after="120"/>
              <w:ind w:firstLine="708"/>
              <w:jc w:val="center"/>
              <w:rPr>
                <w:rFonts w:ascii="Verdana" w:hAnsi="Verdana"/>
                <w:b/>
                <w:bCs/>
                <w:sz w:val="20"/>
                <w:szCs w:val="20"/>
              </w:rPr>
            </w:pPr>
            <w:r w:rsidRPr="00376D3E">
              <w:rPr>
                <w:rFonts w:ascii="Verdana" w:hAnsi="Verdana"/>
                <w:b/>
                <w:bCs/>
                <w:sz w:val="20"/>
                <w:szCs w:val="20"/>
              </w:rPr>
              <w:t xml:space="preserve">Décision 3. </w:t>
            </w:r>
            <w:r>
              <w:rPr>
                <w:rFonts w:ascii="Verdana" w:hAnsi="Verdana"/>
                <w:b/>
                <w:bCs/>
                <w:sz w:val="20"/>
                <w:szCs w:val="20"/>
              </w:rPr>
              <w:t>Relance post-covid et coopération économique</w:t>
            </w:r>
          </w:p>
          <w:p w14:paraId="40520118" w14:textId="77777777" w:rsidR="00381225" w:rsidRDefault="00381225" w:rsidP="00381225">
            <w:pPr>
              <w:autoSpaceDE w:val="0"/>
              <w:autoSpaceDN w:val="0"/>
              <w:jc w:val="both"/>
              <w:rPr>
                <w:rFonts w:ascii="Verdana" w:hAnsi="Verdana"/>
                <w:sz w:val="20"/>
                <w:szCs w:val="20"/>
                <w:lang w:val="fr-RE"/>
              </w:rPr>
            </w:pPr>
            <w:r w:rsidRPr="00E968D3">
              <w:rPr>
                <w:rFonts w:ascii="Verdana" w:hAnsi="Verdana"/>
                <w:sz w:val="20"/>
                <w:szCs w:val="20"/>
                <w:lang w:val="fr-RE"/>
              </w:rPr>
              <w:t xml:space="preserve">Le Conseil des ministres : </w:t>
            </w:r>
          </w:p>
          <w:p w14:paraId="2500CE70" w14:textId="77777777" w:rsidR="00381225" w:rsidRPr="00E968D3" w:rsidRDefault="00381225" w:rsidP="00381225">
            <w:pPr>
              <w:autoSpaceDE w:val="0"/>
              <w:autoSpaceDN w:val="0"/>
              <w:jc w:val="both"/>
              <w:rPr>
                <w:rFonts w:ascii="Verdana" w:hAnsi="Verdana"/>
                <w:sz w:val="20"/>
                <w:szCs w:val="20"/>
                <w:lang w:val="fr-RE"/>
              </w:rPr>
            </w:pPr>
          </w:p>
          <w:p w14:paraId="2AFC5490" w14:textId="77777777" w:rsidR="00381225" w:rsidRPr="00E968D3" w:rsidRDefault="00381225" w:rsidP="00381225">
            <w:pPr>
              <w:pStyle w:val="Paragraphedeliste"/>
              <w:numPr>
                <w:ilvl w:val="1"/>
                <w:numId w:val="3"/>
              </w:numPr>
              <w:tabs>
                <w:tab w:val="clear" w:pos="1440"/>
                <w:tab w:val="num" w:pos="851"/>
              </w:tabs>
              <w:spacing w:after="120"/>
              <w:ind w:left="851" w:hanging="567"/>
              <w:contextualSpacing w:val="0"/>
              <w:jc w:val="both"/>
              <w:rPr>
                <w:rFonts w:ascii="Verdana" w:hAnsi="Verdana"/>
                <w:sz w:val="20"/>
                <w:szCs w:val="20"/>
                <w:lang w:val="fr-RE"/>
              </w:rPr>
            </w:pPr>
            <w:r w:rsidRPr="00E968D3">
              <w:rPr>
                <w:rFonts w:ascii="Verdana" w:hAnsi="Verdana"/>
                <w:sz w:val="20"/>
                <w:szCs w:val="20"/>
                <w:lang w:val="fr-RE"/>
              </w:rPr>
              <w:t xml:space="preserve">Demande au Secrétariat général de proposer un cadre régional de concertation et d’action en faveur de la coopération économique en capitalisant sur le Comité technique régional sur la connectivité maritime dont le mandat pourrait être élargi afin d’intégrer des représentants d’autres secteurs économiques. Ce groupe de travail devra notamment : </w:t>
            </w:r>
          </w:p>
          <w:p w14:paraId="2D44E2CB" w14:textId="77777777" w:rsidR="00381225" w:rsidRPr="00E968D3" w:rsidRDefault="00381225" w:rsidP="00381225">
            <w:pPr>
              <w:numPr>
                <w:ilvl w:val="1"/>
                <w:numId w:val="5"/>
              </w:numPr>
              <w:tabs>
                <w:tab w:val="clear" w:pos="1440"/>
              </w:tabs>
              <w:spacing w:after="120"/>
              <w:jc w:val="both"/>
              <w:rPr>
                <w:rFonts w:ascii="Verdana" w:hAnsi="Verdana" w:cs="Arial"/>
                <w:sz w:val="20"/>
                <w:szCs w:val="20"/>
                <w:lang w:val="fr-RE"/>
              </w:rPr>
            </w:pPr>
            <w:r w:rsidRPr="00E968D3">
              <w:rPr>
                <w:rFonts w:ascii="Verdana" w:hAnsi="Verdana" w:cs="Arial"/>
                <w:sz w:val="20"/>
                <w:szCs w:val="20"/>
                <w:lang w:val="fr-RE"/>
              </w:rPr>
              <w:t>Examiner les conditions permettant de développer et de renforcer les échanges économiques et commerciaux entre les États membres de la COI ;</w:t>
            </w:r>
          </w:p>
          <w:p w14:paraId="46BD4E5A" w14:textId="77777777" w:rsidR="00381225" w:rsidRPr="00E968D3" w:rsidRDefault="00381225" w:rsidP="00381225">
            <w:pPr>
              <w:numPr>
                <w:ilvl w:val="1"/>
                <w:numId w:val="5"/>
              </w:numPr>
              <w:tabs>
                <w:tab w:val="clear" w:pos="1440"/>
              </w:tabs>
              <w:spacing w:after="120"/>
              <w:jc w:val="both"/>
              <w:rPr>
                <w:rFonts w:ascii="Verdana" w:hAnsi="Verdana" w:cs="Arial"/>
                <w:sz w:val="20"/>
                <w:szCs w:val="20"/>
                <w:lang w:val="fr-RE"/>
              </w:rPr>
            </w:pPr>
            <w:r w:rsidRPr="00E968D3">
              <w:rPr>
                <w:rFonts w:ascii="Verdana" w:hAnsi="Verdana" w:cs="Arial"/>
                <w:sz w:val="20"/>
                <w:szCs w:val="20"/>
                <w:lang w:val="fr-RE"/>
              </w:rPr>
              <w:t xml:space="preserve">Préciser les outils nécessaires à cette démarche et définir les modalités de partage d’information ; </w:t>
            </w:r>
          </w:p>
          <w:p w14:paraId="6773ACE8" w14:textId="77777777" w:rsidR="00381225" w:rsidRPr="00E968D3" w:rsidRDefault="00381225" w:rsidP="00381225">
            <w:pPr>
              <w:numPr>
                <w:ilvl w:val="1"/>
                <w:numId w:val="5"/>
              </w:numPr>
              <w:tabs>
                <w:tab w:val="clear" w:pos="1440"/>
              </w:tabs>
              <w:spacing w:after="120"/>
              <w:jc w:val="both"/>
              <w:rPr>
                <w:rFonts w:ascii="Verdana" w:hAnsi="Verdana" w:cs="Arial"/>
                <w:sz w:val="20"/>
                <w:szCs w:val="20"/>
                <w:lang w:val="fr-RE"/>
              </w:rPr>
            </w:pPr>
            <w:r w:rsidRPr="00E968D3">
              <w:rPr>
                <w:rFonts w:ascii="Verdana" w:hAnsi="Verdana" w:cs="Arial"/>
                <w:sz w:val="20"/>
                <w:szCs w:val="20"/>
                <w:lang w:val="fr-RE"/>
              </w:rPr>
              <w:t xml:space="preserve">Identifier les ressources et moyens nécessaires à ces travaux auprès des partenaires au développement ; </w:t>
            </w:r>
          </w:p>
          <w:p w14:paraId="5BBD34CB" w14:textId="77777777" w:rsidR="00381225" w:rsidRPr="00E968D3" w:rsidRDefault="00381225" w:rsidP="00381225">
            <w:pPr>
              <w:numPr>
                <w:ilvl w:val="1"/>
                <w:numId w:val="5"/>
              </w:numPr>
              <w:tabs>
                <w:tab w:val="clear" w:pos="1440"/>
              </w:tabs>
              <w:spacing w:after="120"/>
              <w:jc w:val="both"/>
              <w:rPr>
                <w:rFonts w:ascii="Verdana" w:hAnsi="Verdana" w:cs="Arial"/>
                <w:sz w:val="20"/>
                <w:szCs w:val="20"/>
                <w:lang w:val="fr-RE"/>
              </w:rPr>
            </w:pPr>
            <w:r w:rsidRPr="00E968D3">
              <w:rPr>
                <w:rFonts w:ascii="Verdana" w:hAnsi="Verdana" w:cs="Arial"/>
                <w:sz w:val="20"/>
                <w:szCs w:val="20"/>
                <w:lang w:val="fr-RE"/>
              </w:rPr>
              <w:t>Définir les mesures appropriées à adopter et à mettre en œuvre pour y parvenir en proposant, en particulier, les secteurs d’activité qui pourraient être concernés.</w:t>
            </w:r>
          </w:p>
          <w:p w14:paraId="049F3AE6" w14:textId="77777777" w:rsidR="00381225" w:rsidRPr="00E968D3" w:rsidRDefault="00381225" w:rsidP="00381225">
            <w:pPr>
              <w:pStyle w:val="Paragraphedeliste"/>
              <w:numPr>
                <w:ilvl w:val="0"/>
                <w:numId w:val="4"/>
              </w:numPr>
              <w:spacing w:after="120"/>
              <w:ind w:left="851" w:hanging="567"/>
              <w:contextualSpacing w:val="0"/>
              <w:jc w:val="both"/>
              <w:rPr>
                <w:rFonts w:ascii="Verdana" w:hAnsi="Verdana"/>
                <w:color w:val="000000"/>
                <w:sz w:val="20"/>
                <w:szCs w:val="20"/>
                <w:lang w:val="fr-RE"/>
              </w:rPr>
            </w:pPr>
            <w:r w:rsidRPr="00E968D3">
              <w:rPr>
                <w:rFonts w:ascii="Verdana" w:hAnsi="Verdana"/>
                <w:color w:val="000000"/>
                <w:sz w:val="20"/>
                <w:szCs w:val="20"/>
                <w:lang w:val="fr-RE"/>
              </w:rPr>
              <w:t xml:space="preserve">Encourage le Secrétariat général à poursuivre les discussions avec </w:t>
            </w:r>
            <w:r w:rsidRPr="00E968D3">
              <w:rPr>
                <w:rFonts w:ascii="Verdana" w:hAnsi="Verdana"/>
                <w:color w:val="000000"/>
                <w:sz w:val="20"/>
                <w:szCs w:val="20"/>
                <w:lang w:val="fr-RE"/>
              </w:rPr>
              <w:lastRenderedPageBreak/>
              <w:t xml:space="preserve">les partenaires au développement pour la mise en œuvre d’activités en faveur de la connectivité régionale, notamment avec le Japon et l’Union européenne pour l’amélioration de la connectivité, processus clé pour l’intégration économique avec l’Afrique continentale ; </w:t>
            </w:r>
          </w:p>
          <w:p w14:paraId="6BA3334A" w14:textId="77777777" w:rsidR="00381225" w:rsidRPr="00E968D3" w:rsidRDefault="00381225" w:rsidP="00381225">
            <w:pPr>
              <w:pStyle w:val="Paragraphedeliste"/>
              <w:numPr>
                <w:ilvl w:val="0"/>
                <w:numId w:val="4"/>
              </w:numPr>
              <w:spacing w:after="120"/>
              <w:ind w:left="851" w:hanging="567"/>
              <w:contextualSpacing w:val="0"/>
              <w:jc w:val="both"/>
              <w:rPr>
                <w:rFonts w:ascii="Verdana" w:hAnsi="Verdana"/>
                <w:color w:val="000000"/>
                <w:sz w:val="20"/>
                <w:szCs w:val="20"/>
                <w:lang w:val="fr-RE"/>
              </w:rPr>
            </w:pPr>
            <w:r w:rsidRPr="00E968D3">
              <w:rPr>
                <w:rFonts w:ascii="Verdana" w:hAnsi="Verdana"/>
                <w:color w:val="000000"/>
                <w:sz w:val="20"/>
                <w:szCs w:val="20"/>
                <w:lang w:val="fr-RE"/>
              </w:rPr>
              <w:t>Invite le Secrétariat général à communiquer aux États membres le calendrier des prochaines réunions des comités des aviations civiles et des transporteurs aériens ;</w:t>
            </w:r>
          </w:p>
          <w:p w14:paraId="6EF37E63" w14:textId="77777777" w:rsidR="00381225" w:rsidRDefault="00381225" w:rsidP="00381225">
            <w:pPr>
              <w:pStyle w:val="Paragraphedeliste"/>
              <w:numPr>
                <w:ilvl w:val="0"/>
                <w:numId w:val="4"/>
              </w:numPr>
              <w:spacing w:after="120"/>
              <w:ind w:left="851" w:hanging="567"/>
              <w:contextualSpacing w:val="0"/>
              <w:jc w:val="both"/>
              <w:rPr>
                <w:rFonts w:ascii="Verdana" w:hAnsi="Verdana"/>
                <w:color w:val="000000"/>
                <w:sz w:val="20"/>
                <w:szCs w:val="20"/>
                <w:lang w:val="fr-RE"/>
              </w:rPr>
            </w:pPr>
            <w:r w:rsidRPr="00E968D3">
              <w:rPr>
                <w:rFonts w:ascii="Verdana" w:hAnsi="Verdana"/>
                <w:color w:val="000000"/>
                <w:sz w:val="20"/>
                <w:szCs w:val="20"/>
                <w:lang w:val="fr-RE"/>
              </w:rPr>
              <w:t xml:space="preserve">Demande au Secrétariat général de formuler un projet pour la relance économique régionale qui inclut le plan d’action régional sur l’économie bleue et la question de la connectivité régionale ; </w:t>
            </w:r>
          </w:p>
          <w:p w14:paraId="0E449A5F" w14:textId="77777777" w:rsidR="00381225" w:rsidRPr="00C13B32" w:rsidRDefault="00381225" w:rsidP="00381225">
            <w:pPr>
              <w:pStyle w:val="Paragraphedeliste"/>
              <w:numPr>
                <w:ilvl w:val="0"/>
                <w:numId w:val="4"/>
              </w:numPr>
              <w:spacing w:after="120"/>
              <w:ind w:left="851" w:hanging="567"/>
              <w:contextualSpacing w:val="0"/>
              <w:jc w:val="both"/>
              <w:rPr>
                <w:rFonts w:ascii="Verdana" w:hAnsi="Verdana"/>
                <w:color w:val="000000"/>
                <w:sz w:val="20"/>
                <w:szCs w:val="20"/>
                <w:lang w:val="fr-RE"/>
              </w:rPr>
            </w:pPr>
            <w:r w:rsidRPr="00C13B32">
              <w:rPr>
                <w:rFonts w:ascii="Verdana" w:hAnsi="Verdana"/>
                <w:color w:val="000000"/>
                <w:sz w:val="20"/>
                <w:szCs w:val="20"/>
                <w:lang w:val="fr-RE"/>
              </w:rPr>
              <w:t>Donne mandat au Secrétariat général de signer avec l’Agence française de développement la convention de financement du projet régional de développement des Industries culturelles et créatives pour les États membres de la COI et le Mozambique qui aura été approuvée par les États et de finaliser le processus de recrutement de l’Assistance à maitrise d’ouvrage en vue d’un démarrage effectif des activités au premier semestre 2022 en complémentarité de soutiens dans le cadre d’INTERREG VI.</w:t>
            </w:r>
          </w:p>
          <w:p w14:paraId="1F8BB653" w14:textId="77777777" w:rsidR="00381225" w:rsidRPr="00381225" w:rsidRDefault="00381225">
            <w:pPr>
              <w:rPr>
                <w:lang w:val="fr-RE"/>
              </w:rPr>
            </w:pPr>
          </w:p>
        </w:tc>
        <w:tc>
          <w:tcPr>
            <w:tcW w:w="1623" w:type="dxa"/>
          </w:tcPr>
          <w:p w14:paraId="7D0E3405" w14:textId="77777777" w:rsidR="00381225" w:rsidRDefault="00381225"/>
          <w:p w14:paraId="559E7224" w14:textId="77777777" w:rsidR="007E2981" w:rsidRDefault="007E2981">
            <w:r>
              <w:t>RM</w:t>
            </w:r>
          </w:p>
          <w:p w14:paraId="4DDE5F73" w14:textId="6B6B7507" w:rsidR="007E2981" w:rsidRDefault="007E2981">
            <w:r>
              <w:t>GR (point e)</w:t>
            </w:r>
          </w:p>
        </w:tc>
        <w:tc>
          <w:tcPr>
            <w:tcW w:w="5926" w:type="dxa"/>
          </w:tcPr>
          <w:p w14:paraId="7D4F5D02" w14:textId="77777777" w:rsidR="00381225" w:rsidRDefault="00381225"/>
          <w:p w14:paraId="47F549CF" w14:textId="77777777" w:rsidR="00F9114C" w:rsidRDefault="00F9114C"/>
          <w:p w14:paraId="0AE7018F" w14:textId="77777777" w:rsidR="00F9114C" w:rsidRDefault="00F9114C"/>
          <w:p w14:paraId="60CB15AD" w14:textId="77777777" w:rsidR="00F9114C" w:rsidRDefault="00F9114C"/>
          <w:p w14:paraId="526A7E8C" w14:textId="1196E413" w:rsidR="00F9114C" w:rsidRDefault="001A05DB">
            <w:r>
              <w:t xml:space="preserve">3.a. </w:t>
            </w:r>
            <w:r w:rsidR="00A97AE2">
              <w:t xml:space="preserve">Le processus pour la mise en place du CTR sur la connectivité maritime est en cours. </w:t>
            </w:r>
          </w:p>
          <w:p w14:paraId="55FF0EFF" w14:textId="77777777" w:rsidR="00F9114C" w:rsidRDefault="00F9114C"/>
          <w:p w14:paraId="55B24758" w14:textId="77777777" w:rsidR="00F9114C" w:rsidRDefault="00F9114C"/>
          <w:p w14:paraId="33F3DCFF" w14:textId="77777777" w:rsidR="00F9114C" w:rsidRDefault="00F9114C"/>
          <w:p w14:paraId="09EF7A7C" w14:textId="77777777" w:rsidR="00F9114C" w:rsidRDefault="00F9114C"/>
          <w:p w14:paraId="3CBC5C08" w14:textId="77777777" w:rsidR="00F9114C" w:rsidRDefault="00F9114C"/>
          <w:p w14:paraId="65C58C9F" w14:textId="77777777" w:rsidR="00F9114C" w:rsidRDefault="00F9114C"/>
          <w:p w14:paraId="20A6A792" w14:textId="77777777" w:rsidR="00F9114C" w:rsidRDefault="00F9114C"/>
          <w:p w14:paraId="62D7228E" w14:textId="77777777" w:rsidR="00F9114C" w:rsidRDefault="00F9114C"/>
          <w:p w14:paraId="58C54438" w14:textId="77777777" w:rsidR="00F9114C" w:rsidRDefault="00F9114C"/>
          <w:p w14:paraId="2D7CEB12" w14:textId="77777777" w:rsidR="00F9114C" w:rsidRDefault="00F9114C"/>
          <w:p w14:paraId="041CB9EA" w14:textId="77777777" w:rsidR="00F9114C" w:rsidRDefault="00F9114C"/>
          <w:p w14:paraId="08A29C80" w14:textId="77777777" w:rsidR="00F9114C" w:rsidRDefault="00F9114C"/>
          <w:p w14:paraId="67E919CE" w14:textId="77777777" w:rsidR="00F9114C" w:rsidRDefault="00F9114C"/>
          <w:p w14:paraId="4CE06B5D" w14:textId="77777777" w:rsidR="00F9114C" w:rsidRDefault="00F9114C"/>
          <w:p w14:paraId="4D47DB0A" w14:textId="77777777" w:rsidR="00F9114C" w:rsidRDefault="00F9114C"/>
          <w:p w14:paraId="2FAAFB5F" w14:textId="77777777" w:rsidR="00F9114C" w:rsidRDefault="00F9114C"/>
          <w:p w14:paraId="6575EE5E" w14:textId="77777777" w:rsidR="00F9114C" w:rsidRDefault="00F9114C"/>
          <w:p w14:paraId="42588ED6" w14:textId="77777777" w:rsidR="00F9114C" w:rsidRDefault="00F9114C"/>
          <w:p w14:paraId="1151F02E" w14:textId="77777777" w:rsidR="00F9114C" w:rsidRDefault="00F9114C"/>
          <w:p w14:paraId="044448B6" w14:textId="77777777" w:rsidR="00F9114C" w:rsidRDefault="00F9114C"/>
          <w:p w14:paraId="64C4FA79" w14:textId="77777777" w:rsidR="00F9114C" w:rsidRDefault="00F9114C"/>
          <w:p w14:paraId="21250E8F" w14:textId="77777777" w:rsidR="00F9114C" w:rsidRDefault="00F9114C"/>
          <w:p w14:paraId="5BD416E3" w14:textId="77777777" w:rsidR="00F9114C" w:rsidRDefault="00F9114C"/>
          <w:p w14:paraId="0AEA0A93" w14:textId="77777777" w:rsidR="00F9114C" w:rsidRDefault="00F9114C"/>
          <w:p w14:paraId="72BC50AE" w14:textId="77777777" w:rsidR="00F9114C" w:rsidRDefault="00F9114C"/>
          <w:p w14:paraId="0F0ECDA9" w14:textId="77777777" w:rsidR="00F9114C" w:rsidRDefault="00F9114C"/>
          <w:p w14:paraId="4E61D0A0" w14:textId="77777777" w:rsidR="00F9114C" w:rsidRDefault="00F9114C"/>
          <w:p w14:paraId="6099E864" w14:textId="77777777" w:rsidR="00F9114C" w:rsidRDefault="00F9114C"/>
          <w:p w14:paraId="2ADBDDB6" w14:textId="77777777" w:rsidR="00F9114C" w:rsidRDefault="00F9114C"/>
          <w:p w14:paraId="47EEFEC6" w14:textId="77777777" w:rsidR="00F9114C" w:rsidRDefault="00F9114C"/>
          <w:p w14:paraId="35C88A49" w14:textId="77777777" w:rsidR="00F9114C" w:rsidRDefault="00F9114C"/>
          <w:p w14:paraId="36FD8F05" w14:textId="77777777" w:rsidR="00F9114C" w:rsidRDefault="00F9114C"/>
          <w:p w14:paraId="03A8C3E4" w14:textId="1310BB7D" w:rsidR="00F9114C" w:rsidRDefault="001A05DB" w:rsidP="00D76F83">
            <w:pPr>
              <w:jc w:val="both"/>
            </w:pPr>
            <w:r>
              <w:t xml:space="preserve">3.b. </w:t>
            </w:r>
            <w:r w:rsidR="00A97AE2">
              <w:t>Le Japon</w:t>
            </w:r>
            <w:r w:rsidR="00D76F83">
              <w:t xml:space="preserve">, déjà </w:t>
            </w:r>
            <w:r w:rsidR="00A97AE2">
              <w:t xml:space="preserve">impliqué dans les </w:t>
            </w:r>
            <w:r w:rsidR="00D76F83">
              <w:t>travaux du projet pour l’amélioration de la connectivité maritime (PACM)</w:t>
            </w:r>
            <w:r w:rsidR="00A97AE2">
              <w:t xml:space="preserve">. Ce dernier </w:t>
            </w:r>
            <w:r w:rsidR="00A97AE2">
              <w:lastRenderedPageBreak/>
              <w:t>est attentif aux conclusions des travaux concernant la connectivité maritime avant de considérer une suite.</w:t>
            </w:r>
          </w:p>
          <w:p w14:paraId="75635301" w14:textId="7E744924" w:rsidR="00A97AE2" w:rsidRDefault="00A97AE2"/>
          <w:p w14:paraId="4E26ECFA" w14:textId="550E9F78" w:rsidR="00A97AE2" w:rsidRDefault="00A97AE2" w:rsidP="00D76F83">
            <w:pPr>
              <w:jc w:val="both"/>
            </w:pPr>
            <w:r>
              <w:t xml:space="preserve">Une Note sur la programmation </w:t>
            </w:r>
            <w:r w:rsidR="00D76F83">
              <w:t>dans le cadre de</w:t>
            </w:r>
            <w:r>
              <w:t xml:space="preserve"> NDICI</w:t>
            </w:r>
            <w:r w:rsidR="00D76F83">
              <w:t>, incluant la connectivité</w:t>
            </w:r>
            <w:r>
              <w:t xml:space="preserve"> a été transmis</w:t>
            </w:r>
            <w:r w:rsidR="001A05DB">
              <w:t>e</w:t>
            </w:r>
            <w:r>
              <w:t xml:space="preserve"> à l’UE </w:t>
            </w:r>
            <w:r w:rsidR="00D76F83">
              <w:t xml:space="preserve">depuis mai 2021. Les modalités concrètes pour une suite d’appui </w:t>
            </w:r>
            <w:r w:rsidR="00D9622C">
              <w:t>dépendent</w:t>
            </w:r>
            <w:r w:rsidR="00D76F83">
              <w:t xml:space="preserve"> des travaux en cours dans le cadre du projet PACM. </w:t>
            </w:r>
          </w:p>
          <w:p w14:paraId="6254FC7C" w14:textId="77777777" w:rsidR="00F9114C" w:rsidRDefault="00F9114C"/>
          <w:p w14:paraId="1793DE0D" w14:textId="77777777" w:rsidR="00F9114C" w:rsidRDefault="00F9114C"/>
          <w:p w14:paraId="6F8AE9D9" w14:textId="767606C4" w:rsidR="00F9114C" w:rsidRDefault="001A05DB">
            <w:r>
              <w:t xml:space="preserve">3.c. </w:t>
            </w:r>
            <w:r w:rsidR="00D9622C">
              <w:t xml:space="preserve">Le plan de rencontres est en cours de préparation </w:t>
            </w:r>
          </w:p>
          <w:p w14:paraId="32634FEF" w14:textId="77777777" w:rsidR="00F9114C" w:rsidRDefault="00F9114C"/>
          <w:p w14:paraId="085BE8EC" w14:textId="77777777" w:rsidR="00F9114C" w:rsidRDefault="00F9114C"/>
          <w:p w14:paraId="22F7C1F8" w14:textId="77777777" w:rsidR="00F9114C" w:rsidRDefault="00F9114C"/>
          <w:p w14:paraId="42BAC610" w14:textId="77777777" w:rsidR="00F9114C" w:rsidRDefault="00F9114C"/>
          <w:p w14:paraId="33287082" w14:textId="77777777" w:rsidR="00F9114C" w:rsidRDefault="00F9114C"/>
          <w:p w14:paraId="572716FE" w14:textId="3B9F5149" w:rsidR="00F9114C" w:rsidRDefault="001A05DB">
            <w:r>
              <w:t xml:space="preserve">3.d. </w:t>
            </w:r>
            <w:proofErr w:type="spellStart"/>
            <w:r>
              <w:t>d</w:t>
            </w:r>
            <w:r w:rsidR="00D9622C">
              <w:t>Le</w:t>
            </w:r>
            <w:proofErr w:type="spellEnd"/>
            <w:r w:rsidR="00D9622C">
              <w:t xml:space="preserve"> recrutement d’une expertise pour la formulation d’un projet est en cours</w:t>
            </w:r>
          </w:p>
          <w:p w14:paraId="4292E028" w14:textId="77777777" w:rsidR="00F9114C" w:rsidRDefault="00F9114C"/>
          <w:p w14:paraId="1419AAA4" w14:textId="77777777" w:rsidR="00F9114C" w:rsidRDefault="00F9114C"/>
          <w:p w14:paraId="116A48A6" w14:textId="77777777" w:rsidR="00F9114C" w:rsidRDefault="00F9114C"/>
          <w:p w14:paraId="67B39406" w14:textId="77777777" w:rsidR="00F9114C" w:rsidRDefault="00F9114C"/>
          <w:p w14:paraId="67009BB0" w14:textId="07CCE1A8" w:rsidR="00F9114C" w:rsidRDefault="00F9114C">
            <w:r>
              <w:t xml:space="preserve">3.e – projet de convention de financement circulée aux Etats membres le 08/12/2021. Pas de commentaires particuliers reçus. </w:t>
            </w:r>
            <w:r w:rsidR="00236F52">
              <w:t xml:space="preserve">La signature </w:t>
            </w:r>
            <w:r w:rsidR="00712D6C">
              <w:t xml:space="preserve">électronique </w:t>
            </w:r>
            <w:r w:rsidR="00236F52">
              <w:t>de la convention de financement est prévue</w:t>
            </w:r>
            <w:r w:rsidR="00712D6C">
              <w:t xml:space="preserve"> avant la fin du mois de janvier 2022. Au 21/01 : Les négociations avec l’assistance technique sélectionnées sont en cours de finalisation. Il faudra ensuite demander l’avis de non-objection de l’AFD sur le projet de contrat pour signer avec l’AMO. Déploiement envisagé de l’AT d’ici mars 2022. </w:t>
            </w:r>
          </w:p>
        </w:tc>
        <w:tc>
          <w:tcPr>
            <w:tcW w:w="3364" w:type="dxa"/>
          </w:tcPr>
          <w:p w14:paraId="1D6191C5" w14:textId="77777777" w:rsidR="00381225" w:rsidRDefault="00381225"/>
        </w:tc>
      </w:tr>
      <w:tr w:rsidR="00381225" w14:paraId="1E982637" w14:textId="77777777" w:rsidTr="007E2981">
        <w:tc>
          <w:tcPr>
            <w:tcW w:w="4475" w:type="dxa"/>
          </w:tcPr>
          <w:p w14:paraId="5D2A8195" w14:textId="77777777" w:rsidR="00381225" w:rsidRDefault="00381225" w:rsidP="00381225">
            <w:pPr>
              <w:spacing w:after="120"/>
              <w:ind w:firstLine="708"/>
              <w:jc w:val="center"/>
              <w:rPr>
                <w:rFonts w:ascii="Verdana" w:hAnsi="Verdana"/>
                <w:color w:val="ED7D31" w:themeColor="accent2"/>
                <w:sz w:val="20"/>
                <w:szCs w:val="20"/>
              </w:rPr>
            </w:pPr>
            <w:r w:rsidRPr="00376D3E">
              <w:rPr>
                <w:rFonts w:ascii="Verdana" w:hAnsi="Verdana"/>
                <w:b/>
                <w:bCs/>
                <w:sz w:val="20"/>
                <w:szCs w:val="20"/>
              </w:rPr>
              <w:lastRenderedPageBreak/>
              <w:t>Décision 4.</w:t>
            </w:r>
            <w:r>
              <w:rPr>
                <w:rFonts w:ascii="Verdana" w:hAnsi="Verdana"/>
                <w:b/>
                <w:bCs/>
                <w:sz w:val="20"/>
                <w:szCs w:val="20"/>
              </w:rPr>
              <w:t xml:space="preserve"> Programmation « Europe globale » 2021-2027</w:t>
            </w:r>
          </w:p>
          <w:p w14:paraId="42BA0BF1" w14:textId="77777777" w:rsidR="00381225" w:rsidRPr="0022361E" w:rsidRDefault="00381225" w:rsidP="00381225">
            <w:pPr>
              <w:spacing w:after="120"/>
              <w:jc w:val="both"/>
              <w:rPr>
                <w:rFonts w:ascii="Verdana" w:hAnsi="Verdana"/>
                <w:bCs/>
                <w:spacing w:val="6"/>
                <w:sz w:val="20"/>
                <w:szCs w:val="20"/>
              </w:rPr>
            </w:pPr>
            <w:r w:rsidRPr="0022361E">
              <w:rPr>
                <w:rFonts w:ascii="Verdana" w:hAnsi="Verdana"/>
                <w:bCs/>
                <w:spacing w:val="6"/>
                <w:sz w:val="20"/>
                <w:szCs w:val="20"/>
              </w:rPr>
              <w:t xml:space="preserve">Le Conseil des ministres : </w:t>
            </w:r>
          </w:p>
          <w:p w14:paraId="7668FC15" w14:textId="77777777" w:rsidR="00381225" w:rsidRPr="0022361E" w:rsidRDefault="00381225" w:rsidP="00381225">
            <w:pPr>
              <w:pStyle w:val="Paragraphedeliste"/>
              <w:numPr>
                <w:ilvl w:val="0"/>
                <w:numId w:val="6"/>
              </w:numPr>
              <w:spacing w:after="120"/>
              <w:ind w:left="567" w:hanging="567"/>
              <w:contextualSpacing w:val="0"/>
              <w:jc w:val="both"/>
              <w:rPr>
                <w:rFonts w:ascii="Verdana" w:hAnsi="Verdana"/>
                <w:bCs/>
                <w:spacing w:val="6"/>
                <w:sz w:val="20"/>
                <w:szCs w:val="20"/>
              </w:rPr>
            </w:pPr>
            <w:bookmarkStart w:id="0" w:name="_Hlk94874904"/>
            <w:r w:rsidRPr="0022361E">
              <w:rPr>
                <w:rFonts w:ascii="Verdana" w:hAnsi="Verdana"/>
                <w:bCs/>
                <w:spacing w:val="6"/>
                <w:sz w:val="20"/>
                <w:szCs w:val="20"/>
              </w:rPr>
              <w:t xml:space="preserve">Réitère leur engagement pour un appui de leurs représentations diplomatiques auprès de l’Union africaine et de l’Union européenne pour soutenir le plaidoyer de la COI et assurer une prise en compte des spécificités insulaires dans la mise en œuvre du nouveau partenariat entre l’Europe et l’Afrique ;  </w:t>
            </w:r>
          </w:p>
          <w:p w14:paraId="349BA22C" w14:textId="77777777" w:rsidR="00381225" w:rsidRPr="0022361E" w:rsidRDefault="00381225" w:rsidP="00381225">
            <w:pPr>
              <w:pStyle w:val="Paragraphedeliste"/>
              <w:numPr>
                <w:ilvl w:val="0"/>
                <w:numId w:val="6"/>
              </w:numPr>
              <w:spacing w:after="120"/>
              <w:ind w:left="567" w:hanging="567"/>
              <w:contextualSpacing w:val="0"/>
              <w:jc w:val="both"/>
              <w:rPr>
                <w:rFonts w:ascii="Verdana" w:hAnsi="Verdana"/>
                <w:bCs/>
                <w:spacing w:val="6"/>
                <w:sz w:val="20"/>
                <w:szCs w:val="20"/>
              </w:rPr>
            </w:pPr>
            <w:r w:rsidRPr="0022361E">
              <w:rPr>
                <w:rFonts w:ascii="Verdana" w:hAnsi="Verdana"/>
                <w:bCs/>
                <w:spacing w:val="6"/>
                <w:sz w:val="20"/>
                <w:szCs w:val="20"/>
              </w:rPr>
              <w:t>Remercie la présidence en exercice du Conseil pour la mobilisation des Etats insulaires africains de la COI et de l’Atlantique et souhaite un renforcement du dialogue dans le cadre de la programmation et la promotion des intérêts des Etats insulaires africains ;</w:t>
            </w:r>
          </w:p>
          <w:p w14:paraId="51A9453B" w14:textId="77777777" w:rsidR="00381225" w:rsidRPr="00210668" w:rsidRDefault="00381225" w:rsidP="00381225">
            <w:pPr>
              <w:pStyle w:val="Paragraphedeliste"/>
              <w:numPr>
                <w:ilvl w:val="0"/>
                <w:numId w:val="6"/>
              </w:numPr>
              <w:spacing w:after="120"/>
              <w:ind w:left="567" w:hanging="567"/>
              <w:contextualSpacing w:val="0"/>
              <w:jc w:val="both"/>
              <w:rPr>
                <w:rFonts w:ascii="Verdana" w:hAnsi="Verdana"/>
                <w:bCs/>
                <w:spacing w:val="6"/>
                <w:sz w:val="20"/>
                <w:szCs w:val="20"/>
              </w:rPr>
            </w:pPr>
            <w:r w:rsidRPr="00210668">
              <w:rPr>
                <w:rFonts w:ascii="Verdana" w:hAnsi="Verdana"/>
                <w:bCs/>
                <w:spacing w:val="6"/>
                <w:sz w:val="20"/>
                <w:szCs w:val="20"/>
              </w:rPr>
              <w:t xml:space="preserve">Encourage le maintien du dialogue avec les Organisations régionales de l’Afrique australe et orientale dans le cadre de la programmation ; </w:t>
            </w:r>
          </w:p>
          <w:bookmarkEnd w:id="0"/>
          <w:p w14:paraId="65D1BAB4" w14:textId="77777777" w:rsidR="00381225" w:rsidRPr="0022361E" w:rsidRDefault="00381225" w:rsidP="00381225">
            <w:pPr>
              <w:pStyle w:val="Paragraphedeliste"/>
              <w:numPr>
                <w:ilvl w:val="0"/>
                <w:numId w:val="6"/>
              </w:numPr>
              <w:spacing w:after="120"/>
              <w:ind w:left="567" w:hanging="567"/>
              <w:contextualSpacing w:val="0"/>
              <w:jc w:val="both"/>
              <w:rPr>
                <w:rFonts w:ascii="Verdana" w:hAnsi="Verdana"/>
                <w:bCs/>
                <w:sz w:val="20"/>
                <w:szCs w:val="20"/>
              </w:rPr>
            </w:pPr>
            <w:r w:rsidRPr="0022361E">
              <w:rPr>
                <w:rFonts w:ascii="Verdana" w:hAnsi="Verdana"/>
                <w:bCs/>
                <w:sz w:val="20"/>
                <w:szCs w:val="20"/>
              </w:rPr>
              <w:t>Marque son engagement pour la poursuite et la finalisation des négociations avec l’UE sur la programmation de nouveaux projets portant sur la sécurité en mer, le plan d’action régional sur l’économie bleue avec un accent sur la prévention et la réduction de la pollution plastique, la relance économique, l’appui institutionnel et la formation ;</w:t>
            </w:r>
          </w:p>
          <w:p w14:paraId="39F4762A" w14:textId="77777777" w:rsidR="00381225" w:rsidRPr="0022361E" w:rsidRDefault="00381225" w:rsidP="00381225">
            <w:pPr>
              <w:pStyle w:val="Paragraphedeliste"/>
              <w:numPr>
                <w:ilvl w:val="0"/>
                <w:numId w:val="6"/>
              </w:numPr>
              <w:spacing w:after="120"/>
              <w:ind w:left="567" w:hanging="567"/>
              <w:contextualSpacing w:val="0"/>
              <w:jc w:val="both"/>
              <w:rPr>
                <w:rFonts w:ascii="Verdana" w:hAnsi="Verdana"/>
                <w:bCs/>
                <w:spacing w:val="6"/>
                <w:sz w:val="20"/>
                <w:szCs w:val="20"/>
              </w:rPr>
            </w:pPr>
            <w:r w:rsidRPr="0022361E">
              <w:rPr>
                <w:rFonts w:ascii="Verdana" w:hAnsi="Verdana"/>
                <w:bCs/>
                <w:spacing w:val="6"/>
                <w:sz w:val="20"/>
                <w:szCs w:val="20"/>
              </w:rPr>
              <w:lastRenderedPageBreak/>
              <w:t xml:space="preserve">Appuie la proposition de plan de renforcement institutionnel et en ressources humaines ainsi que ses modalités de financement, et invite le Secrétariat général à présenter aux prochaines réunions des instances une version finalisée pour approbation ; </w:t>
            </w:r>
          </w:p>
          <w:p w14:paraId="7265FCE0" w14:textId="77777777" w:rsidR="00381225" w:rsidRDefault="00381225" w:rsidP="00381225">
            <w:pPr>
              <w:pStyle w:val="Paragraphedeliste"/>
              <w:numPr>
                <w:ilvl w:val="0"/>
                <w:numId w:val="6"/>
              </w:numPr>
              <w:spacing w:after="120"/>
              <w:ind w:left="567" w:hanging="567"/>
              <w:contextualSpacing w:val="0"/>
              <w:jc w:val="both"/>
              <w:rPr>
                <w:rFonts w:ascii="Verdana" w:hAnsi="Verdana"/>
                <w:bCs/>
                <w:spacing w:val="6"/>
                <w:sz w:val="20"/>
                <w:szCs w:val="20"/>
              </w:rPr>
            </w:pPr>
            <w:r w:rsidRPr="0022361E">
              <w:rPr>
                <w:rFonts w:ascii="Verdana" w:hAnsi="Verdana"/>
                <w:bCs/>
                <w:spacing w:val="6"/>
                <w:sz w:val="20"/>
                <w:szCs w:val="20"/>
              </w:rPr>
              <w:t>Encourage le Secrétariat général à poursuivre les échanges avec l’UE et l’AFD en vue d’un nouveau programme de renforcement des capacités institutionnelles de la COI ;</w:t>
            </w:r>
          </w:p>
          <w:p w14:paraId="09DE7F01" w14:textId="7372C16B" w:rsidR="00381225" w:rsidRPr="007E2981" w:rsidRDefault="00381225" w:rsidP="007E2981">
            <w:pPr>
              <w:pStyle w:val="Paragraphedeliste"/>
              <w:numPr>
                <w:ilvl w:val="0"/>
                <w:numId w:val="6"/>
              </w:numPr>
              <w:spacing w:after="120"/>
              <w:ind w:left="567" w:hanging="567"/>
              <w:contextualSpacing w:val="0"/>
              <w:jc w:val="both"/>
              <w:rPr>
                <w:rFonts w:ascii="Verdana" w:hAnsi="Verdana"/>
                <w:bCs/>
                <w:spacing w:val="6"/>
                <w:sz w:val="20"/>
                <w:szCs w:val="20"/>
              </w:rPr>
            </w:pPr>
            <w:bookmarkStart w:id="1" w:name="_Hlk94876844"/>
            <w:r w:rsidRPr="00210668">
              <w:rPr>
                <w:rFonts w:ascii="Verdana" w:hAnsi="Verdana"/>
                <w:bCs/>
                <w:spacing w:val="6"/>
                <w:sz w:val="20"/>
                <w:szCs w:val="20"/>
              </w:rPr>
              <w:t>Invite le Secrétariat général à concrétiser avec l’Union européenne une programmation commune NDICI FEDER sur les thématiques croisées de la programmation INTERREG VI océan Indien.</w:t>
            </w:r>
            <w:bookmarkEnd w:id="1"/>
          </w:p>
        </w:tc>
        <w:tc>
          <w:tcPr>
            <w:tcW w:w="1623" w:type="dxa"/>
          </w:tcPr>
          <w:p w14:paraId="7B7B5956" w14:textId="77777777" w:rsidR="00381225" w:rsidRDefault="00381225"/>
          <w:p w14:paraId="4C2C614B" w14:textId="77777777" w:rsidR="007E2981" w:rsidRDefault="007E2981">
            <w:r>
              <w:t>DP</w:t>
            </w:r>
          </w:p>
          <w:p w14:paraId="37BAF7D2" w14:textId="5828CF36" w:rsidR="007E2981" w:rsidRDefault="007E2981">
            <w:proofErr w:type="gramStart"/>
            <w:r>
              <w:t>et</w:t>
            </w:r>
            <w:proofErr w:type="gramEnd"/>
            <w:r>
              <w:t xml:space="preserve"> CM pour programmation</w:t>
            </w:r>
          </w:p>
        </w:tc>
        <w:tc>
          <w:tcPr>
            <w:tcW w:w="5926" w:type="dxa"/>
          </w:tcPr>
          <w:p w14:paraId="0E097FA7" w14:textId="77777777" w:rsidR="00BF4CBE" w:rsidRPr="00CB6906" w:rsidRDefault="00BF4CBE"/>
          <w:p w14:paraId="5D9183F8" w14:textId="77777777" w:rsidR="00BF4CBE" w:rsidRPr="00CB6906" w:rsidRDefault="00BF4CBE"/>
          <w:p w14:paraId="0E622ADB" w14:textId="56DDB734" w:rsidR="00BF4CBE" w:rsidRPr="00CB6906" w:rsidRDefault="00BA6C6F">
            <w:r w:rsidRPr="00CB6906">
              <w:t>4 a et b</w:t>
            </w:r>
            <w:r w:rsidR="00BD0A6A" w:rsidRPr="00CB6906">
              <w:t>.</w:t>
            </w:r>
          </w:p>
          <w:p w14:paraId="0E4AC10D" w14:textId="64DCBAE1" w:rsidR="00BA6C6F" w:rsidRPr="00CB6906" w:rsidRDefault="00BA6C6F"/>
          <w:p w14:paraId="02FA3B8F" w14:textId="5CFC61F5" w:rsidR="00BA6C6F" w:rsidRPr="00CB6906" w:rsidRDefault="00BA6C6F">
            <w:r w:rsidRPr="00CB6906">
              <w:t>Une visite à Addis Abeba</w:t>
            </w:r>
            <w:r w:rsidR="00DC089B" w:rsidRPr="00CB6906">
              <w:t xml:space="preserve"> est prévue </w:t>
            </w:r>
            <w:r w:rsidRPr="00CB6906">
              <w:t xml:space="preserve">au siège de l’UA pour la présentation de la lettre de créances de la COI comme observateur au niveau de UA. Le SG saisira cette occasion pour renforcer cette coopération initiée par SE. Ambassadeur Escure </w:t>
            </w:r>
            <w:r w:rsidR="00DC089B" w:rsidRPr="00CB6906">
              <w:t xml:space="preserve">et </w:t>
            </w:r>
            <w:r w:rsidRPr="00CB6906">
              <w:t>pour promouvoir les intérêts et spécificités insulaires des pays membres de la COI</w:t>
            </w:r>
          </w:p>
          <w:p w14:paraId="5EFA3468" w14:textId="77777777" w:rsidR="00BF4CBE" w:rsidRPr="00CB6906" w:rsidRDefault="00BF4CBE"/>
          <w:p w14:paraId="448D43A4" w14:textId="6DDE1C8E" w:rsidR="00BF4CBE" w:rsidRPr="00CB6906" w:rsidRDefault="00104D66">
            <w:r w:rsidRPr="00CB6906">
              <w:t>4 b et c.</w:t>
            </w:r>
          </w:p>
          <w:p w14:paraId="3EAC99B7" w14:textId="7E91D266" w:rsidR="00104D66" w:rsidRPr="00CB6906" w:rsidRDefault="00104D66"/>
          <w:p w14:paraId="0ADC287D" w14:textId="7E0499C0" w:rsidR="00104D66" w:rsidRPr="00CB6906" w:rsidRDefault="00104D66">
            <w:r w:rsidRPr="00CB6906">
              <w:t xml:space="preserve">Des discussions de haut niveau se poursuivent et soulignent l’importance du partenariat stratégique avec l’UE, l’UA et les organisations régionales dans lesquels des intérêts communs sont promus et des initiatives pluriannuelles visant à parvenir au développement durable. </w:t>
            </w:r>
          </w:p>
          <w:p w14:paraId="118B6290" w14:textId="77777777" w:rsidR="009F7048" w:rsidRPr="00CB6906" w:rsidRDefault="009F7048"/>
          <w:p w14:paraId="1A88C806" w14:textId="06FE2E86" w:rsidR="009F7048" w:rsidRPr="00CB6906" w:rsidRDefault="009F7048">
            <w:r w:rsidRPr="00CB6906">
              <w:t xml:space="preserve">Les priorités de la COI sont alignées sur les priorités du Programme indicatif </w:t>
            </w:r>
            <w:r w:rsidR="00B513CF" w:rsidRPr="00CB6906">
              <w:t>prioritaire régional</w:t>
            </w:r>
            <w:r w:rsidRPr="00CB6906">
              <w:t xml:space="preserve"> de l’UE et ont été partagées avec le siège de l’UE par l’intermédiaire de la délégation de l’UE</w:t>
            </w:r>
          </w:p>
          <w:p w14:paraId="352255F4" w14:textId="77777777" w:rsidR="00E45607" w:rsidRPr="00CB6906" w:rsidRDefault="00E45607"/>
          <w:p w14:paraId="3B4199DA" w14:textId="219BF27D" w:rsidR="00104D66" w:rsidRPr="00CB6906" w:rsidRDefault="00104D66">
            <w:r w:rsidRPr="00CB6906">
              <w:t>Les besoins spécifiques des États insulaires ont été réaffirmé</w:t>
            </w:r>
            <w:r w:rsidR="00E45607" w:rsidRPr="00CB6906">
              <w:t>s</w:t>
            </w:r>
            <w:r w:rsidRPr="00CB6906">
              <w:t xml:space="preserve"> et la COI a souligné la nécessité d’une subsidiarité et d’une complémentarité des actions et un dialogue régulier avec les organismes régionaux et les régions côtières.</w:t>
            </w:r>
          </w:p>
          <w:p w14:paraId="7B9C0937" w14:textId="77777777" w:rsidR="00BF4CBE" w:rsidRPr="00CB6906" w:rsidRDefault="00BF4CBE"/>
          <w:p w14:paraId="11B9E1B8" w14:textId="77777777" w:rsidR="00BF4CBE" w:rsidRPr="00CB6906" w:rsidRDefault="00BF4CBE"/>
          <w:p w14:paraId="7F43F10C" w14:textId="5C32FF80" w:rsidR="00BF4CBE" w:rsidRPr="00CB6906" w:rsidRDefault="00A2309C" w:rsidP="00BF4CBE">
            <w:r w:rsidRPr="00CB6906">
              <w:t>4.</w:t>
            </w:r>
            <w:r w:rsidR="00BF4CBE" w:rsidRPr="00CB6906">
              <w:t>d. les discussions avec la DUE se poursuivent. Une suite au programme MASE est envisagée (</w:t>
            </w:r>
            <w:proofErr w:type="spellStart"/>
            <w:r w:rsidR="00BF4CBE" w:rsidRPr="00CB6906">
              <w:t>cf</w:t>
            </w:r>
            <w:proofErr w:type="spellEnd"/>
            <w:r w:rsidR="00BF4CBE" w:rsidRPr="00CB6906">
              <w:t xml:space="preserve"> fiche 3.1. COPL 01/2022 des 8-9 février)</w:t>
            </w:r>
          </w:p>
          <w:p w14:paraId="074ECCC8" w14:textId="77777777" w:rsidR="00BF4CBE" w:rsidRPr="00CB6906" w:rsidRDefault="00BF4CBE" w:rsidP="00BF4CBE"/>
          <w:p w14:paraId="262C0FDF" w14:textId="77777777" w:rsidR="00BF4CBE" w:rsidRPr="00CB6906" w:rsidRDefault="00BF4CBE" w:rsidP="00BF4CBE"/>
          <w:p w14:paraId="05AB86D1" w14:textId="77777777" w:rsidR="00BF4CBE" w:rsidRPr="00CB6906" w:rsidRDefault="00BF4CBE" w:rsidP="00BF4CBE"/>
          <w:p w14:paraId="28EAD461" w14:textId="1F72EFD0" w:rsidR="00BF4CBE" w:rsidRPr="00CB6906" w:rsidRDefault="00A2309C" w:rsidP="00BF4CBE">
            <w:r w:rsidRPr="00CB6906">
              <w:lastRenderedPageBreak/>
              <w:t>4.</w:t>
            </w:r>
            <w:r w:rsidR="00BF4CBE" w:rsidRPr="00CB6906">
              <w:t xml:space="preserve">e. l’AT-INCA a poursuivi son travail d’identification des besoins en lien avec l’évolution institutionnelle et l’accréditation aux 9 piliers. Un diagnostic des besoins en ressources humaines a été établi et présenté aux OPL lors des ateliers de la semaine du 10 janvier. La fiche 2.5. </w:t>
            </w:r>
            <w:proofErr w:type="gramStart"/>
            <w:r w:rsidR="00BF4CBE" w:rsidRPr="00CB6906">
              <w:t>du</w:t>
            </w:r>
            <w:proofErr w:type="gramEnd"/>
            <w:r w:rsidR="00BF4CBE" w:rsidRPr="00CB6906">
              <w:t xml:space="preserve"> COPL 01/2022 des 8 et 9 février 2022 présente ces éléments. </w:t>
            </w:r>
          </w:p>
          <w:p w14:paraId="2EA7C6CD" w14:textId="77777777" w:rsidR="00BF4CBE" w:rsidRPr="00CB6906" w:rsidRDefault="00BF4CBE" w:rsidP="00BF4CBE"/>
          <w:p w14:paraId="2A928DF6" w14:textId="77777777" w:rsidR="00BF4CBE" w:rsidRPr="00CB6906" w:rsidRDefault="00BF4CBE" w:rsidP="00BF4CBE"/>
          <w:p w14:paraId="10AEF6F7" w14:textId="77777777" w:rsidR="00BF4CBE" w:rsidRPr="00CB6906" w:rsidRDefault="00A2309C" w:rsidP="00BF4CBE">
            <w:r w:rsidRPr="00CB6906">
              <w:t>4.</w:t>
            </w:r>
            <w:r w:rsidR="00BF4CBE" w:rsidRPr="00CB6906">
              <w:t xml:space="preserve">f. Un atelier visant un accord de méthode COI-AFD-DUE </w:t>
            </w:r>
            <w:proofErr w:type="spellStart"/>
            <w:r w:rsidR="00BF4CBE" w:rsidRPr="00CB6906">
              <w:t>a</w:t>
            </w:r>
            <w:proofErr w:type="spellEnd"/>
            <w:r w:rsidR="00BF4CBE" w:rsidRPr="00CB6906">
              <w:t xml:space="preserve"> été organisé durant la semaine du 24 janvier 2022. Cet accord de méthode prévoit un accompagnement à l’élaboration du PDS comme cadre de référence pour baliser l’action de la COI et préciser les besoins en renforcement de capacités</w:t>
            </w:r>
            <w:r w:rsidRPr="00CB6906">
              <w:t xml:space="preserve"> qui pourront être soutenus, selon une formule dégressive, par l’UE et l’AFD. L’accord de méthode est présenté dans la fiche 2.5. </w:t>
            </w:r>
            <w:proofErr w:type="gramStart"/>
            <w:r w:rsidRPr="00CB6906">
              <w:t>du</w:t>
            </w:r>
            <w:proofErr w:type="gramEnd"/>
            <w:r w:rsidRPr="00CB6906">
              <w:t xml:space="preserve"> COPL 01/2022 des 8 et 9 février 2022. </w:t>
            </w:r>
          </w:p>
          <w:p w14:paraId="2E118F7E" w14:textId="77777777" w:rsidR="00DC089B" w:rsidRPr="00CB6906" w:rsidRDefault="00DC089B" w:rsidP="00BF4CBE"/>
          <w:p w14:paraId="55C0C0FE" w14:textId="2D4B8CE2" w:rsidR="009F7048" w:rsidRPr="00CB6906" w:rsidRDefault="00DC089B" w:rsidP="009F7048">
            <w:r w:rsidRPr="00CB6906">
              <w:t xml:space="preserve">4 g. </w:t>
            </w:r>
            <w:r w:rsidR="00BD0A6A" w:rsidRPr="00CB6906">
              <w:t>Discussion en cours</w:t>
            </w:r>
          </w:p>
          <w:p w14:paraId="1AC1FE72" w14:textId="5EB8C5E9" w:rsidR="00DC089B" w:rsidRPr="00CB6906" w:rsidRDefault="00DC089B" w:rsidP="00BF4CBE"/>
        </w:tc>
        <w:tc>
          <w:tcPr>
            <w:tcW w:w="3364" w:type="dxa"/>
          </w:tcPr>
          <w:p w14:paraId="1F4B1603" w14:textId="77777777" w:rsidR="00381225" w:rsidRDefault="00381225"/>
        </w:tc>
      </w:tr>
      <w:tr w:rsidR="00381225" w:rsidRPr="00712D6C" w14:paraId="4600B2E7" w14:textId="77777777" w:rsidTr="007E2981">
        <w:tc>
          <w:tcPr>
            <w:tcW w:w="4475" w:type="dxa"/>
          </w:tcPr>
          <w:p w14:paraId="394BB915" w14:textId="77777777" w:rsidR="007E2981" w:rsidRPr="00376D3E" w:rsidRDefault="007E2981" w:rsidP="007E2981">
            <w:pPr>
              <w:spacing w:after="120"/>
              <w:ind w:firstLine="708"/>
              <w:jc w:val="center"/>
              <w:rPr>
                <w:rFonts w:ascii="Verdana" w:hAnsi="Verdana"/>
                <w:b/>
                <w:bCs/>
                <w:sz w:val="20"/>
                <w:szCs w:val="20"/>
              </w:rPr>
            </w:pPr>
            <w:r w:rsidRPr="00376D3E">
              <w:rPr>
                <w:rFonts w:ascii="Verdana" w:hAnsi="Verdana"/>
                <w:b/>
                <w:bCs/>
                <w:sz w:val="20"/>
                <w:szCs w:val="20"/>
              </w:rPr>
              <w:t xml:space="preserve">Décision </w:t>
            </w:r>
            <w:r>
              <w:rPr>
                <w:rFonts w:ascii="Verdana" w:hAnsi="Verdana"/>
                <w:b/>
                <w:bCs/>
                <w:sz w:val="20"/>
                <w:szCs w:val="20"/>
              </w:rPr>
              <w:t>5</w:t>
            </w:r>
            <w:r w:rsidRPr="00376D3E">
              <w:rPr>
                <w:rFonts w:ascii="Verdana" w:hAnsi="Verdana"/>
                <w:b/>
                <w:bCs/>
                <w:sz w:val="20"/>
                <w:szCs w:val="20"/>
              </w:rPr>
              <w:t>.</w:t>
            </w:r>
            <w:r>
              <w:rPr>
                <w:rFonts w:ascii="Verdana" w:hAnsi="Verdana"/>
                <w:b/>
                <w:bCs/>
                <w:sz w:val="20"/>
                <w:szCs w:val="20"/>
              </w:rPr>
              <w:t xml:space="preserve"> Recherche, coopération universitaire et formation</w:t>
            </w:r>
          </w:p>
          <w:p w14:paraId="290837C4" w14:textId="77777777" w:rsidR="007E2981" w:rsidRPr="00E12C01" w:rsidRDefault="007E2981" w:rsidP="007E2981">
            <w:pPr>
              <w:spacing w:after="120"/>
              <w:ind w:right="-20"/>
              <w:jc w:val="both"/>
              <w:rPr>
                <w:rFonts w:ascii="Verdana" w:eastAsia="Verdana" w:hAnsi="Verdana" w:cs="Arial"/>
                <w:position w:val="-1"/>
                <w:sz w:val="20"/>
                <w:szCs w:val="20"/>
                <w:lang w:val="fr-RE"/>
              </w:rPr>
            </w:pPr>
            <w:r w:rsidRPr="00E12C01">
              <w:rPr>
                <w:rFonts w:ascii="Verdana" w:eastAsia="Verdana" w:hAnsi="Verdana" w:cs="Arial"/>
                <w:position w:val="-1"/>
                <w:sz w:val="20"/>
                <w:szCs w:val="20"/>
                <w:lang w:val="fr-RE"/>
              </w:rPr>
              <w:t>Le</w:t>
            </w:r>
            <w:r w:rsidRPr="00E12C01">
              <w:rPr>
                <w:rFonts w:ascii="Verdana" w:eastAsia="Verdana" w:hAnsi="Verdana" w:cs="Arial"/>
                <w:spacing w:val="-4"/>
                <w:position w:val="-1"/>
                <w:sz w:val="20"/>
                <w:szCs w:val="20"/>
                <w:lang w:val="fr-RE"/>
              </w:rPr>
              <w:t xml:space="preserve"> </w:t>
            </w:r>
            <w:r w:rsidRPr="00E12C01">
              <w:rPr>
                <w:rFonts w:ascii="Verdana" w:eastAsia="Verdana" w:hAnsi="Verdana" w:cs="Arial"/>
                <w:position w:val="-1"/>
                <w:sz w:val="20"/>
                <w:szCs w:val="20"/>
                <w:lang w:val="fr-RE"/>
              </w:rPr>
              <w:t>Conseil des ministres :</w:t>
            </w:r>
          </w:p>
          <w:p w14:paraId="3B502B93" w14:textId="77777777" w:rsidR="007E2981" w:rsidRPr="00E12C01" w:rsidRDefault="007E2981" w:rsidP="007E2981">
            <w:pPr>
              <w:pStyle w:val="Paragraphedeliste"/>
              <w:widowControl w:val="0"/>
              <w:numPr>
                <w:ilvl w:val="0"/>
                <w:numId w:val="7"/>
              </w:numPr>
              <w:spacing w:after="120"/>
              <w:ind w:left="709" w:right="62" w:hanging="425"/>
              <w:contextualSpacing w:val="0"/>
              <w:jc w:val="both"/>
              <w:rPr>
                <w:rFonts w:ascii="Verdana" w:eastAsia="Verdana" w:hAnsi="Verdana" w:cs="Arial"/>
                <w:spacing w:val="-1"/>
                <w:sz w:val="20"/>
                <w:szCs w:val="20"/>
                <w:lang w:val="fr-RE"/>
              </w:rPr>
            </w:pPr>
            <w:r w:rsidRPr="00E12C01">
              <w:rPr>
                <w:rFonts w:ascii="Verdana" w:eastAsia="Verdana" w:hAnsi="Verdana" w:cs="Arial"/>
                <w:spacing w:val="-1"/>
                <w:sz w:val="20"/>
                <w:szCs w:val="20"/>
                <w:lang w:val="fr-RE"/>
              </w:rPr>
              <w:t>Donne mandat au Secrétariat général pour engager les négociations avec les universités des États membres en vue de la formalisation d’accords-cadres ouvrant la voie à des collaborations en faveur de la formation, de la mobilité et des actions thématiques portées par la COI ;</w:t>
            </w:r>
          </w:p>
          <w:p w14:paraId="0DA48A49" w14:textId="77777777" w:rsidR="007E2981" w:rsidRPr="00E12C01" w:rsidRDefault="007E2981" w:rsidP="007E2981">
            <w:pPr>
              <w:pStyle w:val="Paragraphedeliste"/>
              <w:widowControl w:val="0"/>
              <w:numPr>
                <w:ilvl w:val="0"/>
                <w:numId w:val="7"/>
              </w:numPr>
              <w:spacing w:after="120"/>
              <w:ind w:left="709" w:right="62" w:hanging="425"/>
              <w:contextualSpacing w:val="0"/>
              <w:jc w:val="both"/>
              <w:rPr>
                <w:rFonts w:ascii="Verdana" w:eastAsia="Verdana" w:hAnsi="Verdana" w:cs="Arial"/>
                <w:spacing w:val="-1"/>
                <w:sz w:val="20"/>
                <w:szCs w:val="20"/>
                <w:lang w:val="fr-RE"/>
              </w:rPr>
            </w:pPr>
            <w:r w:rsidRPr="00E12C01">
              <w:rPr>
                <w:rFonts w:ascii="Verdana" w:eastAsia="Verdana" w:hAnsi="Verdana" w:cs="Arial"/>
                <w:spacing w:val="-1"/>
                <w:sz w:val="20"/>
                <w:szCs w:val="20"/>
                <w:lang w:val="fr-RE"/>
              </w:rPr>
              <w:t xml:space="preserve">Demande au Secrétariat d’organiser au début de l’année 2022 des Assises de la formation et de la mobilité étudiante et </w:t>
            </w:r>
            <w:r w:rsidRPr="00E12C01">
              <w:rPr>
                <w:rFonts w:ascii="Verdana" w:eastAsia="Verdana" w:hAnsi="Verdana" w:cs="Arial"/>
                <w:spacing w:val="-1"/>
                <w:sz w:val="20"/>
                <w:szCs w:val="20"/>
                <w:lang w:val="fr-RE"/>
              </w:rPr>
              <w:lastRenderedPageBreak/>
              <w:t>professionnelle et de mobiliser les ressources nécessaires à cette fin auprès des partenaires au développement ;</w:t>
            </w:r>
          </w:p>
          <w:p w14:paraId="7C59CADD" w14:textId="77777777" w:rsidR="007E2981" w:rsidRPr="00E12C01" w:rsidRDefault="007E2981" w:rsidP="007E2981">
            <w:pPr>
              <w:pStyle w:val="Paragraphedeliste"/>
              <w:widowControl w:val="0"/>
              <w:numPr>
                <w:ilvl w:val="0"/>
                <w:numId w:val="7"/>
              </w:numPr>
              <w:spacing w:after="120"/>
              <w:ind w:left="709" w:right="62" w:hanging="425"/>
              <w:contextualSpacing w:val="0"/>
              <w:jc w:val="both"/>
              <w:rPr>
                <w:rFonts w:ascii="Verdana" w:eastAsia="Verdana" w:hAnsi="Verdana" w:cs="Arial"/>
                <w:spacing w:val="-1"/>
                <w:sz w:val="20"/>
                <w:szCs w:val="20"/>
                <w:lang w:val="fr-RE"/>
              </w:rPr>
            </w:pPr>
            <w:r w:rsidRPr="00E12C01">
              <w:rPr>
                <w:rFonts w:ascii="Verdana" w:eastAsia="Verdana" w:hAnsi="Verdana" w:cs="Arial"/>
                <w:spacing w:val="-1"/>
                <w:sz w:val="20"/>
                <w:szCs w:val="20"/>
                <w:lang w:val="fr-RE"/>
              </w:rPr>
              <w:t>Réitère l’intérêt des États membres pour l’élaboration d’un projet régional de formation et de mobilité tenant compte des conclusions et recommandations des Assises régionales sur le sujet pour examen à la prochaine session du Conseil des ministres de la COI ;</w:t>
            </w:r>
          </w:p>
          <w:p w14:paraId="1BC870E8" w14:textId="77777777" w:rsidR="007E2981" w:rsidRPr="00E12C01" w:rsidRDefault="007E2981" w:rsidP="007E2981">
            <w:pPr>
              <w:pStyle w:val="Paragraphedeliste"/>
              <w:widowControl w:val="0"/>
              <w:numPr>
                <w:ilvl w:val="0"/>
                <w:numId w:val="7"/>
              </w:numPr>
              <w:spacing w:after="120"/>
              <w:ind w:left="709" w:right="62" w:hanging="425"/>
              <w:contextualSpacing w:val="0"/>
              <w:jc w:val="both"/>
              <w:rPr>
                <w:rFonts w:ascii="Verdana" w:eastAsia="Verdana" w:hAnsi="Verdana" w:cs="Arial"/>
                <w:spacing w:val="-1"/>
                <w:sz w:val="20"/>
                <w:szCs w:val="20"/>
                <w:lang w:val="fr-RE"/>
              </w:rPr>
            </w:pPr>
            <w:r w:rsidRPr="00E12C01">
              <w:rPr>
                <w:rFonts w:ascii="Verdana" w:eastAsia="Verdana" w:hAnsi="Verdana" w:cs="Arial"/>
                <w:spacing w:val="-1"/>
                <w:sz w:val="20"/>
                <w:szCs w:val="20"/>
                <w:lang w:val="fr-RE"/>
              </w:rPr>
              <w:t>Prend note de l’opportunité d’accueillir un expert technique international dans le domaine de la formation au Secrétariat général de la COI et sollicite l’accord de la partie française à la demande du Secrétariat général ;</w:t>
            </w:r>
          </w:p>
          <w:p w14:paraId="73A0280E" w14:textId="77777777" w:rsidR="007E2981" w:rsidRPr="00E12C01" w:rsidRDefault="007E2981" w:rsidP="007E2981">
            <w:pPr>
              <w:pStyle w:val="Paragraphedeliste"/>
              <w:widowControl w:val="0"/>
              <w:numPr>
                <w:ilvl w:val="0"/>
                <w:numId w:val="7"/>
              </w:numPr>
              <w:spacing w:after="120"/>
              <w:ind w:left="709" w:right="62" w:hanging="425"/>
              <w:contextualSpacing w:val="0"/>
              <w:jc w:val="both"/>
              <w:rPr>
                <w:rFonts w:ascii="Verdana" w:eastAsia="Verdana" w:hAnsi="Verdana" w:cs="Arial"/>
                <w:iCs/>
                <w:spacing w:val="-1"/>
                <w:sz w:val="20"/>
                <w:szCs w:val="20"/>
                <w:lang w:val="fr-RE"/>
              </w:rPr>
            </w:pPr>
            <w:r w:rsidRPr="00E12C01">
              <w:rPr>
                <w:rFonts w:ascii="Verdana" w:eastAsia="Verdana" w:hAnsi="Verdana" w:cs="Arial"/>
                <w:spacing w:val="-1"/>
                <w:sz w:val="20"/>
                <w:szCs w:val="20"/>
                <w:lang w:val="fr-RE"/>
              </w:rPr>
              <w:t>Se félicite de la consolidation des partenariats avec les structures régionales de recherche et de formation, notamment à travers les accords et conventions qui seront signés avec le Centre de coopération internationale en recherche agronomique pour le développement (CIRAD), l’Institut de recherche pour le développement (IRD) et l’Université de La Réunion.</w:t>
            </w:r>
          </w:p>
          <w:p w14:paraId="5A1401DC" w14:textId="77777777" w:rsidR="00381225" w:rsidRPr="007E2981" w:rsidRDefault="00381225">
            <w:pPr>
              <w:rPr>
                <w:lang w:val="fr-RE"/>
              </w:rPr>
            </w:pPr>
          </w:p>
        </w:tc>
        <w:tc>
          <w:tcPr>
            <w:tcW w:w="1623" w:type="dxa"/>
          </w:tcPr>
          <w:p w14:paraId="5974161F" w14:textId="77777777" w:rsidR="00381225" w:rsidRDefault="00381225"/>
          <w:p w14:paraId="4C9836B4" w14:textId="63B49F99" w:rsidR="007E2981" w:rsidRDefault="007E2981">
            <w:r>
              <w:t>SG</w:t>
            </w:r>
          </w:p>
        </w:tc>
        <w:tc>
          <w:tcPr>
            <w:tcW w:w="5926" w:type="dxa"/>
          </w:tcPr>
          <w:p w14:paraId="564D8AB8" w14:textId="77777777" w:rsidR="00381225" w:rsidRDefault="00381225"/>
          <w:p w14:paraId="72426E7E" w14:textId="77777777" w:rsidR="00712D6C" w:rsidRDefault="00712D6C"/>
          <w:p w14:paraId="012D0A5E" w14:textId="77777777" w:rsidR="00712D6C" w:rsidRDefault="00712D6C"/>
          <w:p w14:paraId="68448F4B" w14:textId="77777777" w:rsidR="00712D6C" w:rsidRDefault="00712D6C">
            <w:r w:rsidRPr="00712D6C">
              <w:t>5.a – l’OPL mauricien a solli</w:t>
            </w:r>
            <w:r>
              <w:t xml:space="preserve">cité les institutions tertiaires du pays pour sonder l’intérêt d’un accord-cadre avec la COI. 4 institutions ont répondu positivement. Le SG-COI entamera les discussions avec ces institutions pour convenir des domaines d’intérêt commun. </w:t>
            </w:r>
          </w:p>
          <w:p w14:paraId="71C9CE31" w14:textId="77777777" w:rsidR="00712D6C" w:rsidRDefault="00712D6C">
            <w:r>
              <w:t xml:space="preserve">A noter que les accords-cadres sont des documents types ; seule la clause sur les domaines de coopération est appelée à être adaptée. </w:t>
            </w:r>
          </w:p>
          <w:p w14:paraId="74FF1970" w14:textId="77777777" w:rsidR="00712D6C" w:rsidRDefault="00712D6C">
            <w:r>
              <w:t xml:space="preserve">Le SG-COI sollicitera les autres Etats membres pour identifier les institutions tertiaires et entamer des discussions. </w:t>
            </w:r>
          </w:p>
          <w:p w14:paraId="3881B03C" w14:textId="77777777" w:rsidR="00712D6C" w:rsidRDefault="00712D6C"/>
          <w:p w14:paraId="6F65581E" w14:textId="77777777" w:rsidR="007854F0" w:rsidRDefault="00712D6C">
            <w:r>
              <w:t xml:space="preserve">5.b – Les Assises sont prévues de se tenir les 10-11 février 2022. </w:t>
            </w:r>
          </w:p>
          <w:p w14:paraId="41392E75" w14:textId="224E2912" w:rsidR="00712D6C" w:rsidRDefault="007854F0">
            <w:r>
              <w:lastRenderedPageBreak/>
              <w:t xml:space="preserve">Les Etats membres ont presque tous désigné des PFN et des personnes ressources. </w:t>
            </w:r>
            <w:r w:rsidR="00712D6C">
              <w:t xml:space="preserve">Format distanciel au regard des contraintes de déplacements. Mission d’expertises mobilisées à travers l’AFD depuis fin décembre 2021 pour établir un diagnostic dans les 6 secteurs retenus. </w:t>
            </w:r>
            <w:r>
              <w:t xml:space="preserve">Appui logistique et d’expertise additionnelle de l’OIT envisagé. </w:t>
            </w:r>
          </w:p>
          <w:p w14:paraId="2B8A5103" w14:textId="74529FC7" w:rsidR="007854F0" w:rsidRDefault="007854F0"/>
          <w:p w14:paraId="20C87E45" w14:textId="2797CA47" w:rsidR="007854F0" w:rsidRDefault="007854F0">
            <w:r>
              <w:t>5.c – [au 21/01] ce sera l’objet d’une note stratégique à l’attention du Conseil qui sera élaboré à la suite des Assises</w:t>
            </w:r>
          </w:p>
          <w:p w14:paraId="0537DA2B" w14:textId="4AB944F7" w:rsidR="007854F0" w:rsidRDefault="007854F0"/>
          <w:p w14:paraId="40978B0D" w14:textId="10BE4AF7" w:rsidR="007854F0" w:rsidRDefault="007854F0"/>
          <w:p w14:paraId="6F4EA604" w14:textId="3743E1D0" w:rsidR="007854F0" w:rsidRDefault="007854F0"/>
          <w:p w14:paraId="423AB3DE" w14:textId="513FF391" w:rsidR="007854F0" w:rsidRDefault="007854F0">
            <w:r>
              <w:t xml:space="preserve">5.d – le SG devra reprendre attache avec la partie française pour confirmer cette opportunité. </w:t>
            </w:r>
          </w:p>
          <w:p w14:paraId="34ECCC44" w14:textId="77777777" w:rsidR="007854F0" w:rsidRDefault="007854F0"/>
          <w:p w14:paraId="067772CF" w14:textId="49B80D8E" w:rsidR="007854F0" w:rsidRPr="00712D6C" w:rsidRDefault="007854F0"/>
        </w:tc>
        <w:tc>
          <w:tcPr>
            <w:tcW w:w="3364" w:type="dxa"/>
          </w:tcPr>
          <w:p w14:paraId="2F7C1364" w14:textId="77777777" w:rsidR="00381225" w:rsidRPr="00712D6C" w:rsidRDefault="00381225"/>
        </w:tc>
      </w:tr>
      <w:tr w:rsidR="00381225" w14:paraId="7676DBC7" w14:textId="77777777" w:rsidTr="007E2981">
        <w:tc>
          <w:tcPr>
            <w:tcW w:w="4475" w:type="dxa"/>
          </w:tcPr>
          <w:p w14:paraId="060DDD1F" w14:textId="77777777" w:rsidR="007E2981" w:rsidRPr="00376D3E" w:rsidRDefault="007E2981" w:rsidP="007E2981">
            <w:pPr>
              <w:spacing w:after="120"/>
              <w:ind w:firstLine="708"/>
              <w:jc w:val="center"/>
              <w:rPr>
                <w:rFonts w:ascii="Verdana" w:hAnsi="Verdana"/>
                <w:b/>
                <w:bCs/>
                <w:sz w:val="20"/>
                <w:szCs w:val="20"/>
              </w:rPr>
            </w:pPr>
            <w:r w:rsidRPr="00376D3E">
              <w:rPr>
                <w:rFonts w:ascii="Verdana" w:hAnsi="Verdana"/>
                <w:b/>
                <w:bCs/>
                <w:sz w:val="20"/>
                <w:szCs w:val="20"/>
              </w:rPr>
              <w:t xml:space="preserve">Décision </w:t>
            </w:r>
            <w:r>
              <w:rPr>
                <w:rFonts w:ascii="Verdana" w:hAnsi="Verdana"/>
                <w:b/>
                <w:bCs/>
                <w:sz w:val="20"/>
                <w:szCs w:val="20"/>
              </w:rPr>
              <w:t>6</w:t>
            </w:r>
            <w:r w:rsidRPr="00376D3E">
              <w:rPr>
                <w:rFonts w:ascii="Verdana" w:hAnsi="Verdana"/>
                <w:b/>
                <w:bCs/>
                <w:sz w:val="20"/>
                <w:szCs w:val="20"/>
              </w:rPr>
              <w:t xml:space="preserve">. </w:t>
            </w:r>
            <w:r>
              <w:rPr>
                <w:rFonts w:ascii="Verdana" w:hAnsi="Verdana"/>
                <w:b/>
                <w:bCs/>
                <w:sz w:val="20"/>
                <w:szCs w:val="20"/>
              </w:rPr>
              <w:t>Sécurité alimentaire</w:t>
            </w:r>
          </w:p>
          <w:p w14:paraId="5CE89E24" w14:textId="77777777" w:rsidR="007E2981" w:rsidRDefault="007E2981" w:rsidP="007E2981">
            <w:pPr>
              <w:jc w:val="both"/>
              <w:rPr>
                <w:rFonts w:ascii="Verdana" w:hAnsi="Verdana" w:cstheme="minorHAnsi"/>
                <w:sz w:val="20"/>
                <w:szCs w:val="20"/>
              </w:rPr>
            </w:pPr>
            <w:r w:rsidRPr="00583945">
              <w:rPr>
                <w:rFonts w:ascii="Verdana" w:hAnsi="Verdana" w:cstheme="minorHAnsi"/>
                <w:sz w:val="20"/>
                <w:szCs w:val="20"/>
              </w:rPr>
              <w:t>Le Conseil des ministres :</w:t>
            </w:r>
          </w:p>
          <w:p w14:paraId="6307A78A" w14:textId="77777777" w:rsidR="007E2981" w:rsidRPr="00583945" w:rsidRDefault="007E2981" w:rsidP="007E2981">
            <w:pPr>
              <w:jc w:val="both"/>
              <w:rPr>
                <w:rFonts w:ascii="Verdana" w:hAnsi="Verdana" w:cstheme="minorHAnsi"/>
                <w:sz w:val="20"/>
                <w:szCs w:val="20"/>
              </w:rPr>
            </w:pPr>
          </w:p>
          <w:p w14:paraId="37B33884"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lastRenderedPageBreak/>
              <w:t>Prend note de la clôture de la Convention de don entre le FIDA et la COI dans le cadre du projet intitulé « Appui à l'intégration des marchés agricoles régionaux dans la Commission de l'océan Indien » ;</w:t>
            </w:r>
          </w:p>
          <w:p w14:paraId="718C028E"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t>Remercie la FAO et le FIDA pour leur soutien technique et financier dans la mise en œuvre de la première phase du PRESAN ;</w:t>
            </w:r>
          </w:p>
          <w:p w14:paraId="234B034A"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t>Prend note des discussions engagées entre la COI et la Délégation de l’Union européenne en vue d’assurer le suivi de la mise en œuvre des activités du Programme Régional d’appui à la Sécurité Alimentaire et Nutritionnelle financé par le 11</w:t>
            </w:r>
            <w:r w:rsidRPr="00583945">
              <w:rPr>
                <w:rFonts w:ascii="Verdana" w:eastAsia="Calibri" w:hAnsi="Verdana" w:cstheme="minorHAnsi"/>
                <w:iCs/>
                <w:spacing w:val="6"/>
                <w:sz w:val="20"/>
                <w:szCs w:val="20"/>
                <w:vertAlign w:val="superscript"/>
                <w:lang w:eastAsia="fr-FR"/>
              </w:rPr>
              <w:t>ème</w:t>
            </w:r>
            <w:r w:rsidRPr="00583945">
              <w:rPr>
                <w:rFonts w:ascii="Verdana" w:eastAsia="Calibri" w:hAnsi="Verdana" w:cstheme="minorHAnsi"/>
                <w:iCs/>
                <w:spacing w:val="6"/>
                <w:sz w:val="20"/>
                <w:szCs w:val="20"/>
                <w:lang w:eastAsia="fr-FR"/>
              </w:rPr>
              <w:t xml:space="preserve"> FED ;</w:t>
            </w:r>
          </w:p>
          <w:p w14:paraId="0FC9F18C"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t>Demande au Secrétariat général de poursuivre les consultations avec la Délégation de l’Union européenne pour une mise en œuvre effective d’activités concrètes visant à assurer une meilleure articulation et complémentarité entre le Programme Régional d’appui à la Sécurité alimentaire et nutritionnelle, le PRESAN et l’URSAN ;</w:t>
            </w:r>
          </w:p>
          <w:p w14:paraId="51443C29"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t>Approuve la prolongation de la période de mise en œuvre du document de formulation du PRESAN pour une période de cinq ans (2016-2025) ;</w:t>
            </w:r>
          </w:p>
          <w:p w14:paraId="41C4C27E" w14:textId="77777777" w:rsidR="007E2981" w:rsidRPr="00583945" w:rsidRDefault="007E2981" w:rsidP="007E2981">
            <w:pPr>
              <w:numPr>
                <w:ilvl w:val="0"/>
                <w:numId w:val="8"/>
              </w:numPr>
              <w:spacing w:after="120"/>
              <w:ind w:left="567" w:hanging="567"/>
              <w:jc w:val="both"/>
              <w:rPr>
                <w:rFonts w:ascii="Verdana" w:eastAsia="Calibri" w:hAnsi="Verdana" w:cstheme="minorHAnsi"/>
                <w:iCs/>
                <w:spacing w:val="6"/>
                <w:sz w:val="20"/>
                <w:szCs w:val="20"/>
                <w:lang w:eastAsia="fr-FR"/>
              </w:rPr>
            </w:pPr>
            <w:r w:rsidRPr="00583945">
              <w:rPr>
                <w:rFonts w:ascii="Verdana" w:eastAsia="Calibri" w:hAnsi="Verdana" w:cstheme="minorHAnsi"/>
                <w:iCs/>
                <w:spacing w:val="6"/>
                <w:sz w:val="20"/>
                <w:szCs w:val="20"/>
                <w:lang w:eastAsia="fr-FR"/>
              </w:rPr>
              <w:lastRenderedPageBreak/>
              <w:t>Sollicite les partenaires techniques et financiers à renouveler leurs engagements en faveur des principaux projets et budgets sur la sécurité alimentaire et nutritionnelle dans la région et la mise en œuvre de projets concrets d’envergure régionale dans le cadre du PRESAN.</w:t>
            </w:r>
          </w:p>
          <w:p w14:paraId="23DC1E03" w14:textId="77777777" w:rsidR="00381225" w:rsidRDefault="00381225"/>
        </w:tc>
        <w:tc>
          <w:tcPr>
            <w:tcW w:w="1623" w:type="dxa"/>
          </w:tcPr>
          <w:p w14:paraId="0D103DEC" w14:textId="77777777" w:rsidR="00381225" w:rsidRDefault="00381225"/>
          <w:p w14:paraId="4E78279D" w14:textId="6160E9B3" w:rsidR="007E2981" w:rsidRDefault="007E2981">
            <w:r>
              <w:t>MM</w:t>
            </w:r>
          </w:p>
        </w:tc>
        <w:tc>
          <w:tcPr>
            <w:tcW w:w="5926" w:type="dxa"/>
          </w:tcPr>
          <w:p w14:paraId="4560CABE" w14:textId="77777777" w:rsidR="00381225" w:rsidRDefault="00381225"/>
          <w:p w14:paraId="3CF970ED" w14:textId="77777777" w:rsidR="008469CC" w:rsidRDefault="008469CC"/>
          <w:p w14:paraId="41643E7F" w14:textId="77777777" w:rsidR="008469CC" w:rsidRDefault="008469CC"/>
          <w:p w14:paraId="4DC7268F" w14:textId="77777777" w:rsidR="008469CC" w:rsidRDefault="008469CC"/>
          <w:p w14:paraId="47540269" w14:textId="0E712383" w:rsidR="008469CC" w:rsidRDefault="00A30901">
            <w:r>
              <w:lastRenderedPageBreak/>
              <w:t xml:space="preserve">6.a - </w:t>
            </w:r>
            <w:r w:rsidR="008469CC">
              <w:t>Le rapport d’achèvement du projet d’appui à l’intégration des march</w:t>
            </w:r>
            <w:r w:rsidR="00CB3E87">
              <w:t>é</w:t>
            </w:r>
            <w:r w:rsidR="008469CC">
              <w:t>s agricoles régionaux dans l’océan Indien a été communiqué</w:t>
            </w:r>
            <w:r w:rsidR="00CB3E87">
              <w:t xml:space="preserve"> au FIDA</w:t>
            </w:r>
            <w:r w:rsidR="00CB3E87" w:rsidRPr="00CB3E87">
              <w:t xml:space="preserve">, </w:t>
            </w:r>
            <w:r w:rsidR="00CB3E87">
              <w:t>lequel s’est inscrit dans le cadre de la première période de mise en œuvre du PRESAN.</w:t>
            </w:r>
          </w:p>
          <w:p w14:paraId="36283379" w14:textId="77777777" w:rsidR="00C40EF4" w:rsidRDefault="00C40EF4"/>
          <w:p w14:paraId="4B1449C0" w14:textId="77777777" w:rsidR="00C40EF4" w:rsidRDefault="00C40EF4"/>
          <w:p w14:paraId="0D9FA4A6" w14:textId="77777777" w:rsidR="00C40EF4" w:rsidRDefault="00C40EF4"/>
          <w:p w14:paraId="7528FFAC" w14:textId="77777777" w:rsidR="00C40EF4" w:rsidRDefault="00C40EF4"/>
          <w:p w14:paraId="39AD325C" w14:textId="77777777" w:rsidR="00C40EF4" w:rsidRDefault="00C40EF4"/>
          <w:p w14:paraId="5DC52A89" w14:textId="77777777" w:rsidR="00C40EF4" w:rsidRDefault="00C40EF4"/>
          <w:p w14:paraId="7220F655" w14:textId="77777777" w:rsidR="00C40EF4" w:rsidRDefault="00C40EF4"/>
          <w:p w14:paraId="3C5C3B66" w14:textId="77777777" w:rsidR="00C40EF4" w:rsidRDefault="00C40EF4"/>
          <w:p w14:paraId="23A901A4" w14:textId="77777777" w:rsidR="00C40EF4" w:rsidRDefault="00C40EF4"/>
          <w:p w14:paraId="058F7362" w14:textId="77777777" w:rsidR="00C40EF4" w:rsidRDefault="00C40EF4"/>
          <w:p w14:paraId="1490F1B8" w14:textId="77777777" w:rsidR="00C40EF4" w:rsidRDefault="00C40EF4"/>
          <w:p w14:paraId="6D091DBB" w14:textId="77777777" w:rsidR="00C40EF4" w:rsidRDefault="00C40EF4"/>
          <w:p w14:paraId="067165DE" w14:textId="77777777" w:rsidR="00C40EF4" w:rsidRDefault="00C40EF4"/>
          <w:p w14:paraId="6DB5733C" w14:textId="77777777" w:rsidR="00C40EF4" w:rsidRDefault="00C40EF4"/>
          <w:p w14:paraId="37C9D004" w14:textId="77777777" w:rsidR="00391604" w:rsidRDefault="00391604"/>
          <w:p w14:paraId="1ECA280F" w14:textId="448EA9C3" w:rsidR="00C40EF4" w:rsidRDefault="005F7B82">
            <w:r>
              <w:t xml:space="preserve">6.d - </w:t>
            </w:r>
            <w:r w:rsidR="00C40EF4">
              <w:t xml:space="preserve">Une mission d’indentification des actions à mener pour la composante ‘aspects sanitaires et phytosanitaires’ du Projet d’appui à la sécurité alimentaire et nutritionnelle sous financement FED est en cours dans les États membres de la COI. Une attention importante est </w:t>
            </w:r>
            <w:r w:rsidR="00391604">
              <w:t>accordée</w:t>
            </w:r>
            <w:r w:rsidR="00C40EF4">
              <w:t xml:space="preserve"> à la coordination des actions de ce programme avec le PRESAN</w:t>
            </w:r>
            <w:r w:rsidR="00391604">
              <w:t>.</w:t>
            </w:r>
          </w:p>
          <w:p w14:paraId="6D80941C" w14:textId="77777777" w:rsidR="00391604" w:rsidRDefault="00391604"/>
          <w:p w14:paraId="4F0A6920" w14:textId="77777777" w:rsidR="00391604" w:rsidRDefault="00391604"/>
          <w:p w14:paraId="23EDD1F5" w14:textId="77777777" w:rsidR="00391604" w:rsidRDefault="00391604"/>
          <w:p w14:paraId="0CC039BC" w14:textId="77777777" w:rsidR="00391604" w:rsidRDefault="00391604"/>
          <w:p w14:paraId="7E7B3D76" w14:textId="77777777" w:rsidR="00391604" w:rsidRDefault="00391604"/>
          <w:p w14:paraId="4E65DA08" w14:textId="77777777" w:rsidR="00391604" w:rsidRDefault="00391604"/>
          <w:p w14:paraId="6A40DF34" w14:textId="77777777" w:rsidR="00391604" w:rsidRDefault="00391604"/>
          <w:p w14:paraId="38EAF08F" w14:textId="77777777" w:rsidR="00391604" w:rsidRDefault="00391604"/>
          <w:p w14:paraId="6DA8B5EA" w14:textId="77777777" w:rsidR="00391604" w:rsidRDefault="00391604"/>
          <w:p w14:paraId="509E0DFC" w14:textId="77777777" w:rsidR="00391604" w:rsidRDefault="00391604"/>
          <w:p w14:paraId="763FACD6" w14:textId="1420EFE8" w:rsidR="00391604" w:rsidRDefault="005F7B82">
            <w:r>
              <w:t xml:space="preserve">6.f - Suite </w:t>
            </w:r>
            <w:r w:rsidR="001B35E4">
              <w:t xml:space="preserve">à </w:t>
            </w:r>
            <w:r w:rsidR="00391604">
              <w:t xml:space="preserve">la transmission du rapport d’achèvement, le Secrétariat est en attente des éventuels commentaires du FIDA </w:t>
            </w:r>
            <w:r w:rsidR="00391604">
              <w:lastRenderedPageBreak/>
              <w:t>et de l’indentification d’autres pistes de collaboration en vue de l’indentification d’autres projets d’envergure régionale dans le cadre de la sécurité alimentaire.</w:t>
            </w:r>
          </w:p>
          <w:p w14:paraId="57F69B55" w14:textId="77777777" w:rsidR="00391604" w:rsidRDefault="00391604"/>
          <w:p w14:paraId="09C8C75A" w14:textId="77777777" w:rsidR="00391604" w:rsidRDefault="00391604"/>
          <w:p w14:paraId="729499A9" w14:textId="06E4CA7E" w:rsidR="00391604" w:rsidRPr="00CB3E87" w:rsidRDefault="00391604"/>
        </w:tc>
        <w:tc>
          <w:tcPr>
            <w:tcW w:w="3364" w:type="dxa"/>
          </w:tcPr>
          <w:p w14:paraId="23FD7F00" w14:textId="77777777" w:rsidR="00381225" w:rsidRDefault="00381225"/>
          <w:p w14:paraId="7E55B2BE" w14:textId="77777777" w:rsidR="00CB3E87" w:rsidRDefault="00CB3E87"/>
          <w:p w14:paraId="6519F674" w14:textId="77777777" w:rsidR="00CB3E87" w:rsidRDefault="00CB3E87"/>
          <w:p w14:paraId="0A1ACAE6" w14:textId="77777777" w:rsidR="00CB3E87" w:rsidRDefault="00CB3E87"/>
          <w:p w14:paraId="49D7CA40" w14:textId="4469D594" w:rsidR="00CB3E87" w:rsidRDefault="00CB3E87"/>
        </w:tc>
      </w:tr>
      <w:tr w:rsidR="007E2981" w14:paraId="71F8F697" w14:textId="77777777" w:rsidTr="00855DAC">
        <w:tc>
          <w:tcPr>
            <w:tcW w:w="15388" w:type="dxa"/>
            <w:gridSpan w:val="4"/>
          </w:tcPr>
          <w:p w14:paraId="1A135036" w14:textId="52BCACAD" w:rsidR="007E2981" w:rsidRDefault="007E2981">
            <w:r>
              <w:rPr>
                <w:rFonts w:ascii="Verdana" w:hAnsi="Verdana"/>
                <w:b/>
                <w:bCs/>
                <w:color w:val="ED7D31" w:themeColor="accent2"/>
                <w:sz w:val="20"/>
                <w:szCs w:val="20"/>
              </w:rPr>
              <w:lastRenderedPageBreak/>
              <w:t>3</w:t>
            </w:r>
            <w:r w:rsidRPr="00376D3E">
              <w:rPr>
                <w:rFonts w:ascii="Verdana" w:hAnsi="Verdana"/>
                <w:b/>
                <w:bCs/>
                <w:color w:val="ED7D31" w:themeColor="accent2"/>
                <w:sz w:val="20"/>
                <w:szCs w:val="20"/>
              </w:rPr>
              <w:t xml:space="preserve"> – </w:t>
            </w:r>
            <w:r>
              <w:rPr>
                <w:rFonts w:ascii="Verdana" w:hAnsi="Verdana"/>
                <w:b/>
                <w:bCs/>
                <w:color w:val="ED7D31" w:themeColor="accent2"/>
                <w:sz w:val="20"/>
                <w:szCs w:val="20"/>
              </w:rPr>
              <w:t>Gouvernance maritime et sécurité</w:t>
            </w:r>
          </w:p>
        </w:tc>
      </w:tr>
      <w:tr w:rsidR="00381225" w:rsidRPr="00E52E2F" w14:paraId="60210EFB" w14:textId="77777777" w:rsidTr="007E2981">
        <w:tc>
          <w:tcPr>
            <w:tcW w:w="4475" w:type="dxa"/>
          </w:tcPr>
          <w:p w14:paraId="1D2B4264" w14:textId="77777777" w:rsidR="007E2981" w:rsidRPr="00376D3E" w:rsidRDefault="007E2981" w:rsidP="007E2981">
            <w:pPr>
              <w:spacing w:after="120"/>
              <w:jc w:val="center"/>
              <w:rPr>
                <w:rFonts w:ascii="Verdana" w:hAnsi="Verdana"/>
                <w:b/>
                <w:bCs/>
                <w:sz w:val="20"/>
                <w:szCs w:val="20"/>
              </w:rPr>
            </w:pPr>
            <w:r w:rsidRPr="00376D3E">
              <w:rPr>
                <w:rFonts w:ascii="Verdana" w:hAnsi="Verdana"/>
                <w:b/>
                <w:bCs/>
                <w:sz w:val="20"/>
                <w:szCs w:val="20"/>
              </w:rPr>
              <w:t>Décision</w:t>
            </w:r>
            <w:r>
              <w:rPr>
                <w:rFonts w:ascii="Verdana" w:hAnsi="Verdana"/>
                <w:b/>
                <w:bCs/>
                <w:sz w:val="20"/>
                <w:szCs w:val="20"/>
              </w:rPr>
              <w:t>7</w:t>
            </w:r>
            <w:r w:rsidRPr="00376D3E">
              <w:rPr>
                <w:rFonts w:ascii="Verdana" w:hAnsi="Verdana"/>
                <w:b/>
                <w:bCs/>
                <w:sz w:val="20"/>
                <w:szCs w:val="20"/>
              </w:rPr>
              <w:t>. Pêches</w:t>
            </w:r>
          </w:p>
          <w:p w14:paraId="1F9EB066" w14:textId="77777777" w:rsidR="007E2981" w:rsidRDefault="007E2981" w:rsidP="007E2981">
            <w:pPr>
              <w:jc w:val="both"/>
              <w:rPr>
                <w:rFonts w:ascii="Verdana" w:eastAsia="Calibri" w:hAnsi="Verdana" w:cstheme="minorHAnsi"/>
                <w:bCs/>
                <w:color w:val="000000"/>
                <w:sz w:val="20"/>
                <w:szCs w:val="20"/>
              </w:rPr>
            </w:pPr>
            <w:r w:rsidRPr="00784951">
              <w:rPr>
                <w:rFonts w:ascii="Verdana" w:eastAsia="Calibri" w:hAnsi="Verdana" w:cstheme="minorHAnsi"/>
                <w:bCs/>
                <w:color w:val="000000"/>
                <w:sz w:val="20"/>
                <w:szCs w:val="20"/>
              </w:rPr>
              <w:t>Le Conseil des ministres :</w:t>
            </w:r>
          </w:p>
          <w:p w14:paraId="25E20A21" w14:textId="77777777" w:rsidR="007E2981" w:rsidRPr="00784951" w:rsidRDefault="007E2981" w:rsidP="007E2981">
            <w:pPr>
              <w:jc w:val="both"/>
              <w:rPr>
                <w:rFonts w:ascii="Verdana" w:eastAsia="Calibri" w:hAnsi="Verdana" w:cstheme="minorHAnsi"/>
                <w:bCs/>
                <w:color w:val="000000"/>
                <w:sz w:val="20"/>
                <w:szCs w:val="20"/>
              </w:rPr>
            </w:pPr>
          </w:p>
          <w:p w14:paraId="6BAB5BFE" w14:textId="77777777" w:rsidR="007E2981" w:rsidRPr="0078495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Remercie la Banque mondiale pour son soutien financier au « Premier projet de gouvernance et de croissance partagée des pêches du Sud-Ouest</w:t>
            </w:r>
            <w:r w:rsidRPr="00784951">
              <w:rPr>
                <w:rFonts w:ascii="Verdana" w:hAnsi="Verdana" w:cstheme="minorHAnsi"/>
                <w:bCs/>
                <w:sz w:val="20"/>
                <w:szCs w:val="20"/>
              </w:rPr>
              <w:t xml:space="preserve"> </w:t>
            </w:r>
            <w:r w:rsidRPr="00784951">
              <w:rPr>
                <w:rFonts w:ascii="Verdana" w:eastAsia="Times New Roman" w:hAnsi="Verdana" w:cstheme="minorHAnsi"/>
                <w:bCs/>
                <w:sz w:val="20"/>
                <w:szCs w:val="20"/>
                <w:lang w:eastAsia="fr-FR"/>
              </w:rPr>
              <w:t>de l’océan Indien » (SWIOFish1) et féliciter le Secrétariat général de l’avoir mené à terme ;</w:t>
            </w:r>
          </w:p>
          <w:p w14:paraId="27F50E78" w14:textId="77777777" w:rsidR="007E2981" w:rsidRPr="0078495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proofErr w:type="gramStart"/>
            <w:r w:rsidRPr="00784951">
              <w:rPr>
                <w:rFonts w:ascii="Verdana" w:eastAsia="Times New Roman" w:hAnsi="Verdana" w:cstheme="minorHAnsi"/>
                <w:bCs/>
                <w:sz w:val="20"/>
                <w:szCs w:val="20"/>
                <w:lang w:eastAsia="fr-FR"/>
              </w:rPr>
              <w:t>Remercie</w:t>
            </w:r>
            <w:r>
              <w:rPr>
                <w:rFonts w:ascii="Verdana" w:eastAsia="Times New Roman" w:hAnsi="Verdana" w:cstheme="minorHAnsi"/>
                <w:bCs/>
                <w:sz w:val="20"/>
                <w:szCs w:val="20"/>
                <w:lang w:eastAsia="fr-FR"/>
              </w:rPr>
              <w:t xml:space="preserve"> </w:t>
            </w:r>
            <w:r w:rsidRPr="00784951">
              <w:rPr>
                <w:rFonts w:ascii="Verdana" w:eastAsia="Times New Roman" w:hAnsi="Verdana" w:cstheme="minorHAnsi"/>
                <w:bCs/>
                <w:sz w:val="20"/>
                <w:szCs w:val="20"/>
                <w:lang w:eastAsia="fr-FR"/>
              </w:rPr>
              <w:t>la</w:t>
            </w:r>
            <w:proofErr w:type="gramEnd"/>
            <w:r>
              <w:rPr>
                <w:rFonts w:ascii="Verdana" w:eastAsia="Times New Roman" w:hAnsi="Verdana" w:cstheme="minorHAnsi"/>
                <w:bCs/>
                <w:sz w:val="20"/>
                <w:szCs w:val="20"/>
                <w:lang w:eastAsia="fr-FR"/>
              </w:rPr>
              <w:t xml:space="preserve"> </w:t>
            </w:r>
            <w:r w:rsidRPr="00784951">
              <w:rPr>
                <w:rFonts w:ascii="Verdana" w:eastAsia="Times New Roman" w:hAnsi="Verdana" w:cstheme="minorHAnsi"/>
                <w:bCs/>
                <w:sz w:val="20"/>
                <w:szCs w:val="20"/>
                <w:lang w:eastAsia="fr-FR"/>
              </w:rPr>
              <w:t xml:space="preserve">France/Réunion pour la collaboration dans le cadre du Plan régional de surveillance des pêches (PRSP) à travers le déploiement du patrouilleur OSIRIS II lors des trois patrouilles régionales sur financement FEDER/INTERREG V océan Indien et encourage le Secrétariat général à poursuivre le partenariat sur la période 2021-2027 ; </w:t>
            </w:r>
          </w:p>
          <w:p w14:paraId="7F38DA58" w14:textId="77777777" w:rsidR="007E2981" w:rsidRPr="0078495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 xml:space="preserve">Remercie la Délégation de l’Union européenne pour la signature des contrats de subvention avec les pays éligibles participants au PRSP en vue de l’organisation des prochaines </w:t>
            </w:r>
            <w:r w:rsidRPr="00784951">
              <w:rPr>
                <w:rFonts w:ascii="Verdana" w:eastAsia="Times New Roman" w:hAnsi="Verdana" w:cstheme="minorHAnsi"/>
                <w:bCs/>
                <w:sz w:val="20"/>
                <w:szCs w:val="20"/>
                <w:lang w:eastAsia="fr-FR"/>
              </w:rPr>
              <w:lastRenderedPageBreak/>
              <w:t>patrouilles régionales conjointes de surveillance maritime et aérienne ;</w:t>
            </w:r>
          </w:p>
          <w:p w14:paraId="431D707C" w14:textId="77777777" w:rsidR="007E2981" w:rsidRPr="0078495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 xml:space="preserve">Approuve la demande d’adhésion de la Somalie pour intégrer le PRSP dans le domaine des échanges d’information et de renforcement des capacités à l’issue de </w:t>
            </w:r>
            <w:r w:rsidRPr="00784951">
              <w:rPr>
                <w:rFonts w:ascii="Verdana" w:hAnsi="Verdana" w:cstheme="minorHAnsi"/>
                <w:bCs/>
                <w:sz w:val="20"/>
                <w:szCs w:val="20"/>
              </w:rPr>
              <w:t>la finalisation des amendements de l’arrangement administratif ainsi que le protocole d’échanges d’informations et de partage des données sur les pêches à des fins de gestion, suivi, contrôle et surveillance des pêches conformément aux recommandations de l’Unité de coordination régionale élargie (UCRE) du 21 octobre 2021 aux Seychelles ;</w:t>
            </w:r>
          </w:p>
          <w:p w14:paraId="5B710B1A" w14:textId="77777777" w:rsidR="007E2981" w:rsidRPr="0078495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Demande au Secrétariat général de formaliser avec la Partie somalienne cette adhésion conformément aux procédures s’y rapportant et aux recommandations de l’UCRE du 21 octobre 2021 ;</w:t>
            </w:r>
          </w:p>
          <w:p w14:paraId="1AC3DE48" w14:textId="77777777" w:rsidR="007E298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Se félicite de la relance du système de suivi des bateaux de pêche (VMS) régional hébergé auprès du Secrétariat général de la COI ;</w:t>
            </w:r>
          </w:p>
          <w:p w14:paraId="673330F8" w14:textId="77777777" w:rsidR="007E2981" w:rsidRPr="00784951" w:rsidRDefault="007E2981" w:rsidP="007E2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jc w:val="both"/>
              <w:rPr>
                <w:rFonts w:ascii="Verdana" w:eastAsia="Times New Roman" w:hAnsi="Verdana" w:cstheme="minorHAnsi"/>
                <w:bCs/>
                <w:sz w:val="20"/>
                <w:szCs w:val="20"/>
                <w:lang w:eastAsia="fr-FR"/>
              </w:rPr>
            </w:pPr>
          </w:p>
          <w:p w14:paraId="31EA7881" w14:textId="77777777" w:rsidR="007E2981"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784951">
              <w:rPr>
                <w:rFonts w:ascii="Verdana" w:eastAsia="Times New Roman" w:hAnsi="Verdana" w:cstheme="minorHAnsi"/>
                <w:bCs/>
                <w:sz w:val="20"/>
                <w:szCs w:val="20"/>
                <w:lang w:eastAsia="fr-FR"/>
              </w:rPr>
              <w:t>Prend note des recommandations de l’UCRE du 21 octobre 2021 sur la nécessité d’un local sécurisé pour l’opérationnalisation du centre VMS régional et demande au Secrétariat général, en collaboration avec le Programme ECOFISH, de prendre les dispositions nécessaires s’y rapportant</w:t>
            </w:r>
            <w:r>
              <w:rPr>
                <w:rFonts w:ascii="Verdana" w:eastAsia="Times New Roman" w:hAnsi="Verdana" w:cstheme="minorHAnsi"/>
                <w:bCs/>
                <w:sz w:val="20"/>
                <w:szCs w:val="20"/>
                <w:lang w:eastAsia="fr-FR"/>
              </w:rPr>
              <w:t xml:space="preserve"> ; </w:t>
            </w:r>
          </w:p>
          <w:p w14:paraId="0B1DC19C" w14:textId="77777777" w:rsidR="007E2981" w:rsidRPr="00F4094F" w:rsidRDefault="007E2981" w:rsidP="007E298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425"/>
              <w:jc w:val="both"/>
              <w:rPr>
                <w:rFonts w:ascii="Verdana" w:eastAsia="Times New Roman" w:hAnsi="Verdana" w:cstheme="minorHAnsi"/>
                <w:bCs/>
                <w:sz w:val="20"/>
                <w:szCs w:val="20"/>
                <w:lang w:eastAsia="fr-FR"/>
              </w:rPr>
            </w:pPr>
            <w:r w:rsidRPr="00F4094F">
              <w:rPr>
                <w:rFonts w:ascii="Verdana" w:eastAsia="Times New Roman" w:hAnsi="Verdana" w:cstheme="minorHAnsi"/>
                <w:bCs/>
                <w:sz w:val="20"/>
                <w:szCs w:val="20"/>
                <w:lang w:eastAsia="fr-FR"/>
              </w:rPr>
              <w:lastRenderedPageBreak/>
              <w:t>Le</w:t>
            </w:r>
            <w:r>
              <w:rPr>
                <w:rFonts w:ascii="Verdana" w:eastAsia="Times New Roman" w:hAnsi="Verdana" w:cstheme="minorHAnsi"/>
                <w:bCs/>
                <w:sz w:val="20"/>
                <w:szCs w:val="20"/>
                <w:lang w:eastAsia="fr-FR"/>
              </w:rPr>
              <w:t>s ministres ont discuté de la redéfinition de la zone de coopération du PRSP et décident que ce sujet sera examiné de nouveau au Conseil des ministres sur la base d’un rapport de l’unité de coordination régionale élargie s’agissant des Chagos. Ils renvoient, par ailleurs, à la commission mixte franco-malgache ad hoc les discussions relatives aux îles du Canal du Mozambique telles qu’elles ont été définies lors de la première commission mixte tenue à Antananarivo le 18 novembre 2019</w:t>
            </w:r>
            <w:r w:rsidRPr="00F4094F">
              <w:rPr>
                <w:rFonts w:ascii="Verdana" w:hAnsi="Verdana"/>
                <w:sz w:val="20"/>
                <w:szCs w:val="20"/>
              </w:rPr>
              <w:t xml:space="preserve">. </w:t>
            </w:r>
          </w:p>
          <w:p w14:paraId="7718E9ED" w14:textId="77777777" w:rsidR="00381225" w:rsidRDefault="00381225"/>
        </w:tc>
        <w:tc>
          <w:tcPr>
            <w:tcW w:w="1623" w:type="dxa"/>
          </w:tcPr>
          <w:p w14:paraId="4D9DD8AC" w14:textId="77777777" w:rsidR="00381225" w:rsidRDefault="00381225"/>
          <w:p w14:paraId="11D318AB" w14:textId="5459648F" w:rsidR="007E2981" w:rsidRDefault="007E2981">
            <w:r>
              <w:t>MM</w:t>
            </w:r>
          </w:p>
        </w:tc>
        <w:tc>
          <w:tcPr>
            <w:tcW w:w="5926" w:type="dxa"/>
          </w:tcPr>
          <w:p w14:paraId="1D76228A" w14:textId="77777777" w:rsidR="00381225" w:rsidRDefault="00381225"/>
          <w:p w14:paraId="2584734E" w14:textId="77777777" w:rsidR="00391604" w:rsidRDefault="00391604"/>
          <w:p w14:paraId="20E94DD6" w14:textId="77777777" w:rsidR="00391604" w:rsidRDefault="00391604"/>
          <w:p w14:paraId="27583F1F" w14:textId="77777777" w:rsidR="00391604" w:rsidRDefault="00391604"/>
          <w:p w14:paraId="12942DD5" w14:textId="77777777" w:rsidR="00391604" w:rsidRDefault="00391604"/>
          <w:p w14:paraId="2775E918" w14:textId="77777777" w:rsidR="00391604" w:rsidRDefault="00391604"/>
          <w:p w14:paraId="40B1D9D8" w14:textId="77777777" w:rsidR="00391604" w:rsidRDefault="00391604"/>
          <w:p w14:paraId="32A84A9C" w14:textId="77777777" w:rsidR="00391604" w:rsidRDefault="00391604"/>
          <w:p w14:paraId="132270D6" w14:textId="77777777" w:rsidR="00391604" w:rsidRDefault="00391604"/>
          <w:p w14:paraId="23B526FB" w14:textId="77777777" w:rsidR="00391604" w:rsidRDefault="00391604"/>
          <w:p w14:paraId="186D1ED7" w14:textId="77777777" w:rsidR="00391604" w:rsidRDefault="00391604"/>
          <w:p w14:paraId="02FF9BB6" w14:textId="15953E09" w:rsidR="00FD13CF" w:rsidRDefault="00FD13CF" w:rsidP="00FD13CF">
            <w:pPr>
              <w:rPr>
                <w:rFonts w:ascii="Calibri" w:hAnsi="Calibri" w:cs="Calibri"/>
                <w:color w:val="000000"/>
              </w:rPr>
            </w:pPr>
            <w:r>
              <w:rPr>
                <w:rFonts w:ascii="Calibri" w:hAnsi="Calibri" w:cs="Calibri"/>
                <w:color w:val="000000"/>
              </w:rPr>
              <w:t xml:space="preserve">7.b - Pour les </w:t>
            </w:r>
            <w:r w:rsidR="001B35E4">
              <w:rPr>
                <w:rFonts w:ascii="Calibri" w:hAnsi="Calibri" w:cs="Calibri"/>
                <w:color w:val="000000"/>
              </w:rPr>
              <w:t xml:space="preserve">patrouilles </w:t>
            </w:r>
            <w:r>
              <w:rPr>
                <w:rFonts w:ascii="Calibri" w:hAnsi="Calibri" w:cs="Calibri"/>
                <w:color w:val="000000"/>
              </w:rPr>
              <w:t>régionales PRSP, une mission avec le patrouilleur français OSIRIS sous financement FEDER/INTEREG est prévue mi-mars – avril pour 22 jours.</w:t>
            </w:r>
          </w:p>
          <w:p w14:paraId="2AD4E887" w14:textId="74E5394D" w:rsidR="00FD13CF" w:rsidRDefault="00FD13CF" w:rsidP="00FD13CF">
            <w:pPr>
              <w:rPr>
                <w:rFonts w:ascii="Calibri" w:hAnsi="Calibri" w:cs="Calibri"/>
                <w:color w:val="000000"/>
              </w:rPr>
            </w:pPr>
            <w:r>
              <w:rPr>
                <w:rFonts w:ascii="Calibri" w:hAnsi="Calibri" w:cs="Calibri"/>
                <w:color w:val="000000"/>
              </w:rPr>
              <w:t>L’organisation de cette mission sera discutée lors de la 51</w:t>
            </w:r>
            <w:r>
              <w:rPr>
                <w:rFonts w:ascii="Calibri" w:hAnsi="Calibri" w:cs="Calibri"/>
                <w:color w:val="000000"/>
                <w:vertAlign w:val="superscript"/>
              </w:rPr>
              <w:t>ème</w:t>
            </w:r>
            <w:r>
              <w:rPr>
                <w:rStyle w:val="apple-converted-space"/>
                <w:rFonts w:ascii="Calibri" w:hAnsi="Calibri" w:cs="Calibri"/>
                <w:color w:val="000000"/>
              </w:rPr>
              <w:t> </w:t>
            </w:r>
            <w:r>
              <w:rPr>
                <w:rFonts w:ascii="Calibri" w:hAnsi="Calibri" w:cs="Calibri"/>
                <w:color w:val="000000"/>
              </w:rPr>
              <w:t>UCR qui se tiendra le 28 février 2022 à Nairobi.</w:t>
            </w:r>
          </w:p>
          <w:p w14:paraId="4358CCEB" w14:textId="18D44313" w:rsidR="00FD13CF" w:rsidRDefault="00FD13CF" w:rsidP="00FD13CF">
            <w:pPr>
              <w:rPr>
                <w:rFonts w:ascii="Calibri" w:hAnsi="Calibri" w:cs="Calibri"/>
                <w:color w:val="000000"/>
              </w:rPr>
            </w:pPr>
          </w:p>
          <w:p w14:paraId="221DEC5F" w14:textId="7101C263" w:rsidR="00FD13CF" w:rsidRDefault="00FD13CF" w:rsidP="00FD13CF">
            <w:pPr>
              <w:rPr>
                <w:rFonts w:ascii="Calibri" w:hAnsi="Calibri" w:cs="Calibri"/>
                <w:color w:val="000000"/>
              </w:rPr>
            </w:pPr>
          </w:p>
          <w:p w14:paraId="6B8B53E9" w14:textId="5B1F0CE6" w:rsidR="00FD13CF" w:rsidRDefault="00FD13CF" w:rsidP="00FD13CF">
            <w:pPr>
              <w:rPr>
                <w:rFonts w:ascii="Calibri" w:hAnsi="Calibri" w:cs="Calibri"/>
                <w:color w:val="000000"/>
              </w:rPr>
            </w:pPr>
          </w:p>
          <w:p w14:paraId="513ECC1D" w14:textId="71295856" w:rsidR="00FD13CF" w:rsidRDefault="00FD13CF" w:rsidP="00FD13CF">
            <w:pPr>
              <w:rPr>
                <w:rFonts w:ascii="Calibri" w:hAnsi="Calibri" w:cs="Calibri"/>
                <w:color w:val="000000"/>
              </w:rPr>
            </w:pPr>
          </w:p>
          <w:p w14:paraId="5A2ED958" w14:textId="5254F9C8" w:rsidR="00FD13CF" w:rsidRDefault="00FD13CF" w:rsidP="00FD13CF">
            <w:pPr>
              <w:rPr>
                <w:rFonts w:ascii="Calibri" w:hAnsi="Calibri" w:cs="Calibri"/>
                <w:color w:val="000000"/>
              </w:rPr>
            </w:pPr>
          </w:p>
          <w:p w14:paraId="3BD516A4" w14:textId="78D25B87" w:rsidR="00FD13CF" w:rsidRDefault="00FD13CF" w:rsidP="00FD13CF">
            <w:pPr>
              <w:rPr>
                <w:rFonts w:ascii="Calibri" w:hAnsi="Calibri" w:cs="Calibri"/>
                <w:color w:val="000000"/>
              </w:rPr>
            </w:pPr>
          </w:p>
          <w:p w14:paraId="163F5779" w14:textId="1CA170E4" w:rsidR="00603DCD" w:rsidRDefault="00FD13CF" w:rsidP="00FD13CF">
            <w:pPr>
              <w:rPr>
                <w:rFonts w:ascii="Calibri" w:hAnsi="Calibri" w:cs="Calibri"/>
                <w:color w:val="000000"/>
              </w:rPr>
            </w:pPr>
            <w:r>
              <w:rPr>
                <w:rFonts w:ascii="Calibri" w:hAnsi="Calibri" w:cs="Calibri"/>
                <w:color w:val="000000"/>
              </w:rPr>
              <w:t xml:space="preserve">7.c – Une mission régionale </w:t>
            </w:r>
            <w:r w:rsidR="00603DCD">
              <w:rPr>
                <w:rFonts w:ascii="Calibri" w:hAnsi="Calibri" w:cs="Calibri"/>
                <w:color w:val="000000"/>
              </w:rPr>
              <w:t>organisée</w:t>
            </w:r>
            <w:r>
              <w:rPr>
                <w:rFonts w:ascii="Calibri" w:hAnsi="Calibri" w:cs="Calibri"/>
                <w:color w:val="000000"/>
              </w:rPr>
              <w:t xml:space="preserve"> dans le cadre de la mise en œuvre du contrat de subvention </w:t>
            </w:r>
            <w:r w:rsidR="00603DCD">
              <w:rPr>
                <w:rFonts w:ascii="Calibri" w:hAnsi="Calibri" w:cs="Calibri"/>
                <w:color w:val="000000"/>
              </w:rPr>
              <w:t xml:space="preserve">avec Mozambique est prévue mi-avril-mai avec le patrouilleur malagasy ATSANTSA pour le contrôle des palangriers dans le Sud du Canal mais en </w:t>
            </w:r>
            <w:r w:rsidR="00603DCD">
              <w:rPr>
                <w:rFonts w:ascii="Calibri" w:hAnsi="Calibri" w:cs="Calibri"/>
                <w:color w:val="000000"/>
              </w:rPr>
              <w:lastRenderedPageBreak/>
              <w:t>fonction du préfinancement et le contrat d’affrètement d’ATSANTSA. Cette mission sera également discutée lors de la prochaine réunion de l’UCR du 28 février 2022 à Nairobi</w:t>
            </w:r>
          </w:p>
          <w:p w14:paraId="5C38D577" w14:textId="6C8C27D2" w:rsidR="00391604" w:rsidRDefault="00391604"/>
          <w:p w14:paraId="4B62DBF8" w14:textId="77777777" w:rsidR="00391604" w:rsidRDefault="00391604"/>
          <w:p w14:paraId="7C98CFC8" w14:textId="77777777" w:rsidR="00391604" w:rsidRDefault="00391604"/>
          <w:p w14:paraId="71365F5B" w14:textId="77777777" w:rsidR="00391604" w:rsidRDefault="00391604"/>
          <w:p w14:paraId="4D8AEF89" w14:textId="77777777" w:rsidR="00391604" w:rsidRDefault="00391604"/>
          <w:p w14:paraId="327A9C17" w14:textId="77777777" w:rsidR="00391604" w:rsidRDefault="00391604"/>
          <w:p w14:paraId="67C3BBCE" w14:textId="77777777" w:rsidR="00391604" w:rsidRDefault="00391604"/>
          <w:p w14:paraId="7BD2476E" w14:textId="77777777" w:rsidR="00391604" w:rsidRDefault="00391604"/>
          <w:p w14:paraId="4542C198" w14:textId="77777777" w:rsidR="00391604" w:rsidRDefault="00391604"/>
          <w:p w14:paraId="6837C95B" w14:textId="77777777" w:rsidR="00391604" w:rsidRDefault="00391604"/>
          <w:p w14:paraId="60D12384" w14:textId="77777777" w:rsidR="00391604" w:rsidRDefault="00391604"/>
          <w:p w14:paraId="59CE4930" w14:textId="77777777" w:rsidR="00E52E2F" w:rsidRDefault="00E52E2F"/>
          <w:p w14:paraId="324DB4EA" w14:textId="77777777" w:rsidR="00E52E2F" w:rsidRDefault="00E52E2F"/>
          <w:p w14:paraId="3CD69EF1" w14:textId="77777777" w:rsidR="00E52E2F" w:rsidRDefault="00E52E2F"/>
          <w:p w14:paraId="2C2D11A4" w14:textId="77777777" w:rsidR="00E52E2F" w:rsidRDefault="00E52E2F"/>
          <w:p w14:paraId="24C266DF" w14:textId="7E73D259" w:rsidR="00E52E2F" w:rsidRDefault="005F7B82">
            <w:r>
              <w:t xml:space="preserve">7.e - </w:t>
            </w:r>
            <w:r w:rsidR="00E52E2F" w:rsidRPr="00E52E2F">
              <w:t xml:space="preserve">Le Secrétariat General a informé officiellement la </w:t>
            </w:r>
            <w:r w:rsidR="00E52E2F">
              <w:t>Partie somalienne de l’approbation par le Conseil de la demande d’adhésion de la Somalie pour intégrer le PRSP.</w:t>
            </w:r>
          </w:p>
          <w:p w14:paraId="51C58C3E" w14:textId="77777777" w:rsidR="00E52E2F" w:rsidRDefault="00E52E2F"/>
          <w:p w14:paraId="3C259F42" w14:textId="77777777" w:rsidR="00E52E2F" w:rsidRDefault="00E52E2F"/>
          <w:p w14:paraId="745838DC" w14:textId="77777777" w:rsidR="00E52E2F" w:rsidRDefault="00E52E2F"/>
          <w:p w14:paraId="109B0884" w14:textId="77777777" w:rsidR="00E52E2F" w:rsidRDefault="00E52E2F"/>
          <w:p w14:paraId="3EE44399" w14:textId="4AFCCB40" w:rsidR="00E52E2F" w:rsidRDefault="00E52E2F"/>
          <w:p w14:paraId="5F0E2A51" w14:textId="77777777" w:rsidR="009A2190" w:rsidRDefault="009A2190"/>
          <w:p w14:paraId="2B139E5F" w14:textId="77777777" w:rsidR="00E52E2F" w:rsidRDefault="00E52E2F"/>
          <w:p w14:paraId="4F6EAED0" w14:textId="77777777" w:rsidR="00E52E2F" w:rsidRDefault="00E52E2F"/>
          <w:p w14:paraId="6B8A9530" w14:textId="77777777" w:rsidR="00E52E2F" w:rsidRDefault="00E52E2F"/>
          <w:p w14:paraId="3D28B1C7" w14:textId="4BAF5E0C" w:rsidR="003A6F27" w:rsidRDefault="005F7B82" w:rsidP="003A6F27">
            <w:r>
              <w:t xml:space="preserve">7.g - </w:t>
            </w:r>
            <w:r w:rsidR="00E52E2F">
              <w:t>De</w:t>
            </w:r>
            <w:r w:rsidR="003A6F27">
              <w:t>ux options sont proposées :</w:t>
            </w:r>
            <w:r w:rsidR="003A6F27">
              <w:br/>
              <w:t>- mise à disposition d’un local par le Secrétariat général pour abriter le centre VMS régional COI ;</w:t>
            </w:r>
          </w:p>
          <w:p w14:paraId="6A661D6D" w14:textId="6825289D" w:rsidR="00E52E2F" w:rsidRPr="00E52E2F" w:rsidRDefault="003A6F27" w:rsidP="003A6F27">
            <w:r>
              <w:t xml:space="preserve">- des </w:t>
            </w:r>
            <w:r w:rsidR="00E52E2F">
              <w:t xml:space="preserve">discussions ont été </w:t>
            </w:r>
            <w:r>
              <w:t>également entamées</w:t>
            </w:r>
            <w:r w:rsidR="00E52E2F">
              <w:t xml:space="preserve"> avec INCATEMA</w:t>
            </w:r>
            <w:r>
              <w:t xml:space="preserve"> sur une éventuelle prise en charge de la location d’un local pour le VMS régional.</w:t>
            </w:r>
          </w:p>
        </w:tc>
        <w:tc>
          <w:tcPr>
            <w:tcW w:w="3364" w:type="dxa"/>
          </w:tcPr>
          <w:p w14:paraId="6A83DF79" w14:textId="77777777" w:rsidR="00381225" w:rsidRPr="00E52E2F" w:rsidRDefault="00381225"/>
        </w:tc>
      </w:tr>
      <w:tr w:rsidR="00381225" w14:paraId="163C858C" w14:textId="77777777" w:rsidTr="007E2981">
        <w:tc>
          <w:tcPr>
            <w:tcW w:w="4475" w:type="dxa"/>
          </w:tcPr>
          <w:p w14:paraId="5C9DC63C" w14:textId="77777777" w:rsidR="007E2981" w:rsidRPr="00376D3E" w:rsidRDefault="007E2981" w:rsidP="007E2981">
            <w:pPr>
              <w:spacing w:after="120"/>
              <w:ind w:firstLine="708"/>
              <w:jc w:val="center"/>
              <w:rPr>
                <w:rFonts w:ascii="Verdana" w:hAnsi="Verdana"/>
                <w:b/>
                <w:bCs/>
                <w:sz w:val="20"/>
                <w:szCs w:val="20"/>
              </w:rPr>
            </w:pPr>
            <w:r w:rsidRPr="00376D3E">
              <w:rPr>
                <w:rFonts w:ascii="Verdana" w:hAnsi="Verdana"/>
                <w:b/>
                <w:bCs/>
                <w:sz w:val="20"/>
                <w:szCs w:val="20"/>
              </w:rPr>
              <w:lastRenderedPageBreak/>
              <w:t xml:space="preserve">Décision </w:t>
            </w:r>
            <w:r>
              <w:rPr>
                <w:rFonts w:ascii="Verdana" w:hAnsi="Verdana"/>
                <w:b/>
                <w:bCs/>
                <w:sz w:val="20"/>
                <w:szCs w:val="20"/>
              </w:rPr>
              <w:t>8</w:t>
            </w:r>
            <w:r w:rsidRPr="00376D3E">
              <w:rPr>
                <w:rFonts w:ascii="Verdana" w:hAnsi="Verdana"/>
                <w:b/>
                <w:bCs/>
                <w:sz w:val="20"/>
                <w:szCs w:val="20"/>
              </w:rPr>
              <w:t xml:space="preserve">. Sécurité </w:t>
            </w:r>
            <w:r>
              <w:rPr>
                <w:rFonts w:ascii="Verdana" w:hAnsi="Verdana"/>
                <w:b/>
                <w:bCs/>
                <w:sz w:val="20"/>
                <w:szCs w:val="20"/>
              </w:rPr>
              <w:t>maritime</w:t>
            </w:r>
          </w:p>
          <w:p w14:paraId="2BCACE8E" w14:textId="77777777" w:rsidR="007E2981" w:rsidRDefault="007E2981" w:rsidP="007E2981">
            <w:pPr>
              <w:jc w:val="both"/>
              <w:rPr>
                <w:rFonts w:ascii="Verdana" w:hAnsi="Verdana"/>
                <w:bCs/>
                <w:spacing w:val="6"/>
                <w:sz w:val="20"/>
                <w:szCs w:val="20"/>
              </w:rPr>
            </w:pPr>
            <w:r w:rsidRPr="006562D4">
              <w:rPr>
                <w:rFonts w:ascii="Verdana" w:hAnsi="Verdana"/>
                <w:bCs/>
                <w:spacing w:val="6"/>
                <w:sz w:val="20"/>
                <w:szCs w:val="20"/>
              </w:rPr>
              <w:t xml:space="preserve">Le Conseil des ministres : </w:t>
            </w:r>
          </w:p>
          <w:p w14:paraId="1E62E080" w14:textId="77777777" w:rsidR="007E2981" w:rsidRDefault="007E2981" w:rsidP="007E2981">
            <w:pPr>
              <w:jc w:val="both"/>
              <w:rPr>
                <w:rFonts w:ascii="Verdana" w:hAnsi="Verdana" w:cs="Segoe UI"/>
                <w:bCs/>
                <w:i/>
                <w:iCs/>
                <w:color w:val="7F7F7F" w:themeColor="text1" w:themeTint="80"/>
                <w:spacing w:val="6"/>
                <w:sz w:val="20"/>
                <w:szCs w:val="20"/>
              </w:rPr>
            </w:pPr>
          </w:p>
          <w:p w14:paraId="524B49D8" w14:textId="77777777" w:rsidR="007E2981" w:rsidRDefault="007E2981" w:rsidP="007E2981">
            <w:pPr>
              <w:jc w:val="both"/>
              <w:rPr>
                <w:rFonts w:ascii="Verdana" w:hAnsi="Verdana" w:cs="Segoe UI"/>
                <w:bCs/>
                <w:i/>
                <w:iCs/>
                <w:color w:val="7F7F7F" w:themeColor="text1" w:themeTint="80"/>
                <w:spacing w:val="6"/>
                <w:sz w:val="20"/>
                <w:szCs w:val="20"/>
              </w:rPr>
            </w:pPr>
            <w:r w:rsidRPr="006562D4">
              <w:rPr>
                <w:rFonts w:ascii="Verdana" w:hAnsi="Verdana" w:cs="Segoe UI"/>
                <w:bCs/>
                <w:i/>
                <w:iCs/>
                <w:color w:val="7F7F7F" w:themeColor="text1" w:themeTint="80"/>
                <w:spacing w:val="6"/>
                <w:sz w:val="20"/>
                <w:szCs w:val="20"/>
              </w:rPr>
              <w:t>Sur le concours des Etats signataires des deux Accords MASE</w:t>
            </w:r>
          </w:p>
          <w:p w14:paraId="2D5CB7EA"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t>Réitère son appel aux pays signataires à mettre en place les structures nécessaires à leur pleine participation à l’opérationnalisation de l’architecture de sécurité maritime de l’Indianocéanie (ASMI) ;</w:t>
            </w:r>
          </w:p>
          <w:p w14:paraId="59085AAE"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t xml:space="preserve">Enjoint les Etats signataires et partenaires à accompagner les pays hôtes dans le financement des centres régionaux (fonctionnement, maintenance des équipements, maintien des OLI et poursuite des opérations coordonnées régionales) ; </w:t>
            </w:r>
          </w:p>
          <w:p w14:paraId="308BBAC6"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t xml:space="preserve">Encourage les pays signataires à finaliser les stratégies nationales de sécurité maritime </w:t>
            </w:r>
            <w:r w:rsidRPr="006562D4">
              <w:rPr>
                <w:rFonts w:ascii="Verdana" w:hAnsi="Verdana"/>
                <w:bCs/>
                <w:spacing w:val="6"/>
                <w:sz w:val="20"/>
                <w:szCs w:val="20"/>
              </w:rPr>
              <w:lastRenderedPageBreak/>
              <w:t>conformément aux accords MASE, à assurer le bon fonctionnement des comités nationaux et des centres nationaux afin de consolider les fondations de l’architecture régionale de sécurité maritime ;</w:t>
            </w:r>
          </w:p>
          <w:p w14:paraId="7B89178A" w14:textId="77777777" w:rsidR="007E2981" w:rsidRDefault="007E2981" w:rsidP="007E2981">
            <w:pPr>
              <w:jc w:val="both"/>
              <w:rPr>
                <w:rFonts w:ascii="Verdana" w:hAnsi="Verdana" w:cs="Segoe UI"/>
                <w:bCs/>
                <w:i/>
                <w:iCs/>
                <w:color w:val="7F7F7F" w:themeColor="text1" w:themeTint="80"/>
                <w:spacing w:val="6"/>
                <w:sz w:val="20"/>
                <w:szCs w:val="20"/>
              </w:rPr>
            </w:pPr>
          </w:p>
          <w:p w14:paraId="555912A0" w14:textId="77777777" w:rsidR="007E2981" w:rsidRDefault="007E2981" w:rsidP="007E2981">
            <w:pPr>
              <w:jc w:val="both"/>
              <w:rPr>
                <w:rFonts w:ascii="Verdana" w:hAnsi="Verdana" w:cs="Segoe UI"/>
                <w:bCs/>
                <w:i/>
                <w:iCs/>
                <w:color w:val="7F7F7F" w:themeColor="text1" w:themeTint="80"/>
                <w:spacing w:val="6"/>
                <w:sz w:val="20"/>
                <w:szCs w:val="20"/>
              </w:rPr>
            </w:pPr>
            <w:r w:rsidRPr="006562D4">
              <w:rPr>
                <w:rFonts w:ascii="Verdana" w:hAnsi="Verdana" w:cs="Segoe UI"/>
                <w:bCs/>
                <w:i/>
                <w:iCs/>
                <w:color w:val="7F7F7F" w:themeColor="text1" w:themeTint="80"/>
                <w:spacing w:val="6"/>
                <w:sz w:val="20"/>
                <w:szCs w:val="20"/>
              </w:rPr>
              <w:t xml:space="preserve">Sur l’approfondissement de l’ASMI : </w:t>
            </w:r>
          </w:p>
          <w:p w14:paraId="552C69F4"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cs="Segoe UI"/>
                <w:bCs/>
                <w:iCs/>
                <w:spacing w:val="6"/>
                <w:sz w:val="20"/>
                <w:szCs w:val="20"/>
                <w:lang w:eastAsia="fr-FR"/>
              </w:rPr>
            </w:pPr>
            <w:r w:rsidRPr="006562D4">
              <w:rPr>
                <w:rFonts w:ascii="Verdana" w:hAnsi="Verdana" w:cs="Segoe UI"/>
                <w:bCs/>
                <w:iCs/>
                <w:spacing w:val="6"/>
                <w:sz w:val="20"/>
                <w:szCs w:val="20"/>
                <w:lang w:eastAsia="fr-FR"/>
              </w:rPr>
              <w:t>Invite le Secrétariat général à avancer concrètement dans l’opérationnalisation du volet « pollution maritime » de l’ASMI en mettant en œuvre le plan de travail adopté par le comité de pilotage du programme MASE le 5 mai 2021 ;</w:t>
            </w:r>
          </w:p>
          <w:p w14:paraId="23E989B6" w14:textId="77777777" w:rsidR="007E2981" w:rsidRPr="006562D4" w:rsidRDefault="007E2981" w:rsidP="007E2981">
            <w:pPr>
              <w:numPr>
                <w:ilvl w:val="0"/>
                <w:numId w:val="10"/>
              </w:numPr>
              <w:spacing w:after="120"/>
              <w:ind w:left="567" w:hanging="567"/>
              <w:jc w:val="both"/>
              <w:rPr>
                <w:rFonts w:ascii="Verdana" w:eastAsia="Times New Roman" w:hAnsi="Verdana"/>
                <w:bCs/>
                <w:sz w:val="20"/>
                <w:szCs w:val="20"/>
              </w:rPr>
            </w:pPr>
            <w:r w:rsidRPr="006562D4">
              <w:rPr>
                <w:rFonts w:ascii="Verdana" w:eastAsia="Times New Roman" w:hAnsi="Verdana"/>
                <w:bCs/>
                <w:sz w:val="20"/>
                <w:szCs w:val="20"/>
              </w:rPr>
              <w:t>Demande au Secrétariat général d'apporter son soutien à</w:t>
            </w:r>
            <w:r w:rsidRPr="006562D4">
              <w:rPr>
                <w:rFonts w:ascii="Verdana" w:eastAsia="Times New Roman" w:hAnsi="Verdana"/>
                <w:bCs/>
                <w:color w:val="3333FF"/>
                <w:sz w:val="20"/>
                <w:szCs w:val="20"/>
              </w:rPr>
              <w:t xml:space="preserve"> </w:t>
            </w:r>
            <w:r w:rsidRPr="006562D4">
              <w:rPr>
                <w:rFonts w:ascii="Verdana" w:eastAsia="Times New Roman" w:hAnsi="Verdana"/>
                <w:bCs/>
                <w:sz w:val="20"/>
                <w:szCs w:val="20"/>
              </w:rPr>
              <w:t>la prompte concrétisation d'un</w:t>
            </w:r>
            <w:r w:rsidRPr="006562D4">
              <w:rPr>
                <w:rFonts w:ascii="Verdana" w:eastAsia="Times New Roman" w:hAnsi="Verdana"/>
                <w:bCs/>
                <w:color w:val="3333FF"/>
                <w:sz w:val="20"/>
                <w:szCs w:val="20"/>
              </w:rPr>
              <w:t xml:space="preserve"> </w:t>
            </w:r>
            <w:r w:rsidRPr="006562D4">
              <w:rPr>
                <w:rFonts w:ascii="Verdana" w:eastAsia="Times New Roman" w:hAnsi="Verdana"/>
                <w:bCs/>
                <w:sz w:val="20"/>
                <w:szCs w:val="20"/>
              </w:rPr>
              <w:t>mécanisme de « zone à éviter » à l'échelle du bassin des Mascareignes,</w:t>
            </w:r>
            <w:r w:rsidRPr="006562D4">
              <w:rPr>
                <w:rFonts w:ascii="Verdana" w:eastAsia="Times New Roman" w:hAnsi="Verdana"/>
                <w:bCs/>
                <w:color w:val="3333FF"/>
                <w:sz w:val="20"/>
                <w:szCs w:val="20"/>
              </w:rPr>
              <w:t xml:space="preserve"> </w:t>
            </w:r>
            <w:r w:rsidRPr="006562D4">
              <w:rPr>
                <w:rFonts w:ascii="Verdana" w:eastAsia="Times New Roman" w:hAnsi="Verdana"/>
                <w:bCs/>
                <w:sz w:val="20"/>
                <w:szCs w:val="20"/>
              </w:rPr>
              <w:t>couplé à un système de compte-rendu obligatoire ;</w:t>
            </w:r>
          </w:p>
          <w:p w14:paraId="5154DD50" w14:textId="77777777" w:rsidR="007E2981" w:rsidRPr="006562D4" w:rsidRDefault="007E2981" w:rsidP="007E2981">
            <w:pPr>
              <w:numPr>
                <w:ilvl w:val="0"/>
                <w:numId w:val="10"/>
              </w:numPr>
              <w:spacing w:after="120"/>
              <w:ind w:left="567" w:hanging="567"/>
              <w:jc w:val="both"/>
              <w:rPr>
                <w:rFonts w:ascii="Verdana" w:eastAsia="Times New Roman" w:hAnsi="Verdana"/>
                <w:bCs/>
                <w:sz w:val="20"/>
                <w:szCs w:val="20"/>
              </w:rPr>
            </w:pPr>
            <w:bookmarkStart w:id="2" w:name="_Hlk86761627"/>
            <w:r w:rsidRPr="006562D4">
              <w:rPr>
                <w:rFonts w:ascii="Verdana" w:eastAsia="Times New Roman" w:hAnsi="Verdana"/>
                <w:bCs/>
                <w:sz w:val="20"/>
                <w:szCs w:val="20"/>
              </w:rPr>
              <w:t>Prend note des discussions entre la République française, la République de Maurice et le Secrétariat général de la COI concernant la mise en place de ce dispositif, et invite les autres pays de la région à se joindre à cette initiative en faveur du renforcement de la sécurité de la navigation, plus particulièrement au niveau des deux routes maritimes stratégiques qui traversent</w:t>
            </w:r>
            <w:r w:rsidRPr="006562D4">
              <w:rPr>
                <w:rFonts w:ascii="Verdana" w:eastAsia="Times New Roman" w:hAnsi="Verdana"/>
                <w:bCs/>
                <w:i/>
                <w:iCs/>
                <w:spacing w:val="6"/>
                <w:sz w:val="20"/>
                <w:szCs w:val="20"/>
              </w:rPr>
              <w:t xml:space="preserve"> </w:t>
            </w:r>
            <w:bookmarkEnd w:id="2"/>
            <w:r w:rsidRPr="006562D4">
              <w:rPr>
                <w:rFonts w:ascii="Verdana" w:eastAsia="Times New Roman" w:hAnsi="Verdana"/>
                <w:bCs/>
                <w:spacing w:val="6"/>
                <w:sz w:val="20"/>
                <w:szCs w:val="20"/>
              </w:rPr>
              <w:t xml:space="preserve">la zone ; </w:t>
            </w:r>
          </w:p>
          <w:p w14:paraId="3FBB29DE"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cstheme="minorHAnsi"/>
                <w:bCs/>
                <w:sz w:val="20"/>
                <w:szCs w:val="20"/>
              </w:rPr>
            </w:pPr>
            <w:bookmarkStart w:id="3" w:name="_Hlk67313937"/>
            <w:r w:rsidRPr="006562D4">
              <w:rPr>
                <w:rFonts w:ascii="Verdana" w:hAnsi="Verdana" w:cs="Segoe UI"/>
                <w:bCs/>
                <w:spacing w:val="6"/>
                <w:sz w:val="20"/>
                <w:szCs w:val="20"/>
              </w:rPr>
              <w:t xml:space="preserve">Indique l’intérêt d’une coordination effective entre les mécanismes régionaux pilotés par la COI, notamment en ce qu’il </w:t>
            </w:r>
            <w:r w:rsidRPr="006562D4">
              <w:rPr>
                <w:rFonts w:ascii="Verdana" w:hAnsi="Verdana" w:cs="Segoe UI"/>
                <w:bCs/>
                <w:spacing w:val="6"/>
                <w:sz w:val="20"/>
                <w:szCs w:val="20"/>
              </w:rPr>
              <w:lastRenderedPageBreak/>
              <w:t>s’agit du développement de programmes et actions coordonnés des centres opérationnels du programme MASE avec le mécanisme régional de surveillance des pêches </w:t>
            </w:r>
            <w:r w:rsidRPr="006562D4">
              <w:rPr>
                <w:rFonts w:ascii="Verdana" w:hAnsi="Verdana" w:cstheme="minorHAnsi"/>
                <w:bCs/>
                <w:sz w:val="20"/>
                <w:szCs w:val="20"/>
              </w:rPr>
              <w:t>;</w:t>
            </w:r>
          </w:p>
          <w:bookmarkEnd w:id="3"/>
          <w:p w14:paraId="0A420165" w14:textId="77777777" w:rsidR="007E2981" w:rsidRDefault="007E2981" w:rsidP="007E2981">
            <w:pPr>
              <w:jc w:val="both"/>
              <w:rPr>
                <w:rFonts w:ascii="Verdana" w:hAnsi="Verdana" w:cs="Segoe UI"/>
                <w:bCs/>
                <w:i/>
                <w:iCs/>
                <w:color w:val="7F7F7F" w:themeColor="text1" w:themeTint="80"/>
                <w:spacing w:val="6"/>
                <w:sz w:val="20"/>
                <w:szCs w:val="20"/>
              </w:rPr>
            </w:pPr>
          </w:p>
          <w:p w14:paraId="213C27B5" w14:textId="77777777" w:rsidR="007E2981" w:rsidRDefault="007E2981" w:rsidP="007E2981">
            <w:pPr>
              <w:jc w:val="both"/>
              <w:rPr>
                <w:rFonts w:ascii="Verdana" w:hAnsi="Verdana" w:cs="Segoe UI"/>
                <w:bCs/>
                <w:i/>
                <w:iCs/>
                <w:color w:val="7F7F7F" w:themeColor="text1" w:themeTint="80"/>
                <w:spacing w:val="6"/>
                <w:sz w:val="20"/>
                <w:szCs w:val="20"/>
              </w:rPr>
            </w:pPr>
            <w:r>
              <w:rPr>
                <w:rFonts w:ascii="Verdana" w:hAnsi="Verdana" w:cs="Segoe UI"/>
                <w:bCs/>
                <w:i/>
                <w:iCs/>
                <w:color w:val="7F7F7F" w:themeColor="text1" w:themeTint="80"/>
                <w:spacing w:val="6"/>
                <w:sz w:val="20"/>
                <w:szCs w:val="20"/>
              </w:rPr>
              <w:t>S</w:t>
            </w:r>
            <w:r w:rsidRPr="006562D4">
              <w:rPr>
                <w:rFonts w:ascii="Verdana" w:hAnsi="Verdana" w:cs="Segoe UI"/>
                <w:bCs/>
                <w:i/>
                <w:iCs/>
                <w:color w:val="7F7F7F" w:themeColor="text1" w:themeTint="80"/>
                <w:spacing w:val="6"/>
                <w:sz w:val="20"/>
                <w:szCs w:val="20"/>
              </w:rPr>
              <w:t>ur le Groupe de contact sur la piraterie au large des côtes somaliennes -</w:t>
            </w:r>
            <w:r>
              <w:rPr>
                <w:rFonts w:ascii="Verdana" w:hAnsi="Verdana" w:cs="Segoe UI"/>
                <w:bCs/>
                <w:i/>
                <w:iCs/>
                <w:color w:val="7F7F7F" w:themeColor="text1" w:themeTint="80"/>
                <w:spacing w:val="6"/>
                <w:sz w:val="20"/>
                <w:szCs w:val="20"/>
              </w:rPr>
              <w:t xml:space="preserve"> </w:t>
            </w:r>
            <w:r w:rsidRPr="006562D4">
              <w:rPr>
                <w:rFonts w:ascii="Verdana" w:hAnsi="Verdana" w:cs="Segoe UI"/>
                <w:bCs/>
                <w:i/>
                <w:iCs/>
                <w:color w:val="7F7F7F" w:themeColor="text1" w:themeTint="80"/>
                <w:spacing w:val="6"/>
                <w:sz w:val="20"/>
                <w:szCs w:val="20"/>
              </w:rPr>
              <w:t>CGPCS</w:t>
            </w:r>
          </w:p>
          <w:p w14:paraId="1BCBFE15" w14:textId="77777777" w:rsidR="007E2981" w:rsidRPr="006562D4" w:rsidRDefault="007E2981" w:rsidP="007E2981">
            <w:pPr>
              <w:pStyle w:val="Paragraphedeliste"/>
              <w:numPr>
                <w:ilvl w:val="0"/>
                <w:numId w:val="10"/>
              </w:numPr>
              <w:ind w:left="567" w:hanging="567"/>
              <w:contextualSpacing w:val="0"/>
              <w:jc w:val="both"/>
              <w:rPr>
                <w:rFonts w:ascii="Verdana" w:hAnsi="Verdana"/>
                <w:bCs/>
                <w:spacing w:val="6"/>
                <w:sz w:val="20"/>
                <w:szCs w:val="20"/>
              </w:rPr>
            </w:pPr>
            <w:r w:rsidRPr="006562D4">
              <w:rPr>
                <w:rFonts w:ascii="Verdana" w:hAnsi="Verdana"/>
                <w:bCs/>
                <w:spacing w:val="6"/>
                <w:sz w:val="20"/>
                <w:szCs w:val="20"/>
              </w:rPr>
              <w:t xml:space="preserve">Réitère ses encouragements et marque son intérêt à la poursuite des travaux du Groupe de contact sur la piraterie au large des côtes somaliennes et de son Comité stratégique présidé par les Seychelles ; </w:t>
            </w:r>
          </w:p>
          <w:p w14:paraId="7BDF2F5C" w14:textId="77777777" w:rsidR="007E2981" w:rsidRDefault="007E2981" w:rsidP="007E2981">
            <w:pPr>
              <w:jc w:val="both"/>
              <w:rPr>
                <w:rFonts w:ascii="Verdana" w:hAnsi="Verdana" w:cs="Segoe UI"/>
                <w:bCs/>
                <w:i/>
                <w:iCs/>
                <w:color w:val="7F7F7F" w:themeColor="text1" w:themeTint="80"/>
                <w:spacing w:val="6"/>
                <w:sz w:val="20"/>
                <w:szCs w:val="20"/>
              </w:rPr>
            </w:pPr>
          </w:p>
          <w:p w14:paraId="3C28E46B" w14:textId="77777777" w:rsidR="007E2981" w:rsidRDefault="007E2981" w:rsidP="007E2981">
            <w:pPr>
              <w:jc w:val="both"/>
              <w:rPr>
                <w:rFonts w:ascii="Verdana" w:hAnsi="Verdana" w:cs="Segoe UI"/>
                <w:bCs/>
                <w:i/>
                <w:iCs/>
                <w:color w:val="7F7F7F" w:themeColor="text1" w:themeTint="80"/>
                <w:spacing w:val="6"/>
                <w:sz w:val="20"/>
                <w:szCs w:val="20"/>
              </w:rPr>
            </w:pPr>
            <w:r w:rsidRPr="006562D4">
              <w:rPr>
                <w:rFonts w:ascii="Verdana" w:hAnsi="Verdana" w:cs="Segoe UI"/>
                <w:bCs/>
                <w:i/>
                <w:iCs/>
                <w:color w:val="7F7F7F" w:themeColor="text1" w:themeTint="80"/>
                <w:spacing w:val="6"/>
                <w:sz w:val="20"/>
                <w:szCs w:val="20"/>
              </w:rPr>
              <w:t>Sur la coordination et la complémentarité avec les autres projets et initiatives</w:t>
            </w:r>
          </w:p>
          <w:p w14:paraId="07CFAA6D"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t xml:space="preserve">Appelle à la pleine participation des pays bénéficiaires au projet de Sécurité portuaire ; </w:t>
            </w:r>
          </w:p>
          <w:p w14:paraId="44C9CB00"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cs="Segoe UI"/>
                <w:bCs/>
                <w:spacing w:val="6"/>
                <w:sz w:val="20"/>
                <w:szCs w:val="20"/>
              </w:rPr>
              <w:t>Valide le cadre régional sur la protection et la résilience des câbles sous-marins et remercie l’ONUDC et la France pour leur soutien financier et technique ;</w:t>
            </w:r>
          </w:p>
          <w:p w14:paraId="0C7D89B5" w14:textId="77777777" w:rsidR="007E2981" w:rsidRDefault="007E2981" w:rsidP="007E2981">
            <w:pPr>
              <w:jc w:val="both"/>
              <w:rPr>
                <w:rFonts w:ascii="Verdana" w:hAnsi="Verdana" w:cs="Segoe UI"/>
                <w:bCs/>
                <w:i/>
                <w:iCs/>
                <w:color w:val="7F7F7F" w:themeColor="text1" w:themeTint="80"/>
                <w:spacing w:val="6"/>
                <w:sz w:val="20"/>
                <w:szCs w:val="20"/>
              </w:rPr>
            </w:pPr>
          </w:p>
          <w:p w14:paraId="47189BE7" w14:textId="77777777" w:rsidR="007E2981" w:rsidRDefault="007E2981" w:rsidP="007E2981">
            <w:pPr>
              <w:jc w:val="both"/>
              <w:rPr>
                <w:rFonts w:ascii="Verdana" w:hAnsi="Verdana" w:cs="Segoe UI"/>
                <w:bCs/>
                <w:i/>
                <w:iCs/>
                <w:color w:val="7F7F7F" w:themeColor="text1" w:themeTint="80"/>
                <w:spacing w:val="6"/>
                <w:sz w:val="20"/>
                <w:szCs w:val="20"/>
              </w:rPr>
            </w:pPr>
            <w:r w:rsidRPr="006562D4">
              <w:rPr>
                <w:rFonts w:ascii="Verdana" w:hAnsi="Verdana" w:cs="Segoe UI"/>
                <w:bCs/>
                <w:i/>
                <w:iCs/>
                <w:color w:val="7F7F7F" w:themeColor="text1" w:themeTint="80"/>
                <w:spacing w:val="6"/>
                <w:sz w:val="20"/>
                <w:szCs w:val="20"/>
              </w:rPr>
              <w:t>Sur l’internationalisation de l’ASMI</w:t>
            </w:r>
          </w:p>
          <w:p w14:paraId="1621BAC5"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t>Invitent les pays membres à participer activement à la mobilisation continue de la communauté régionale et internationale aux côtés de la COI et des acteurs régionaux en faveur de l’architecture de sécurité maritime ;</w:t>
            </w:r>
          </w:p>
          <w:p w14:paraId="2706E6D8"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bCs/>
                <w:spacing w:val="6"/>
                <w:sz w:val="20"/>
                <w:szCs w:val="20"/>
              </w:rPr>
            </w:pPr>
            <w:r w:rsidRPr="006562D4">
              <w:rPr>
                <w:rFonts w:ascii="Verdana" w:hAnsi="Verdana"/>
                <w:bCs/>
                <w:spacing w:val="6"/>
                <w:sz w:val="20"/>
                <w:szCs w:val="20"/>
              </w:rPr>
              <w:lastRenderedPageBreak/>
              <w:t xml:space="preserve">Réitère son soutien au rapprochement de l’ASMI avec les institutions et pays tiers ; </w:t>
            </w:r>
          </w:p>
          <w:p w14:paraId="4ED2A6B0" w14:textId="77777777" w:rsidR="007E2981" w:rsidRDefault="007E2981" w:rsidP="007E2981">
            <w:pPr>
              <w:jc w:val="both"/>
              <w:rPr>
                <w:rFonts w:ascii="Verdana" w:hAnsi="Verdana" w:cs="Segoe UI"/>
                <w:bCs/>
                <w:i/>
                <w:iCs/>
                <w:color w:val="7F7F7F" w:themeColor="text1" w:themeTint="80"/>
                <w:spacing w:val="6"/>
                <w:sz w:val="20"/>
                <w:szCs w:val="20"/>
              </w:rPr>
            </w:pPr>
          </w:p>
          <w:p w14:paraId="02518CF3" w14:textId="77777777" w:rsidR="007E2981" w:rsidRDefault="007E2981" w:rsidP="007E2981">
            <w:pPr>
              <w:jc w:val="both"/>
              <w:rPr>
                <w:rFonts w:ascii="Verdana" w:hAnsi="Verdana" w:cs="Segoe UI"/>
                <w:bCs/>
                <w:i/>
                <w:iCs/>
                <w:color w:val="7F7F7F" w:themeColor="text1" w:themeTint="80"/>
                <w:spacing w:val="6"/>
                <w:sz w:val="20"/>
                <w:szCs w:val="20"/>
              </w:rPr>
            </w:pPr>
            <w:r w:rsidRPr="006562D4">
              <w:rPr>
                <w:rFonts w:ascii="Verdana" w:hAnsi="Verdana" w:cs="Segoe UI"/>
                <w:bCs/>
                <w:i/>
                <w:iCs/>
                <w:color w:val="7F7F7F" w:themeColor="text1" w:themeTint="80"/>
                <w:spacing w:val="6"/>
                <w:sz w:val="20"/>
                <w:szCs w:val="20"/>
              </w:rPr>
              <w:t>Sur les partenariats</w:t>
            </w:r>
          </w:p>
          <w:p w14:paraId="0D99060B"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cs="Segoe UI"/>
                <w:bCs/>
                <w:i/>
                <w:spacing w:val="6"/>
                <w:sz w:val="20"/>
                <w:szCs w:val="20"/>
                <w:u w:val="single"/>
                <w:lang w:eastAsia="fr-FR"/>
              </w:rPr>
            </w:pPr>
            <w:r w:rsidRPr="006562D4">
              <w:rPr>
                <w:rFonts w:ascii="Verdana" w:hAnsi="Verdana"/>
                <w:bCs/>
                <w:spacing w:val="6"/>
                <w:sz w:val="20"/>
                <w:szCs w:val="20"/>
              </w:rPr>
              <w:t>Réitère ses vifs remerciements à l’Union européenne pour son appui à la sécurité maritime régionale et convient de la nécessité d’assurer une continuité du Programme MASE dès 2022 pour assurer la pleine opérationnalisation de l’Architecture de sécurité maritime de l’Indianocéanie. Le Conseil demande au Secrétariat général de formuler une proposition à soumettre à l’Union européenne avant la fin de 2021 pour considération ;</w:t>
            </w:r>
          </w:p>
          <w:p w14:paraId="42899D94" w14:textId="77777777" w:rsidR="007E2981" w:rsidRPr="006562D4" w:rsidRDefault="007E2981" w:rsidP="007E2981">
            <w:pPr>
              <w:pStyle w:val="Paragraphedeliste"/>
              <w:numPr>
                <w:ilvl w:val="0"/>
                <w:numId w:val="10"/>
              </w:numPr>
              <w:spacing w:after="120"/>
              <w:ind w:left="567" w:hanging="567"/>
              <w:contextualSpacing w:val="0"/>
              <w:jc w:val="both"/>
              <w:rPr>
                <w:rFonts w:ascii="Verdana" w:hAnsi="Verdana" w:cs="Segoe UI"/>
                <w:bCs/>
                <w:i/>
                <w:spacing w:val="6"/>
                <w:sz w:val="20"/>
                <w:szCs w:val="20"/>
                <w:u w:val="single"/>
                <w:lang w:eastAsia="fr-FR"/>
              </w:rPr>
            </w:pPr>
            <w:r w:rsidRPr="006562D4">
              <w:rPr>
                <w:rFonts w:ascii="Verdana" w:hAnsi="Verdana"/>
                <w:bCs/>
                <w:spacing w:val="6"/>
                <w:sz w:val="20"/>
                <w:szCs w:val="20"/>
              </w:rPr>
              <w:t xml:space="preserve">Encourage la coopération avec les autres centres nationaux et régionaux (dont les Centres de Djeddah, de l’Inde, de Singapour, du Japon, de l’Australie et de l’Afrique de l’Ouest) pour l’extension d’un réseau d’échange et de partage de l’information maritime ; </w:t>
            </w:r>
          </w:p>
          <w:p w14:paraId="346F0F7B" w14:textId="77777777" w:rsidR="007E2981" w:rsidRPr="00210668" w:rsidRDefault="007E2981" w:rsidP="007E2981">
            <w:pPr>
              <w:pStyle w:val="Paragraphedeliste"/>
              <w:numPr>
                <w:ilvl w:val="0"/>
                <w:numId w:val="10"/>
              </w:numPr>
              <w:spacing w:after="120"/>
              <w:ind w:left="567" w:hanging="567"/>
              <w:contextualSpacing w:val="0"/>
              <w:jc w:val="both"/>
              <w:rPr>
                <w:rFonts w:ascii="Verdana" w:hAnsi="Verdana" w:cs="Segoe UI"/>
                <w:bCs/>
                <w:i/>
                <w:spacing w:val="6"/>
                <w:sz w:val="20"/>
                <w:szCs w:val="20"/>
                <w:u w:val="single"/>
                <w:lang w:eastAsia="fr-FR"/>
              </w:rPr>
            </w:pPr>
            <w:r w:rsidRPr="006562D4">
              <w:rPr>
                <w:rFonts w:ascii="Verdana" w:hAnsi="Verdana"/>
                <w:bCs/>
                <w:spacing w:val="6"/>
                <w:sz w:val="20"/>
                <w:szCs w:val="20"/>
              </w:rPr>
              <w:t xml:space="preserve">Enjoint le Secrétariat général à prendre les dispositions urgentes nécessaires pour la maintenance des plateformes de partage et de fusion d’informations déployées au Centre régional de fusion de l’information maritime ; </w:t>
            </w:r>
          </w:p>
          <w:p w14:paraId="23B1BDEC" w14:textId="77777777" w:rsidR="007E2981" w:rsidRPr="00210668" w:rsidRDefault="007E2981" w:rsidP="007E2981">
            <w:pPr>
              <w:pStyle w:val="Paragraphedeliste"/>
              <w:numPr>
                <w:ilvl w:val="0"/>
                <w:numId w:val="10"/>
              </w:numPr>
              <w:spacing w:after="120"/>
              <w:ind w:left="567" w:hanging="567"/>
              <w:contextualSpacing w:val="0"/>
              <w:jc w:val="both"/>
              <w:rPr>
                <w:rFonts w:ascii="Verdana" w:hAnsi="Verdana" w:cs="Segoe UI"/>
                <w:bCs/>
                <w:i/>
                <w:spacing w:val="6"/>
                <w:sz w:val="20"/>
                <w:szCs w:val="20"/>
                <w:u w:val="single"/>
                <w:lang w:eastAsia="fr-FR"/>
              </w:rPr>
            </w:pPr>
            <w:r w:rsidRPr="00210668">
              <w:rPr>
                <w:rFonts w:ascii="Verdana" w:hAnsi="Verdana"/>
                <w:bCs/>
                <w:spacing w:val="6"/>
                <w:sz w:val="20"/>
                <w:szCs w:val="20"/>
              </w:rPr>
              <w:t xml:space="preserve">Demande au Secrétariat général de veiller à la mise en œuvre effective des activités prévues dans le cadre de la collaboration </w:t>
            </w:r>
            <w:r w:rsidRPr="00210668">
              <w:rPr>
                <w:rFonts w:ascii="Verdana" w:hAnsi="Verdana"/>
                <w:bCs/>
                <w:spacing w:val="6"/>
                <w:sz w:val="20"/>
                <w:szCs w:val="20"/>
              </w:rPr>
              <w:lastRenderedPageBreak/>
              <w:t>avec l’ONUDC, notamment les dispositifs juridiques pour dissuader et sanctionner</w:t>
            </w:r>
            <w:r w:rsidRPr="00210668">
              <w:rPr>
                <w:rFonts w:ascii="Verdana" w:hAnsi="Verdana" w:cs="Segoe UI"/>
                <w:bCs/>
                <w:spacing w:val="6"/>
                <w:sz w:val="20"/>
                <w:szCs w:val="20"/>
              </w:rPr>
              <w:t xml:space="preserve"> les auteurs des crimes maritimes.</w:t>
            </w:r>
          </w:p>
          <w:p w14:paraId="6F488DD8" w14:textId="0B4BB402" w:rsidR="00381225" w:rsidRPr="007E2981" w:rsidRDefault="00381225" w:rsidP="007E2981">
            <w:pPr>
              <w:spacing w:after="120"/>
              <w:jc w:val="both"/>
              <w:rPr>
                <w:rFonts w:ascii="Verdana" w:hAnsi="Verdana"/>
                <w:b/>
                <w:bCs/>
                <w:color w:val="ED7D31" w:themeColor="accent2"/>
                <w:sz w:val="20"/>
                <w:szCs w:val="20"/>
              </w:rPr>
            </w:pPr>
          </w:p>
        </w:tc>
        <w:tc>
          <w:tcPr>
            <w:tcW w:w="1623" w:type="dxa"/>
          </w:tcPr>
          <w:p w14:paraId="619F8C64" w14:textId="77777777" w:rsidR="00381225" w:rsidRDefault="00381225"/>
          <w:p w14:paraId="4D768F6E" w14:textId="7C07BC9B" w:rsidR="007E2981" w:rsidRDefault="007E2981">
            <w:r>
              <w:t>RM</w:t>
            </w:r>
          </w:p>
        </w:tc>
        <w:tc>
          <w:tcPr>
            <w:tcW w:w="5926" w:type="dxa"/>
          </w:tcPr>
          <w:p w14:paraId="31850002" w14:textId="77777777" w:rsidR="00381225" w:rsidRDefault="00381225"/>
          <w:p w14:paraId="7567956E" w14:textId="77777777" w:rsidR="00D9622C" w:rsidRDefault="00D9622C"/>
          <w:p w14:paraId="26FC2C37" w14:textId="77777777" w:rsidR="00D9622C" w:rsidRDefault="00D9622C"/>
          <w:p w14:paraId="2BDA7D94" w14:textId="77777777" w:rsidR="00D9622C" w:rsidRDefault="00D9622C"/>
          <w:p w14:paraId="24AA835E" w14:textId="36095C55" w:rsidR="00D9622C" w:rsidRDefault="00D9622C" w:rsidP="00D9622C">
            <w:r>
              <w:t xml:space="preserve">a) </w:t>
            </w:r>
            <w:r w:rsidR="001A05DB">
              <w:t xml:space="preserve">relève des Etats signataires. Message passé au sein du COPIL des pays signataires. </w:t>
            </w:r>
            <w:r>
              <w:t xml:space="preserve"> </w:t>
            </w:r>
          </w:p>
          <w:p w14:paraId="59AC3082" w14:textId="77777777" w:rsidR="00D9622C" w:rsidRDefault="00D9622C" w:rsidP="00D9622C"/>
          <w:p w14:paraId="1BE83983" w14:textId="77777777" w:rsidR="00D9622C" w:rsidRDefault="00D9622C" w:rsidP="00D9622C"/>
          <w:p w14:paraId="265A0E64" w14:textId="77777777" w:rsidR="00D9622C" w:rsidRDefault="00D9622C" w:rsidP="00D9622C"/>
          <w:p w14:paraId="1E0B014F" w14:textId="77777777" w:rsidR="00D9622C" w:rsidRDefault="00D9622C" w:rsidP="00D9622C"/>
          <w:p w14:paraId="0E3C0B1E" w14:textId="77777777" w:rsidR="00D9622C" w:rsidRDefault="00D9622C" w:rsidP="00D9622C"/>
          <w:p w14:paraId="32BF706C" w14:textId="77777777" w:rsidR="00D9622C" w:rsidRDefault="00D9622C" w:rsidP="00D9622C"/>
          <w:p w14:paraId="7E282B27" w14:textId="77777777" w:rsidR="00D9622C" w:rsidRDefault="00D9622C" w:rsidP="00D9622C"/>
          <w:p w14:paraId="4528B9CA" w14:textId="5B09916F" w:rsidR="00D9622C" w:rsidRDefault="00D9622C" w:rsidP="00D9622C">
            <w:r>
              <w:t xml:space="preserve">b) </w:t>
            </w:r>
            <w:r w:rsidR="001A05DB">
              <w:t xml:space="preserve">relève des pays signataires. </w:t>
            </w:r>
          </w:p>
          <w:p w14:paraId="4291FB47" w14:textId="77777777" w:rsidR="00D9622C" w:rsidRDefault="00D9622C" w:rsidP="00D9622C"/>
          <w:p w14:paraId="41113E8A" w14:textId="77777777" w:rsidR="00D9622C" w:rsidRDefault="00D9622C" w:rsidP="00D9622C"/>
          <w:p w14:paraId="02276D3D" w14:textId="77777777" w:rsidR="00D9622C" w:rsidRDefault="00D9622C" w:rsidP="00D9622C"/>
          <w:p w14:paraId="4F942D14" w14:textId="77777777" w:rsidR="00D9622C" w:rsidRDefault="00D9622C" w:rsidP="00D9622C"/>
          <w:p w14:paraId="3E14A1EB" w14:textId="77777777" w:rsidR="00D9622C" w:rsidRDefault="00D9622C" w:rsidP="00D9622C"/>
          <w:p w14:paraId="383FDDDA" w14:textId="77777777" w:rsidR="00D9622C" w:rsidRDefault="00D9622C" w:rsidP="00D9622C"/>
          <w:p w14:paraId="6C786569" w14:textId="77777777" w:rsidR="00D9622C" w:rsidRDefault="00D9622C" w:rsidP="00D9622C"/>
          <w:p w14:paraId="4E70982D" w14:textId="57EF3FD7" w:rsidR="00D9622C" w:rsidRDefault="00D9622C" w:rsidP="00D9622C">
            <w:r>
              <w:t xml:space="preserve">c) </w:t>
            </w:r>
            <w:r w:rsidR="001A05DB">
              <w:t xml:space="preserve">relève des pays signataires. </w:t>
            </w:r>
          </w:p>
          <w:p w14:paraId="785EB33C" w14:textId="77777777" w:rsidR="001608E1" w:rsidRDefault="001608E1" w:rsidP="00D9622C"/>
          <w:p w14:paraId="2FCC7C56" w14:textId="77777777" w:rsidR="001608E1" w:rsidRDefault="001608E1" w:rsidP="00D9622C"/>
          <w:p w14:paraId="46FBAE89" w14:textId="77777777" w:rsidR="001608E1" w:rsidRDefault="001608E1" w:rsidP="00D9622C"/>
          <w:p w14:paraId="4882646C" w14:textId="77777777" w:rsidR="001608E1" w:rsidRDefault="001608E1" w:rsidP="00D9622C"/>
          <w:p w14:paraId="0FB6AFA4" w14:textId="77777777" w:rsidR="001608E1" w:rsidRDefault="001608E1" w:rsidP="00D9622C"/>
          <w:p w14:paraId="487DE8F9" w14:textId="77777777" w:rsidR="001608E1" w:rsidRDefault="001608E1" w:rsidP="00D9622C"/>
          <w:p w14:paraId="63213CC4" w14:textId="77777777" w:rsidR="001608E1" w:rsidRDefault="001608E1" w:rsidP="00D9622C"/>
          <w:p w14:paraId="630268DA" w14:textId="77777777" w:rsidR="001608E1" w:rsidRDefault="001608E1" w:rsidP="00D9622C"/>
          <w:p w14:paraId="5B3CFEB2" w14:textId="77777777" w:rsidR="001608E1" w:rsidRDefault="001608E1" w:rsidP="00D9622C"/>
          <w:p w14:paraId="5E083BF6" w14:textId="2CA306B6" w:rsidR="001608E1" w:rsidRDefault="00F61CF9" w:rsidP="00F61CF9">
            <w:pPr>
              <w:jc w:val="both"/>
            </w:pPr>
            <w:r>
              <w:t xml:space="preserve">d) </w:t>
            </w:r>
            <w:r w:rsidR="001608E1">
              <w:t xml:space="preserve">Les moyens du programme MASE sont insuffisant pour la mise en œuvre du Plan d’Actions. Une proposition pour un projet est en cours d’élaboration. Un dialogue régulier est entamé avec la présidence </w:t>
            </w:r>
            <w:proofErr w:type="spellStart"/>
            <w:r>
              <w:t>CoPil</w:t>
            </w:r>
            <w:proofErr w:type="spellEnd"/>
            <w:r>
              <w:t xml:space="preserve"> </w:t>
            </w:r>
            <w:r w:rsidR="001608E1">
              <w:t xml:space="preserve">actuel de MASE – le France. </w:t>
            </w:r>
          </w:p>
          <w:p w14:paraId="2594076F" w14:textId="77777777" w:rsidR="00F61CF9" w:rsidRDefault="00F61CF9" w:rsidP="00F61CF9"/>
          <w:p w14:paraId="5659A1AA" w14:textId="77777777" w:rsidR="00F61CF9" w:rsidRDefault="00F61CF9" w:rsidP="00F61CF9"/>
          <w:p w14:paraId="41B7D712" w14:textId="77777777" w:rsidR="00F61CF9" w:rsidRDefault="00F61CF9" w:rsidP="00F61CF9"/>
          <w:p w14:paraId="7A096C81" w14:textId="77777777" w:rsidR="00F61CF9" w:rsidRDefault="00F61CF9" w:rsidP="00F61CF9"/>
          <w:p w14:paraId="32A54C79" w14:textId="77777777" w:rsidR="00F61CF9" w:rsidRDefault="00F61CF9" w:rsidP="00F61CF9">
            <w:r>
              <w:t xml:space="preserve">e) En cours </w:t>
            </w:r>
          </w:p>
          <w:p w14:paraId="0CD01E99" w14:textId="77777777" w:rsidR="00F61CF9" w:rsidRDefault="00F61CF9" w:rsidP="00F61CF9"/>
          <w:p w14:paraId="5AD580B4" w14:textId="77777777" w:rsidR="00F61CF9" w:rsidRDefault="00F61CF9" w:rsidP="00F61CF9"/>
          <w:p w14:paraId="543D01E1" w14:textId="77777777" w:rsidR="00F61CF9" w:rsidRDefault="00F61CF9" w:rsidP="00F61CF9"/>
          <w:p w14:paraId="52336A0E" w14:textId="77777777" w:rsidR="00F61CF9" w:rsidRDefault="00F61CF9" w:rsidP="00F61CF9"/>
          <w:p w14:paraId="403E1656" w14:textId="77777777" w:rsidR="00F61CF9" w:rsidRDefault="00F61CF9" w:rsidP="00F61CF9"/>
          <w:p w14:paraId="73E583C9" w14:textId="77777777" w:rsidR="00F61CF9" w:rsidRDefault="00F61CF9" w:rsidP="00F61CF9"/>
          <w:p w14:paraId="2798FCAA" w14:textId="77777777" w:rsidR="00F61CF9" w:rsidRDefault="00F61CF9" w:rsidP="00F61CF9">
            <w:r>
              <w:t>f) en cours</w:t>
            </w:r>
          </w:p>
          <w:p w14:paraId="33C596B0" w14:textId="77777777" w:rsidR="00F61CF9" w:rsidRDefault="00F61CF9" w:rsidP="00F61CF9"/>
          <w:p w14:paraId="3A87A18D" w14:textId="77777777" w:rsidR="00F61CF9" w:rsidRDefault="00F61CF9" w:rsidP="00F61CF9"/>
          <w:p w14:paraId="37CD066F" w14:textId="77777777" w:rsidR="00F61CF9" w:rsidRDefault="00F61CF9" w:rsidP="00F61CF9"/>
          <w:p w14:paraId="798B107D" w14:textId="77777777" w:rsidR="00F61CF9" w:rsidRDefault="00F61CF9" w:rsidP="00F61CF9"/>
          <w:p w14:paraId="34E5925A" w14:textId="77777777" w:rsidR="00F61CF9" w:rsidRDefault="00F61CF9" w:rsidP="00F61CF9"/>
          <w:p w14:paraId="4D893013" w14:textId="77777777" w:rsidR="00F61CF9" w:rsidRDefault="00F61CF9" w:rsidP="00F61CF9"/>
          <w:p w14:paraId="3C3652CB" w14:textId="77777777" w:rsidR="00F61CF9" w:rsidRDefault="00F61CF9" w:rsidP="00F61CF9"/>
          <w:p w14:paraId="738C3335" w14:textId="77777777" w:rsidR="00F61CF9" w:rsidRDefault="00F61CF9" w:rsidP="00F61CF9"/>
          <w:p w14:paraId="53272A40" w14:textId="77777777" w:rsidR="00F61CF9" w:rsidRDefault="00F61CF9" w:rsidP="00F61CF9"/>
          <w:p w14:paraId="5209DC27" w14:textId="77777777" w:rsidR="00F61CF9" w:rsidRDefault="00F61CF9" w:rsidP="00F61CF9"/>
          <w:p w14:paraId="1FD8F35E" w14:textId="77777777" w:rsidR="00F61CF9" w:rsidRDefault="00F61CF9" w:rsidP="00F61CF9">
            <w:r>
              <w:t>g) Une première réunion eut lieu le 1</w:t>
            </w:r>
            <w:r w:rsidRPr="00F61CF9">
              <w:rPr>
                <w:vertAlign w:val="superscript"/>
              </w:rPr>
              <w:t>e</w:t>
            </w:r>
            <w:r>
              <w:t xml:space="preserve"> décembre 2021</w:t>
            </w:r>
          </w:p>
          <w:p w14:paraId="68A16E37" w14:textId="77777777" w:rsidR="00F61CF9" w:rsidRDefault="00F61CF9" w:rsidP="00F61CF9"/>
          <w:p w14:paraId="7E487403" w14:textId="77777777" w:rsidR="00F61CF9" w:rsidRDefault="00F61CF9" w:rsidP="00F61CF9"/>
          <w:p w14:paraId="1E8B4A4F" w14:textId="77777777" w:rsidR="00F61CF9" w:rsidRDefault="00F61CF9" w:rsidP="00F61CF9"/>
          <w:p w14:paraId="2041D775" w14:textId="77777777" w:rsidR="00F61CF9" w:rsidRDefault="00F61CF9" w:rsidP="00F61CF9"/>
          <w:p w14:paraId="4F9550B8" w14:textId="77777777" w:rsidR="00F61CF9" w:rsidRDefault="00F61CF9" w:rsidP="00F61CF9"/>
          <w:p w14:paraId="6160B4CA" w14:textId="77777777" w:rsidR="00F61CF9" w:rsidRDefault="00F61CF9" w:rsidP="00F61CF9"/>
          <w:p w14:paraId="05DD56E0" w14:textId="77777777" w:rsidR="00F61CF9" w:rsidRDefault="00F61CF9" w:rsidP="00F61CF9"/>
          <w:p w14:paraId="05B6DE3E" w14:textId="77777777" w:rsidR="00F61CF9" w:rsidRDefault="00F61CF9" w:rsidP="00F61CF9"/>
          <w:p w14:paraId="56DC3E4D" w14:textId="77777777" w:rsidR="00F61CF9" w:rsidRDefault="00F61CF9" w:rsidP="00F61CF9"/>
          <w:p w14:paraId="382D22FF" w14:textId="05D15551" w:rsidR="00F61CF9" w:rsidRDefault="00A71D17" w:rsidP="00A71D17">
            <w:pPr>
              <w:jc w:val="both"/>
            </w:pPr>
            <w:r>
              <w:t xml:space="preserve">h) </w:t>
            </w:r>
            <w:r w:rsidR="00F61CF9">
              <w:t xml:space="preserve">Les travaux du </w:t>
            </w:r>
            <w:r w:rsidR="00C306E7">
              <w:t xml:space="preserve">Comité Stratégique facilités par le secrétariat général </w:t>
            </w:r>
            <w:r>
              <w:t xml:space="preserve">de la COI </w:t>
            </w:r>
            <w:r w:rsidR="00C306E7">
              <w:t xml:space="preserve">et </w:t>
            </w:r>
            <w:r>
              <w:t>présidé</w:t>
            </w:r>
            <w:r w:rsidR="00C306E7">
              <w:t xml:space="preserve"> </w:t>
            </w:r>
            <w:r>
              <w:t xml:space="preserve">par les Seychelles </w:t>
            </w:r>
            <w:r w:rsidR="00C306E7">
              <w:t xml:space="preserve">se sont réunis sept fois en 2021-2022 et ont été considéré considérable </w:t>
            </w:r>
            <w:r w:rsidR="00F61CF9">
              <w:t xml:space="preserve">et ont </w:t>
            </w:r>
            <w:r w:rsidR="00C306E7">
              <w:t>permis la dernière Session Pléniè</w:t>
            </w:r>
            <w:r w:rsidR="00C306E7" w:rsidRPr="00A71D17">
              <w:rPr>
                <w:rFonts w:cstheme="minorHAnsi"/>
              </w:rPr>
              <w:t>r</w:t>
            </w:r>
            <w:r w:rsidR="00C306E7">
              <w:t xml:space="preserve">e du </w:t>
            </w:r>
            <w:r w:rsidR="00C306E7" w:rsidRPr="00A71D17">
              <w:rPr>
                <w:b/>
                <w:bCs/>
                <w:i/>
                <w:iCs/>
              </w:rPr>
              <w:t>Groupe de contact contre la piraterie hors des c</w:t>
            </w:r>
            <w:r w:rsidR="00C306E7" w:rsidRPr="00A71D17">
              <w:rPr>
                <w:rFonts w:cstheme="minorHAnsi"/>
                <w:b/>
                <w:bCs/>
                <w:i/>
                <w:iCs/>
              </w:rPr>
              <w:t>ô</w:t>
            </w:r>
            <w:r w:rsidR="00C306E7" w:rsidRPr="00A71D17">
              <w:rPr>
                <w:b/>
                <w:bCs/>
                <w:i/>
                <w:iCs/>
              </w:rPr>
              <w:t>tes Somaliens</w:t>
            </w:r>
            <w:r w:rsidR="00F61CF9">
              <w:t xml:space="preserve"> </w:t>
            </w:r>
            <w:r w:rsidR="00C306E7">
              <w:t xml:space="preserve">d’agréer pour lui donner une nouvelle orientation de la plateforme vers un </w:t>
            </w:r>
            <w:r w:rsidR="00C306E7" w:rsidRPr="00A71D17">
              <w:rPr>
                <w:b/>
                <w:bCs/>
                <w:i/>
                <w:iCs/>
              </w:rPr>
              <w:t>Groupe de contact contre les activités illicites dans l’océan Indien Occidentale</w:t>
            </w:r>
            <w:r w:rsidR="00C306E7">
              <w:t xml:space="preserve"> </w:t>
            </w:r>
          </w:p>
          <w:p w14:paraId="0EA4CC8B" w14:textId="77777777" w:rsidR="00A71D17" w:rsidRDefault="00A71D17" w:rsidP="00A71D17"/>
          <w:p w14:paraId="4E8437F7" w14:textId="77777777" w:rsidR="00A71D17" w:rsidRDefault="00A71D17" w:rsidP="00A71D17"/>
          <w:p w14:paraId="2E97C94A" w14:textId="77777777" w:rsidR="00A71D17" w:rsidRDefault="00A71D17" w:rsidP="00A71D17"/>
          <w:p w14:paraId="66502B56" w14:textId="77777777" w:rsidR="00A71D17" w:rsidRDefault="00A71D17" w:rsidP="00A71D17">
            <w:r>
              <w:t>i) La première réunion du Comité Pilotage du projet eu lieu les 19-20 janvier 2022</w:t>
            </w:r>
          </w:p>
          <w:p w14:paraId="60FFCE17" w14:textId="77777777" w:rsidR="00A71D17" w:rsidRDefault="00A71D17" w:rsidP="00A71D17"/>
          <w:p w14:paraId="1358D144" w14:textId="77777777" w:rsidR="00A71D17" w:rsidRDefault="00A71D17" w:rsidP="00A71D17"/>
          <w:p w14:paraId="6592C5D9" w14:textId="77777777" w:rsidR="00A71D17" w:rsidRDefault="00A71D17" w:rsidP="00A71D17">
            <w:pPr>
              <w:jc w:val="both"/>
            </w:pPr>
            <w:r>
              <w:t>j) Le document de cadre régional a été transmis aux pays et partenaires. Les actions de mise en œuvre sont en préparation avec l’UNODC</w:t>
            </w:r>
          </w:p>
          <w:p w14:paraId="5153FC57" w14:textId="77777777" w:rsidR="00A71D17" w:rsidRDefault="00A71D17" w:rsidP="00A71D17">
            <w:pPr>
              <w:jc w:val="both"/>
            </w:pPr>
          </w:p>
          <w:p w14:paraId="2BC9B35D" w14:textId="77777777" w:rsidR="00A71D17" w:rsidRDefault="00A71D17" w:rsidP="00A71D17">
            <w:pPr>
              <w:jc w:val="both"/>
            </w:pPr>
          </w:p>
          <w:p w14:paraId="41CAC35F" w14:textId="77777777" w:rsidR="00A71D17" w:rsidRDefault="00A71D17" w:rsidP="00A71D17">
            <w:pPr>
              <w:jc w:val="both"/>
            </w:pPr>
          </w:p>
          <w:p w14:paraId="0C5DB89C" w14:textId="662E9124" w:rsidR="00A71D17" w:rsidRDefault="00A71D17" w:rsidP="00A71D17">
            <w:pPr>
              <w:jc w:val="both"/>
            </w:pPr>
            <w:r>
              <w:t xml:space="preserve">k) </w:t>
            </w:r>
            <w:r w:rsidR="001A05DB">
              <w:t xml:space="preserve">Le SG COI continue le plaidoyer. Les instances ont appelé les Etats membres à porter également ce plaidoyer. </w:t>
            </w:r>
            <w:bookmarkStart w:id="4" w:name="_GoBack"/>
            <w:bookmarkEnd w:id="4"/>
          </w:p>
          <w:p w14:paraId="025C4AEB" w14:textId="77777777" w:rsidR="00A71D17" w:rsidRDefault="00A71D17" w:rsidP="00A71D17">
            <w:pPr>
              <w:jc w:val="both"/>
            </w:pPr>
          </w:p>
          <w:p w14:paraId="4AE26F95" w14:textId="77777777" w:rsidR="00A71D17" w:rsidRDefault="00A71D17" w:rsidP="00A71D17">
            <w:pPr>
              <w:jc w:val="both"/>
            </w:pPr>
          </w:p>
          <w:p w14:paraId="76191625" w14:textId="77777777" w:rsidR="00A71D17" w:rsidRDefault="00A71D17" w:rsidP="00A71D17">
            <w:pPr>
              <w:jc w:val="both"/>
            </w:pPr>
          </w:p>
          <w:p w14:paraId="59EA56E5" w14:textId="77777777" w:rsidR="00A71D17" w:rsidRDefault="00A71D17" w:rsidP="00A71D17">
            <w:pPr>
              <w:jc w:val="both"/>
            </w:pPr>
          </w:p>
          <w:p w14:paraId="41EE33FB" w14:textId="77777777" w:rsidR="00A71D17" w:rsidRDefault="00A71D17" w:rsidP="00A71D17">
            <w:pPr>
              <w:jc w:val="both"/>
            </w:pPr>
          </w:p>
          <w:p w14:paraId="2701DA9F" w14:textId="77777777" w:rsidR="00A71D17" w:rsidRDefault="00A71D17" w:rsidP="00A71D17">
            <w:pPr>
              <w:jc w:val="both"/>
            </w:pPr>
          </w:p>
          <w:p w14:paraId="0988B6CA" w14:textId="77777777" w:rsidR="00A71D17" w:rsidRDefault="00A71D17" w:rsidP="00A71D17">
            <w:pPr>
              <w:jc w:val="both"/>
            </w:pPr>
          </w:p>
          <w:p w14:paraId="11401139" w14:textId="77777777" w:rsidR="00A71D17" w:rsidRDefault="00A71D17" w:rsidP="00A71D17">
            <w:pPr>
              <w:jc w:val="both"/>
            </w:pPr>
          </w:p>
          <w:p w14:paraId="7CEADE73" w14:textId="77777777" w:rsidR="00A71D17" w:rsidRDefault="00A71D17" w:rsidP="00A71D17">
            <w:pPr>
              <w:jc w:val="both"/>
            </w:pPr>
            <w:r>
              <w:t xml:space="preserve">l) </w:t>
            </w:r>
          </w:p>
          <w:p w14:paraId="0B1F0FE3" w14:textId="77777777" w:rsidR="00A71D17" w:rsidRDefault="00A71D17" w:rsidP="00A71D17">
            <w:pPr>
              <w:jc w:val="both"/>
            </w:pPr>
          </w:p>
          <w:p w14:paraId="44FA0F06" w14:textId="77777777" w:rsidR="00A71D17" w:rsidRDefault="00A71D17" w:rsidP="00A71D17">
            <w:pPr>
              <w:jc w:val="both"/>
            </w:pPr>
          </w:p>
          <w:p w14:paraId="70E3ADC0" w14:textId="77777777" w:rsidR="00A71D17" w:rsidRDefault="00A71D17" w:rsidP="00A71D17">
            <w:pPr>
              <w:jc w:val="both"/>
            </w:pPr>
          </w:p>
          <w:p w14:paraId="79822386" w14:textId="77777777" w:rsidR="00A71D17" w:rsidRDefault="00A71D17" w:rsidP="00A71D17">
            <w:pPr>
              <w:jc w:val="both"/>
            </w:pPr>
          </w:p>
          <w:p w14:paraId="42EC8E53" w14:textId="5A4F46DD" w:rsidR="00A71D17" w:rsidRDefault="00A71D17" w:rsidP="00A71D17">
            <w:pPr>
              <w:jc w:val="both"/>
            </w:pPr>
            <w:r>
              <w:t>m) Une proposition</w:t>
            </w:r>
            <w:r w:rsidR="00DD762F">
              <w:t xml:space="preserve"> a été rédigée </w:t>
            </w:r>
            <w:r>
              <w:t>incluant les six axes d’un éventuel programme est circulé pour consultation</w:t>
            </w:r>
          </w:p>
          <w:p w14:paraId="54967E4B" w14:textId="77777777" w:rsidR="00A71D17" w:rsidRDefault="00A71D17" w:rsidP="00A71D17">
            <w:pPr>
              <w:jc w:val="both"/>
            </w:pPr>
          </w:p>
          <w:p w14:paraId="0DA8A3D2" w14:textId="77777777" w:rsidR="00A71D17" w:rsidRDefault="00A71D17" w:rsidP="00A71D17">
            <w:pPr>
              <w:jc w:val="both"/>
            </w:pPr>
          </w:p>
          <w:p w14:paraId="62EEA17D" w14:textId="77777777" w:rsidR="00A71D17" w:rsidRDefault="00A71D17" w:rsidP="00A71D17">
            <w:pPr>
              <w:jc w:val="both"/>
            </w:pPr>
          </w:p>
          <w:p w14:paraId="226D8A51" w14:textId="77777777" w:rsidR="00A71D17" w:rsidRDefault="00A71D17" w:rsidP="00A71D17">
            <w:pPr>
              <w:jc w:val="both"/>
            </w:pPr>
          </w:p>
          <w:p w14:paraId="0157F686" w14:textId="77777777" w:rsidR="00A71D17" w:rsidRDefault="00A71D17" w:rsidP="00A71D17">
            <w:pPr>
              <w:jc w:val="both"/>
            </w:pPr>
          </w:p>
          <w:p w14:paraId="5B3FEAE0" w14:textId="77777777" w:rsidR="00A71D17" w:rsidRDefault="00A71D17" w:rsidP="00A71D17">
            <w:pPr>
              <w:jc w:val="both"/>
            </w:pPr>
          </w:p>
          <w:p w14:paraId="4E74C2B2" w14:textId="77777777" w:rsidR="00A71D17" w:rsidRDefault="00A71D17" w:rsidP="00A71D17">
            <w:pPr>
              <w:jc w:val="both"/>
            </w:pPr>
          </w:p>
          <w:p w14:paraId="62995746" w14:textId="77777777" w:rsidR="00A71D17" w:rsidRDefault="00A71D17" w:rsidP="00A71D17">
            <w:pPr>
              <w:jc w:val="both"/>
            </w:pPr>
          </w:p>
          <w:p w14:paraId="73E7FE0B" w14:textId="77777777" w:rsidR="00A71D17" w:rsidRDefault="00A71D17" w:rsidP="00A71D17">
            <w:pPr>
              <w:jc w:val="both"/>
            </w:pPr>
          </w:p>
          <w:p w14:paraId="6491FF77" w14:textId="77777777" w:rsidR="00A71D17" w:rsidRDefault="00A71D17" w:rsidP="00A71D17">
            <w:pPr>
              <w:jc w:val="both"/>
            </w:pPr>
          </w:p>
          <w:p w14:paraId="04CE25CF" w14:textId="77777777" w:rsidR="00A71D17" w:rsidRDefault="00A71D17" w:rsidP="00A71D17">
            <w:pPr>
              <w:jc w:val="both"/>
            </w:pPr>
          </w:p>
          <w:p w14:paraId="4D4A54A2" w14:textId="0AC67D1B" w:rsidR="00A71D17" w:rsidRDefault="00A71D17" w:rsidP="00A71D17">
            <w:pPr>
              <w:jc w:val="both"/>
            </w:pPr>
            <w:r>
              <w:t xml:space="preserve">n) Le rapport de la </w:t>
            </w:r>
            <w:r w:rsidR="00E55AED">
              <w:t>réunion</w:t>
            </w:r>
            <w:r>
              <w:t xml:space="preserve"> du 29 septembre 2021 est </w:t>
            </w:r>
            <w:r w:rsidR="00E55AED">
              <w:t>circulé</w:t>
            </w:r>
            <w:r>
              <w:t xml:space="preserve"> </w:t>
            </w:r>
            <w:proofErr w:type="gramStart"/>
            <w:r>
              <w:t>a</w:t>
            </w:r>
            <w:proofErr w:type="gramEnd"/>
            <w:r>
              <w:t xml:space="preserve"> l’ensemble des partenaires et </w:t>
            </w:r>
            <w:r w:rsidR="00E55AED">
              <w:t>des actions de suivis sont en cours</w:t>
            </w:r>
          </w:p>
          <w:p w14:paraId="38984B62" w14:textId="77777777" w:rsidR="00E55AED" w:rsidRDefault="00E55AED" w:rsidP="00A71D17">
            <w:pPr>
              <w:jc w:val="both"/>
            </w:pPr>
          </w:p>
          <w:p w14:paraId="5DEDAE27" w14:textId="77777777" w:rsidR="00E55AED" w:rsidRDefault="00E55AED" w:rsidP="00A71D17">
            <w:pPr>
              <w:jc w:val="both"/>
            </w:pPr>
          </w:p>
          <w:p w14:paraId="4537454A" w14:textId="7BBA3133" w:rsidR="00E55AED" w:rsidRDefault="00E55AED" w:rsidP="00A71D17">
            <w:pPr>
              <w:jc w:val="both"/>
            </w:pPr>
          </w:p>
          <w:p w14:paraId="30FE5ACE" w14:textId="28EE4C41" w:rsidR="00E55AED" w:rsidRDefault="00E55AED" w:rsidP="00A71D17">
            <w:pPr>
              <w:jc w:val="both"/>
            </w:pPr>
          </w:p>
          <w:p w14:paraId="58F03506" w14:textId="122F181A" w:rsidR="00E55AED" w:rsidRDefault="00E55AED" w:rsidP="00A71D17">
            <w:pPr>
              <w:jc w:val="both"/>
            </w:pPr>
          </w:p>
          <w:p w14:paraId="33BC46A8" w14:textId="58EF711F" w:rsidR="00E55AED" w:rsidRDefault="00E55AED" w:rsidP="00A71D17">
            <w:pPr>
              <w:jc w:val="both"/>
            </w:pPr>
          </w:p>
          <w:p w14:paraId="74D3A726" w14:textId="76C0446D" w:rsidR="00E55AED" w:rsidRDefault="00E55AED" w:rsidP="00A71D17">
            <w:pPr>
              <w:jc w:val="both"/>
            </w:pPr>
          </w:p>
          <w:p w14:paraId="490E11E4" w14:textId="24AAA090" w:rsidR="00E55AED" w:rsidRDefault="00E55AED" w:rsidP="00A71D17">
            <w:pPr>
              <w:jc w:val="both"/>
            </w:pPr>
            <w:r>
              <w:t>o) Un audit a été initié et est en cours</w:t>
            </w:r>
          </w:p>
          <w:p w14:paraId="40DE6AB6" w14:textId="2FB09D03" w:rsidR="00E55AED" w:rsidRDefault="00E55AED" w:rsidP="00A71D17">
            <w:pPr>
              <w:jc w:val="both"/>
            </w:pPr>
          </w:p>
          <w:p w14:paraId="25844E37" w14:textId="5FB94A74" w:rsidR="00E55AED" w:rsidRDefault="00E55AED" w:rsidP="00A71D17">
            <w:pPr>
              <w:jc w:val="both"/>
            </w:pPr>
          </w:p>
          <w:p w14:paraId="626A2000" w14:textId="1C5A945E" w:rsidR="00E55AED" w:rsidRDefault="00E55AED" w:rsidP="00A71D17">
            <w:pPr>
              <w:jc w:val="both"/>
            </w:pPr>
          </w:p>
          <w:p w14:paraId="59FA90FF" w14:textId="7C995EF9" w:rsidR="00E55AED" w:rsidRDefault="00E55AED" w:rsidP="00A71D17">
            <w:pPr>
              <w:jc w:val="both"/>
            </w:pPr>
          </w:p>
          <w:p w14:paraId="22DD7C95" w14:textId="26011900" w:rsidR="00E55AED" w:rsidRDefault="00E55AED" w:rsidP="00A71D17">
            <w:pPr>
              <w:jc w:val="both"/>
            </w:pPr>
          </w:p>
          <w:p w14:paraId="1328E9AC" w14:textId="239928B4" w:rsidR="00E55AED" w:rsidRDefault="00E55AED" w:rsidP="00A71D17">
            <w:pPr>
              <w:jc w:val="both"/>
            </w:pPr>
          </w:p>
          <w:p w14:paraId="45BB443A" w14:textId="3407885D" w:rsidR="00E55AED" w:rsidRDefault="00E55AED" w:rsidP="00E55AED">
            <w:pPr>
              <w:jc w:val="both"/>
            </w:pPr>
            <w:r>
              <w:lastRenderedPageBreak/>
              <w:t xml:space="preserve">p) L’UE et l’UNODC ont été approchés pour une suite. Une plateforme des investigateurs et </w:t>
            </w:r>
            <w:proofErr w:type="spellStart"/>
            <w:r>
              <w:t>proc</w:t>
            </w:r>
            <w:r w:rsidR="00DD762F">
              <w:rPr>
                <w:rFonts w:cstheme="minorHAnsi"/>
              </w:rPr>
              <w:t>é</w:t>
            </w:r>
            <w:r>
              <w:t>cuteurs</w:t>
            </w:r>
            <w:proofErr w:type="spellEnd"/>
            <w:r w:rsidR="00DD762F">
              <w:t xml:space="preserve"> des pays signataires de deux Accords MASE sera initiée en 2022 </w:t>
            </w:r>
          </w:p>
          <w:p w14:paraId="58694175" w14:textId="023EFB31" w:rsidR="00E55AED" w:rsidRDefault="00E55AED" w:rsidP="00A71D17">
            <w:pPr>
              <w:jc w:val="both"/>
            </w:pPr>
          </w:p>
        </w:tc>
        <w:tc>
          <w:tcPr>
            <w:tcW w:w="3364" w:type="dxa"/>
          </w:tcPr>
          <w:p w14:paraId="5900FED1" w14:textId="77777777" w:rsidR="00381225" w:rsidRDefault="00381225"/>
        </w:tc>
      </w:tr>
      <w:tr w:rsidR="007E2981" w14:paraId="7793631C" w14:textId="77777777" w:rsidTr="00CF5700">
        <w:tc>
          <w:tcPr>
            <w:tcW w:w="15388" w:type="dxa"/>
            <w:gridSpan w:val="4"/>
          </w:tcPr>
          <w:p w14:paraId="7D38654E" w14:textId="52FA7353" w:rsidR="007E2981" w:rsidRDefault="007E2981">
            <w:r>
              <w:rPr>
                <w:rFonts w:ascii="Verdana" w:hAnsi="Verdana"/>
                <w:b/>
                <w:bCs/>
                <w:color w:val="ED7D31" w:themeColor="accent2"/>
                <w:sz w:val="20"/>
                <w:szCs w:val="20"/>
              </w:rPr>
              <w:lastRenderedPageBreak/>
              <w:t>4</w:t>
            </w:r>
            <w:r w:rsidRPr="00376D3E">
              <w:rPr>
                <w:rFonts w:ascii="Verdana" w:hAnsi="Verdana"/>
                <w:b/>
                <w:bCs/>
                <w:color w:val="ED7D31" w:themeColor="accent2"/>
                <w:sz w:val="20"/>
                <w:szCs w:val="20"/>
              </w:rPr>
              <w:t xml:space="preserve"> – </w:t>
            </w:r>
            <w:r>
              <w:rPr>
                <w:rFonts w:ascii="Verdana" w:hAnsi="Verdana"/>
                <w:b/>
                <w:bCs/>
                <w:color w:val="ED7D31" w:themeColor="accent2"/>
                <w:sz w:val="20"/>
                <w:szCs w:val="20"/>
              </w:rPr>
              <w:t>Affaires administratives</w:t>
            </w:r>
          </w:p>
        </w:tc>
      </w:tr>
      <w:tr w:rsidR="00F0144D" w14:paraId="178A36C3" w14:textId="77777777" w:rsidTr="007E2981">
        <w:tc>
          <w:tcPr>
            <w:tcW w:w="4475" w:type="dxa"/>
          </w:tcPr>
          <w:p w14:paraId="3F987B67" w14:textId="77777777" w:rsidR="00F0144D" w:rsidRPr="00376D3E" w:rsidRDefault="00F0144D" w:rsidP="00F0144D">
            <w:pPr>
              <w:spacing w:after="120"/>
              <w:ind w:firstLine="708"/>
              <w:jc w:val="center"/>
              <w:rPr>
                <w:rFonts w:ascii="Verdana" w:hAnsi="Verdana"/>
                <w:b/>
                <w:bCs/>
                <w:sz w:val="20"/>
                <w:szCs w:val="20"/>
              </w:rPr>
            </w:pPr>
            <w:r w:rsidRPr="00376D3E">
              <w:rPr>
                <w:rFonts w:ascii="Verdana" w:hAnsi="Verdana"/>
                <w:b/>
                <w:bCs/>
                <w:sz w:val="20"/>
                <w:szCs w:val="20"/>
              </w:rPr>
              <w:t xml:space="preserve">Décision </w:t>
            </w:r>
            <w:r>
              <w:rPr>
                <w:rFonts w:ascii="Verdana" w:hAnsi="Verdana"/>
                <w:b/>
                <w:bCs/>
                <w:sz w:val="20"/>
                <w:szCs w:val="20"/>
              </w:rPr>
              <w:t>8</w:t>
            </w:r>
            <w:r w:rsidRPr="00376D3E">
              <w:rPr>
                <w:rFonts w:ascii="Verdana" w:hAnsi="Verdana"/>
                <w:b/>
                <w:bCs/>
                <w:sz w:val="20"/>
                <w:szCs w:val="20"/>
              </w:rPr>
              <w:t xml:space="preserve">. </w:t>
            </w:r>
            <w:r>
              <w:rPr>
                <w:rFonts w:ascii="Verdana" w:hAnsi="Verdana"/>
                <w:b/>
                <w:bCs/>
                <w:sz w:val="20"/>
                <w:szCs w:val="20"/>
              </w:rPr>
              <w:t>Audit et demande de quitus</w:t>
            </w:r>
          </w:p>
          <w:p w14:paraId="57C307D7" w14:textId="77777777" w:rsidR="00F0144D" w:rsidRDefault="00F0144D" w:rsidP="00F0144D">
            <w:pPr>
              <w:jc w:val="both"/>
              <w:rPr>
                <w:rFonts w:ascii="Verdana" w:hAnsi="Verdana"/>
                <w:sz w:val="20"/>
                <w:szCs w:val="20"/>
              </w:rPr>
            </w:pPr>
            <w:r w:rsidRPr="00210668">
              <w:rPr>
                <w:rFonts w:ascii="Verdana" w:hAnsi="Verdana"/>
                <w:sz w:val="20"/>
                <w:szCs w:val="20"/>
              </w:rPr>
              <w:t>Le Conseil des ministres donne quitus au Secrétariat général sur les états financiers 2019 examinés et validés par le comité d’audit et des risques lors de sa réunion statutaire.</w:t>
            </w:r>
          </w:p>
          <w:p w14:paraId="2ADC1BBC" w14:textId="77777777" w:rsidR="00F0144D" w:rsidRDefault="00F0144D" w:rsidP="00F0144D"/>
        </w:tc>
        <w:tc>
          <w:tcPr>
            <w:tcW w:w="1623" w:type="dxa"/>
          </w:tcPr>
          <w:p w14:paraId="0FAC8779" w14:textId="77777777" w:rsidR="00F0144D" w:rsidRDefault="00F0144D" w:rsidP="00F0144D"/>
          <w:p w14:paraId="5920C6E6" w14:textId="19B6B4EF" w:rsidR="00F0144D" w:rsidRDefault="00F0144D" w:rsidP="00F0144D">
            <w:r>
              <w:t>VC</w:t>
            </w:r>
          </w:p>
        </w:tc>
        <w:tc>
          <w:tcPr>
            <w:tcW w:w="5926" w:type="dxa"/>
          </w:tcPr>
          <w:p w14:paraId="043E88A4" w14:textId="77777777" w:rsidR="00F0144D" w:rsidRPr="00F0144D" w:rsidRDefault="00F0144D" w:rsidP="00F0144D"/>
          <w:p w14:paraId="6E0CA34A" w14:textId="77777777" w:rsidR="00F0144D" w:rsidRPr="00F0144D" w:rsidRDefault="00F0144D" w:rsidP="00F0144D"/>
          <w:p w14:paraId="75E1320F" w14:textId="77777777" w:rsidR="00F0144D" w:rsidRPr="00F0144D" w:rsidRDefault="00F0144D" w:rsidP="00F0144D">
            <w:r w:rsidRPr="00F0144D">
              <w:t xml:space="preserve">Le SG-COI a reçu quitus sur les comptes de l’exercice 2019. </w:t>
            </w:r>
          </w:p>
          <w:p w14:paraId="5B4A641B" w14:textId="77777777" w:rsidR="00F0144D" w:rsidRPr="00F0144D" w:rsidRDefault="00F0144D" w:rsidP="00F0144D"/>
          <w:p w14:paraId="597B49F5" w14:textId="4FEF46FC" w:rsidR="00F0144D" w:rsidRPr="00F0144D" w:rsidRDefault="00F0144D" w:rsidP="00F0144D">
            <w:r w:rsidRPr="00F0144D">
              <w:t>Les comptes des années 2020 et 2021 sont en cours d’être audité Commissaires aux Comptes Grant Thornton et leurs conclusions pour les deux années seront soumis au plus tard en mars 2021</w:t>
            </w:r>
          </w:p>
        </w:tc>
        <w:tc>
          <w:tcPr>
            <w:tcW w:w="3364" w:type="dxa"/>
          </w:tcPr>
          <w:p w14:paraId="29830FF5" w14:textId="77777777" w:rsidR="00F0144D" w:rsidRPr="00F0144D" w:rsidRDefault="00F0144D" w:rsidP="00F0144D"/>
          <w:p w14:paraId="2407FEC0" w14:textId="77777777" w:rsidR="00F0144D" w:rsidRPr="00F0144D" w:rsidRDefault="00F0144D" w:rsidP="00F0144D"/>
          <w:p w14:paraId="69D12520" w14:textId="61C4CFEF" w:rsidR="00F0144D" w:rsidRPr="00F0144D" w:rsidRDefault="00F0144D" w:rsidP="00F0144D">
            <w:r w:rsidRPr="00F0144D">
              <w:t>La demande de quitus pour ces deux années seront soumis à un prochain Conseil de la COI après que le Comité d’audit et risques auront pris connaissances des dits rapports et soumettra également leurs recommandations et commentaires.</w:t>
            </w:r>
          </w:p>
        </w:tc>
      </w:tr>
      <w:tr w:rsidR="00F9114C" w14:paraId="70BEE0D9" w14:textId="77777777" w:rsidTr="00DA1288">
        <w:tc>
          <w:tcPr>
            <w:tcW w:w="15388" w:type="dxa"/>
            <w:gridSpan w:val="4"/>
          </w:tcPr>
          <w:p w14:paraId="42451EE4" w14:textId="77777777" w:rsidR="00F9114C" w:rsidRDefault="00F9114C"/>
        </w:tc>
      </w:tr>
    </w:tbl>
    <w:p w14:paraId="03EC5965" w14:textId="77777777" w:rsidR="00381225" w:rsidRDefault="00381225"/>
    <w:sectPr w:rsidR="00381225" w:rsidSect="00F9114C">
      <w:footerReference w:type="default" r:id="rId10"/>
      <w:pgSz w:w="16838" w:h="11906" w:orient="landscape"/>
      <w:pgMar w:top="426" w:right="720" w:bottom="720" w:left="720" w:header="142"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47751" w14:textId="77777777" w:rsidR="00097A93" w:rsidRDefault="00097A93" w:rsidP="00F9114C">
      <w:pPr>
        <w:spacing w:after="0" w:line="240" w:lineRule="auto"/>
      </w:pPr>
      <w:r>
        <w:separator/>
      </w:r>
    </w:p>
  </w:endnote>
  <w:endnote w:type="continuationSeparator" w:id="0">
    <w:p w14:paraId="4FF368DC" w14:textId="77777777" w:rsidR="00097A93" w:rsidRDefault="00097A93" w:rsidP="00F9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288431"/>
      <w:docPartObj>
        <w:docPartGallery w:val="Page Numbers (Bottom of Page)"/>
        <w:docPartUnique/>
      </w:docPartObj>
    </w:sdtPr>
    <w:sdtEndPr/>
    <w:sdtContent>
      <w:p w14:paraId="549DF0F8" w14:textId="77777777" w:rsidR="00F9114C" w:rsidRDefault="00F9114C" w:rsidP="00F9114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p w14:paraId="212AFD72" w14:textId="5A4D2C09" w:rsidR="00F9114C" w:rsidRDefault="00F9114C">
        <w:pPr>
          <w:pStyle w:val="Pieddepage"/>
          <w:jc w:val="right"/>
        </w:pPr>
        <w:r>
          <w:t>Tableau de suivi des décisions du Conseil extraordinaire du 26 novembre 2021</w:t>
        </w:r>
      </w:p>
    </w:sdtContent>
  </w:sdt>
  <w:p w14:paraId="1DCB997C" w14:textId="77777777" w:rsidR="00F9114C" w:rsidRDefault="00F911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BD52" w14:textId="77777777" w:rsidR="00097A93" w:rsidRDefault="00097A93" w:rsidP="00F9114C">
      <w:pPr>
        <w:spacing w:after="0" w:line="240" w:lineRule="auto"/>
      </w:pPr>
      <w:r>
        <w:separator/>
      </w:r>
    </w:p>
  </w:footnote>
  <w:footnote w:type="continuationSeparator" w:id="0">
    <w:p w14:paraId="1218BE46" w14:textId="77777777" w:rsidR="00097A93" w:rsidRDefault="00097A93" w:rsidP="00F91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50AF"/>
    <w:multiLevelType w:val="hybridMultilevel"/>
    <w:tmpl w:val="5C1614CA"/>
    <w:lvl w:ilvl="0" w:tplc="9B0CA72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D43C3C"/>
    <w:multiLevelType w:val="hybridMultilevel"/>
    <w:tmpl w:val="A3A8F7A4"/>
    <w:lvl w:ilvl="0" w:tplc="FFFFFFFF">
      <w:start w:val="1"/>
      <w:numFmt w:val="bullet"/>
      <w:lvlText w:val="o"/>
      <w:lvlJc w:val="left"/>
      <w:pPr>
        <w:tabs>
          <w:tab w:val="num" w:pos="720"/>
        </w:tabs>
        <w:ind w:left="720" w:hanging="360"/>
      </w:pPr>
      <w:rPr>
        <w:rFonts w:ascii="Courier New" w:hAnsi="Courier New" w:cs="Courier New" w:hint="default"/>
      </w:rPr>
    </w:lvl>
    <w:lvl w:ilvl="1" w:tplc="2000001B">
      <w:start w:val="1"/>
      <w:numFmt w:val="lowerRoman"/>
      <w:lvlText w:val="%2."/>
      <w:lvlJc w:val="right"/>
      <w:pPr>
        <w:tabs>
          <w:tab w:val="num" w:pos="1440"/>
        </w:tabs>
        <w:ind w:left="1440" w:hanging="360"/>
      </w:pPr>
      <w:rPr>
        <w:rFonts w:hint="default"/>
      </w:rPr>
    </w:lvl>
    <w:lvl w:ilvl="2" w:tplc="C22E0510">
      <w:numFmt w:val="bullet"/>
      <w:lvlText w:val="-"/>
      <w:lvlJc w:val="left"/>
      <w:pPr>
        <w:ind w:left="2160" w:hanging="360"/>
      </w:pPr>
      <w:rPr>
        <w:rFonts w:ascii="Calibri" w:eastAsiaTheme="minorHAnsi" w:hAnsi="Calibri" w:cs="Calibri" w:hint="default"/>
      </w:rPr>
    </w:lvl>
    <w:lvl w:ilvl="3" w:tplc="F5FE9426">
      <w:start w:val="1"/>
      <w:numFmt w:val="lowerLetter"/>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14267"/>
    <w:multiLevelType w:val="hybridMultilevel"/>
    <w:tmpl w:val="CC72B386"/>
    <w:lvl w:ilvl="0" w:tplc="04090003">
      <w:start w:val="1"/>
      <w:numFmt w:val="bullet"/>
      <w:lvlText w:val="o"/>
      <w:lvlJc w:val="left"/>
      <w:pPr>
        <w:tabs>
          <w:tab w:val="num" w:pos="720"/>
        </w:tabs>
        <w:ind w:left="720" w:hanging="360"/>
      </w:pPr>
      <w:rPr>
        <w:rFonts w:ascii="Courier New" w:hAnsi="Courier New" w:cs="Courier New" w:hint="default"/>
      </w:rPr>
    </w:lvl>
    <w:lvl w:ilvl="1" w:tplc="2000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6E2EFE"/>
    <w:multiLevelType w:val="hybridMultilevel"/>
    <w:tmpl w:val="0D8882E0"/>
    <w:lvl w:ilvl="0" w:tplc="6D24791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B432D4"/>
    <w:multiLevelType w:val="hybridMultilevel"/>
    <w:tmpl w:val="53B0200E"/>
    <w:lvl w:ilvl="0" w:tplc="F69A2EF8">
      <w:start w:val="2"/>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F7219D5"/>
    <w:multiLevelType w:val="hybridMultilevel"/>
    <w:tmpl w:val="1B9C7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B450C3"/>
    <w:multiLevelType w:val="hybridMultilevel"/>
    <w:tmpl w:val="EBFCAD10"/>
    <w:lvl w:ilvl="0" w:tplc="40F8B99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416251"/>
    <w:multiLevelType w:val="hybridMultilevel"/>
    <w:tmpl w:val="2EC21AF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BB5149"/>
    <w:multiLevelType w:val="hybridMultilevel"/>
    <w:tmpl w:val="61D4789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58D02FB"/>
    <w:multiLevelType w:val="hybridMultilevel"/>
    <w:tmpl w:val="5A947278"/>
    <w:lvl w:ilvl="0" w:tplc="7C3C9C30">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7"/>
  </w:num>
  <w:num w:numId="2">
    <w:abstractNumId w:val="6"/>
  </w:num>
  <w:num w:numId="3">
    <w:abstractNumId w:val="2"/>
  </w:num>
  <w:num w:numId="4">
    <w:abstractNumId w:val="4"/>
  </w:num>
  <w:num w:numId="5">
    <w:abstractNumId w:val="1"/>
  </w:num>
  <w:num w:numId="6">
    <w:abstractNumId w:val="9"/>
  </w:num>
  <w:num w:numId="7">
    <w:abstractNumId w:val="5"/>
  </w:num>
  <w:num w:numId="8">
    <w:abstractNumId w:val="8"/>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25"/>
    <w:rsid w:val="00097A93"/>
    <w:rsid w:val="00104D66"/>
    <w:rsid w:val="00113D04"/>
    <w:rsid w:val="001608E1"/>
    <w:rsid w:val="001A05DB"/>
    <w:rsid w:val="001B35E4"/>
    <w:rsid w:val="00210401"/>
    <w:rsid w:val="00236F52"/>
    <w:rsid w:val="002632BF"/>
    <w:rsid w:val="00330B51"/>
    <w:rsid w:val="00381225"/>
    <w:rsid w:val="00391604"/>
    <w:rsid w:val="003A6F27"/>
    <w:rsid w:val="00441694"/>
    <w:rsid w:val="00493BBA"/>
    <w:rsid w:val="005003E4"/>
    <w:rsid w:val="00524FA8"/>
    <w:rsid w:val="00577ECD"/>
    <w:rsid w:val="005F7B82"/>
    <w:rsid w:val="00603DCD"/>
    <w:rsid w:val="006538C9"/>
    <w:rsid w:val="00656891"/>
    <w:rsid w:val="00712D6C"/>
    <w:rsid w:val="00762CF1"/>
    <w:rsid w:val="007854F0"/>
    <w:rsid w:val="007E2981"/>
    <w:rsid w:val="008469CC"/>
    <w:rsid w:val="0094212E"/>
    <w:rsid w:val="00956F56"/>
    <w:rsid w:val="009624A5"/>
    <w:rsid w:val="009A2190"/>
    <w:rsid w:val="009F7048"/>
    <w:rsid w:val="00A2309C"/>
    <w:rsid w:val="00A30901"/>
    <w:rsid w:val="00A71D17"/>
    <w:rsid w:val="00A97AE2"/>
    <w:rsid w:val="00AA35F1"/>
    <w:rsid w:val="00B513CF"/>
    <w:rsid w:val="00B65090"/>
    <w:rsid w:val="00BA6C6F"/>
    <w:rsid w:val="00BD0A6A"/>
    <w:rsid w:val="00BF4CBE"/>
    <w:rsid w:val="00C07043"/>
    <w:rsid w:val="00C167C3"/>
    <w:rsid w:val="00C306E7"/>
    <w:rsid w:val="00C40EF4"/>
    <w:rsid w:val="00C53A46"/>
    <w:rsid w:val="00C77076"/>
    <w:rsid w:val="00CB3E87"/>
    <w:rsid w:val="00CB6906"/>
    <w:rsid w:val="00D36F2F"/>
    <w:rsid w:val="00D76F83"/>
    <w:rsid w:val="00D9622C"/>
    <w:rsid w:val="00DC089B"/>
    <w:rsid w:val="00DD762F"/>
    <w:rsid w:val="00DE40CF"/>
    <w:rsid w:val="00E45607"/>
    <w:rsid w:val="00E52E2F"/>
    <w:rsid w:val="00E55AED"/>
    <w:rsid w:val="00E5716D"/>
    <w:rsid w:val="00EE19DE"/>
    <w:rsid w:val="00F0144D"/>
    <w:rsid w:val="00F61CF9"/>
    <w:rsid w:val="00F9114C"/>
    <w:rsid w:val="00FB75F4"/>
    <w:rsid w:val="00FC1290"/>
    <w:rsid w:val="00FD1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8D058"/>
  <w15:chartTrackingRefBased/>
  <w15:docId w15:val="{0A656BDF-9C48-42E2-9113-A4A4037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8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81225"/>
    <w:pPr>
      <w:spacing w:after="0" w:line="240" w:lineRule="auto"/>
    </w:pPr>
  </w:style>
  <w:style w:type="character" w:customStyle="1" w:styleId="SansinterligneCar">
    <w:name w:val="Sans interligne Car"/>
    <w:link w:val="Sansinterligne"/>
    <w:uiPriority w:val="1"/>
    <w:locked/>
    <w:rsid w:val="00381225"/>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381225"/>
    <w:pPr>
      <w:ind w:left="720"/>
      <w:contextualSpacing/>
    </w:p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locked/>
    <w:rsid w:val="00381225"/>
  </w:style>
  <w:style w:type="paragraph" w:styleId="En-tte">
    <w:name w:val="header"/>
    <w:basedOn w:val="Normal"/>
    <w:link w:val="En-tteCar"/>
    <w:uiPriority w:val="99"/>
    <w:unhideWhenUsed/>
    <w:rsid w:val="00F9114C"/>
    <w:pPr>
      <w:tabs>
        <w:tab w:val="center" w:pos="4536"/>
        <w:tab w:val="right" w:pos="9072"/>
      </w:tabs>
      <w:spacing w:after="0" w:line="240" w:lineRule="auto"/>
    </w:pPr>
  </w:style>
  <w:style w:type="character" w:customStyle="1" w:styleId="En-tteCar">
    <w:name w:val="En-tête Car"/>
    <w:basedOn w:val="Policepardfaut"/>
    <w:link w:val="En-tte"/>
    <w:uiPriority w:val="99"/>
    <w:rsid w:val="00F9114C"/>
  </w:style>
  <w:style w:type="paragraph" w:styleId="Pieddepage">
    <w:name w:val="footer"/>
    <w:basedOn w:val="Normal"/>
    <w:link w:val="PieddepageCar"/>
    <w:uiPriority w:val="99"/>
    <w:unhideWhenUsed/>
    <w:rsid w:val="00F911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14C"/>
  </w:style>
  <w:style w:type="character" w:customStyle="1" w:styleId="apple-converted-space">
    <w:name w:val="apple-converted-space"/>
    <w:basedOn w:val="Policepardfaut"/>
    <w:rsid w:val="00FD13CF"/>
  </w:style>
  <w:style w:type="paragraph" w:styleId="Textedebulles">
    <w:name w:val="Balloon Text"/>
    <w:basedOn w:val="Normal"/>
    <w:link w:val="TextedebullesCar"/>
    <w:uiPriority w:val="99"/>
    <w:semiHidden/>
    <w:unhideWhenUsed/>
    <w:rsid w:val="006538C9"/>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6538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4" ma:contentTypeDescription="Create a new document." ma:contentTypeScope="" ma:versionID="29f8567f4649d644b23d6e14629aa189">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4fe6daa935a08f1239b31395503c7014"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9F185-E9F0-4170-882D-2FAE9460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A90A5-C4DA-4252-A8CE-25980535D172}">
  <ds:schemaRefs>
    <ds:schemaRef ds:uri="http://schemas.microsoft.com/sharepoint/v3/contenttype/forms"/>
  </ds:schemaRefs>
</ds:datastoreItem>
</file>

<file path=customXml/itemProps3.xml><?xml version="1.0" encoding="utf-8"?>
<ds:datastoreItem xmlns:ds="http://schemas.openxmlformats.org/officeDocument/2006/customXml" ds:itemID="{EACCF42E-68AB-4222-9CEB-DA96944E0F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4554</Words>
  <Characters>25047</Characters>
  <Application>Microsoft Office Word</Application>
  <DocSecurity>0</DocSecurity>
  <Lines>208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cp:revision>
  <dcterms:created xsi:type="dcterms:W3CDTF">2022-02-05T09:54:00Z</dcterms:created>
  <dcterms:modified xsi:type="dcterms:W3CDTF">2022-02-05T09:54:00Z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ies>
</file>