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E6F91" w14:textId="07FF603A" w:rsidR="007472B7" w:rsidRDefault="00B64368" w:rsidP="00B64368">
      <w:pPr>
        <w:pBdr>
          <w:bottom w:val="single" w:sz="4" w:space="1" w:color="0070C0"/>
        </w:pBdr>
        <w:jc w:val="center"/>
        <w:rPr>
          <w:b/>
          <w:bCs/>
          <w:sz w:val="24"/>
          <w:szCs w:val="24"/>
        </w:rPr>
      </w:pPr>
      <w:r w:rsidRPr="00B64368">
        <w:rPr>
          <w:b/>
          <w:bCs/>
          <w:sz w:val="24"/>
          <w:szCs w:val="24"/>
        </w:rPr>
        <w:t>Comité permanent des Officiers permanents de liaison 0</w:t>
      </w:r>
      <w:r w:rsidR="006A07B9">
        <w:rPr>
          <w:b/>
          <w:bCs/>
          <w:sz w:val="24"/>
          <w:szCs w:val="24"/>
        </w:rPr>
        <w:t>1</w:t>
      </w:r>
      <w:r w:rsidRPr="00B64368">
        <w:rPr>
          <w:b/>
          <w:bCs/>
          <w:sz w:val="24"/>
          <w:szCs w:val="24"/>
        </w:rPr>
        <w:t>/202</w:t>
      </w:r>
      <w:r w:rsidR="006A07B9">
        <w:rPr>
          <w:b/>
          <w:bCs/>
          <w:sz w:val="24"/>
          <w:szCs w:val="24"/>
        </w:rPr>
        <w:t>1</w:t>
      </w:r>
    </w:p>
    <w:p w14:paraId="6B1B3F26" w14:textId="78C89613" w:rsidR="00F9194E" w:rsidRPr="00B64368" w:rsidRDefault="00F9194E" w:rsidP="00B64368">
      <w:pPr>
        <w:pBdr>
          <w:bottom w:val="single" w:sz="4" w:space="1" w:color="0070C0"/>
        </w:pBd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préparatoire</w:t>
      </w:r>
      <w:proofErr w:type="gramEnd"/>
      <w:r>
        <w:rPr>
          <w:b/>
          <w:bCs/>
          <w:sz w:val="24"/>
          <w:szCs w:val="24"/>
        </w:rPr>
        <w:t xml:space="preserve"> au 35</w:t>
      </w:r>
      <w:r w:rsidRPr="00F9194E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Conseil des ministres de la COI</w:t>
      </w:r>
    </w:p>
    <w:p w14:paraId="633B05DC" w14:textId="39F43244" w:rsidR="00B64368" w:rsidRDefault="00B64368" w:rsidP="00B64368">
      <w:pPr>
        <w:pBdr>
          <w:bottom w:val="single" w:sz="4" w:space="1" w:color="0070C0"/>
        </w:pBdr>
        <w:jc w:val="center"/>
      </w:pPr>
      <w:proofErr w:type="gramStart"/>
      <w:r>
        <w:t>visioconférence</w:t>
      </w:r>
      <w:proofErr w:type="gramEnd"/>
    </w:p>
    <w:p w14:paraId="6A5CB03F" w14:textId="20EBE463" w:rsidR="00B64368" w:rsidRDefault="00B64368" w:rsidP="00B64368">
      <w:pPr>
        <w:pBdr>
          <w:bottom w:val="single" w:sz="4" w:space="1" w:color="0070C0"/>
        </w:pBdr>
        <w:jc w:val="right"/>
      </w:pPr>
      <w:proofErr w:type="gramStart"/>
      <w:r w:rsidRPr="00B64368">
        <w:rPr>
          <w:highlight w:val="yellow"/>
        </w:rPr>
        <w:t>version</w:t>
      </w:r>
      <w:proofErr w:type="gramEnd"/>
      <w:r w:rsidRPr="00B64368">
        <w:rPr>
          <w:highlight w:val="yellow"/>
        </w:rPr>
        <w:t xml:space="preserve"> </w:t>
      </w:r>
      <w:r w:rsidR="006A07B9">
        <w:rPr>
          <w:highlight w:val="yellow"/>
        </w:rPr>
        <w:t>1</w:t>
      </w:r>
      <w:r w:rsidR="00BD60E0" w:rsidRPr="00B64368">
        <w:rPr>
          <w:highlight w:val="yellow"/>
        </w:rPr>
        <w:t xml:space="preserve"> </w:t>
      </w:r>
    </w:p>
    <w:p w14:paraId="04B9C34D" w14:textId="77777777" w:rsidR="00B64368" w:rsidRDefault="00B64368"/>
    <w:p w14:paraId="658625E8" w14:textId="77777777" w:rsidR="007472B7" w:rsidRPr="00041DB5" w:rsidRDefault="00041DB5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d’ouverture</w:t>
      </w:r>
    </w:p>
    <w:p w14:paraId="66691ED0" w14:textId="77777777" w:rsidR="00041DB5" w:rsidRDefault="00041DB5" w:rsidP="00041DB5">
      <w:pPr>
        <w:ind w:firstLine="708"/>
      </w:pPr>
      <w:r>
        <w:t>Message d’accueil du Secrétaire général</w:t>
      </w:r>
    </w:p>
    <w:p w14:paraId="69CFF0DE" w14:textId="77777777" w:rsidR="00041DB5" w:rsidRDefault="00041DB5" w:rsidP="00041DB5">
      <w:pPr>
        <w:ind w:firstLine="708"/>
      </w:pPr>
      <w:r>
        <w:t>Message d’ouverture du président du Comité des OPL</w:t>
      </w:r>
    </w:p>
    <w:p w14:paraId="695876A6" w14:textId="77777777" w:rsidR="00041DB5" w:rsidRDefault="00041DB5" w:rsidP="00041DB5">
      <w:pPr>
        <w:ind w:firstLine="708"/>
      </w:pPr>
      <w:r>
        <w:t xml:space="preserve">Intervention des OPL : </w:t>
      </w:r>
    </w:p>
    <w:p w14:paraId="01CC9DC4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Union des Comores</w:t>
      </w:r>
    </w:p>
    <w:p w14:paraId="21CD2B6A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 xml:space="preserve">France </w:t>
      </w:r>
    </w:p>
    <w:p w14:paraId="570758BA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 xml:space="preserve">Madagascar </w:t>
      </w:r>
    </w:p>
    <w:p w14:paraId="4FE3B288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Maurice</w:t>
      </w:r>
    </w:p>
    <w:p w14:paraId="6D44F8E0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Seychelles</w:t>
      </w:r>
    </w:p>
    <w:p w14:paraId="0A0C91AE" w14:textId="77777777" w:rsidR="007472B7" w:rsidRDefault="007472B7"/>
    <w:p w14:paraId="1F3D6DB2" w14:textId="77777777" w:rsidR="007472B7" w:rsidRPr="00041DB5" w:rsidRDefault="007472B7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1 – Adoption du projet d’ordre du jour</w:t>
      </w:r>
    </w:p>
    <w:p w14:paraId="12A602F5" w14:textId="77777777" w:rsidR="00041DB5" w:rsidRDefault="00041DB5" w:rsidP="00041DB5">
      <w:pPr>
        <w:ind w:firstLine="708"/>
      </w:pPr>
      <w:r>
        <w:t xml:space="preserve">Lecture et adoption de l’ordre du jour </w:t>
      </w:r>
    </w:p>
    <w:p w14:paraId="19E994AC" w14:textId="77777777" w:rsidR="00EC0340" w:rsidRDefault="00EC0340" w:rsidP="00041DB5">
      <w:pPr>
        <w:ind w:firstLine="708"/>
      </w:pPr>
    </w:p>
    <w:p w14:paraId="06F8EDD2" w14:textId="77777777" w:rsidR="007472B7" w:rsidRPr="00041DB5" w:rsidRDefault="007472B7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2 – Programmes sectoriels</w:t>
      </w:r>
    </w:p>
    <w:p w14:paraId="16C843DE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1 – Pour une Indianocéanie stable et en paix</w:t>
      </w:r>
    </w:p>
    <w:p w14:paraId="1BE0666E" w14:textId="77777777" w:rsidR="007472B7" w:rsidRDefault="007472B7" w:rsidP="00041DB5">
      <w:pPr>
        <w:ind w:firstLine="708"/>
      </w:pPr>
      <w:r>
        <w:t>1.1. Paix, stabilité et gouvernance</w:t>
      </w:r>
    </w:p>
    <w:p w14:paraId="0AC64814" w14:textId="77777777" w:rsidR="007472B7" w:rsidRDefault="007472B7" w:rsidP="00041DB5">
      <w:pPr>
        <w:ind w:firstLine="708"/>
      </w:pPr>
      <w:r>
        <w:t xml:space="preserve">1.2. Dialogue sur les migrations dans l’océan Indien – </w:t>
      </w:r>
      <w:proofErr w:type="spellStart"/>
      <w:r>
        <w:t>DiMOI</w:t>
      </w:r>
      <w:proofErr w:type="spellEnd"/>
    </w:p>
    <w:p w14:paraId="73C7F0FE" w14:textId="77777777" w:rsidR="007472B7" w:rsidRDefault="007472B7" w:rsidP="00041DB5">
      <w:pPr>
        <w:ind w:firstLine="708"/>
      </w:pPr>
      <w:r w:rsidRPr="003031A5">
        <w:t>1.3. Sécurité maritime</w:t>
      </w:r>
    </w:p>
    <w:p w14:paraId="58753649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2 – Pour une Indianocéanie mieux intégrée économiquement</w:t>
      </w:r>
    </w:p>
    <w:p w14:paraId="23B06BA8" w14:textId="3C3BEC5B" w:rsidR="007472B7" w:rsidRDefault="007472B7" w:rsidP="00041DB5">
      <w:pPr>
        <w:ind w:firstLine="708"/>
      </w:pPr>
      <w:r>
        <w:t xml:space="preserve">2.1. </w:t>
      </w:r>
      <w:r w:rsidR="004F5662">
        <w:t>Entrepreneuriat</w:t>
      </w:r>
    </w:p>
    <w:p w14:paraId="421EDD67" w14:textId="77777777" w:rsidR="007472B7" w:rsidRDefault="007472B7" w:rsidP="00041DB5">
      <w:pPr>
        <w:ind w:firstLine="708"/>
      </w:pPr>
      <w:r>
        <w:t>2.2. Pêches</w:t>
      </w:r>
    </w:p>
    <w:p w14:paraId="35209C4C" w14:textId="116B133F" w:rsidR="007472B7" w:rsidRDefault="007472B7" w:rsidP="00041DB5">
      <w:pPr>
        <w:ind w:firstLine="708"/>
      </w:pPr>
      <w:r>
        <w:t>2.3. Sécurité alimentaire</w:t>
      </w:r>
    </w:p>
    <w:p w14:paraId="53CE1926" w14:textId="61E742F0" w:rsidR="0072188F" w:rsidRDefault="0072188F" w:rsidP="00041DB5">
      <w:pPr>
        <w:ind w:firstLine="708"/>
      </w:pPr>
      <w:r>
        <w:t>2.4. Economie bleue</w:t>
      </w:r>
    </w:p>
    <w:p w14:paraId="7FFFCFE5" w14:textId="234A21BD" w:rsidR="004F5662" w:rsidRPr="003031A5" w:rsidRDefault="004F5662" w:rsidP="00041DB5">
      <w:pPr>
        <w:ind w:firstLine="708"/>
      </w:pPr>
      <w:r w:rsidRPr="003031A5">
        <w:t>2.5. Connectivité régionale</w:t>
      </w:r>
    </w:p>
    <w:p w14:paraId="6DFD0D79" w14:textId="295E515D" w:rsidR="00674D58" w:rsidRDefault="00674D58" w:rsidP="00041DB5">
      <w:pPr>
        <w:ind w:firstLine="708"/>
      </w:pPr>
      <w:r w:rsidRPr="003031A5">
        <w:t>2.6. Plan de relance</w:t>
      </w:r>
      <w:r>
        <w:t xml:space="preserve"> </w:t>
      </w:r>
    </w:p>
    <w:p w14:paraId="226431D5" w14:textId="77777777" w:rsidR="007C4CD2" w:rsidRDefault="007C4CD2" w:rsidP="00041DB5">
      <w:pPr>
        <w:ind w:firstLine="708"/>
      </w:pPr>
    </w:p>
    <w:p w14:paraId="3F18EE52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lastRenderedPageBreak/>
        <w:t>Axe stratégique 3 – Pour une Indianocéanie à l’environnement préservé</w:t>
      </w:r>
    </w:p>
    <w:p w14:paraId="3A7B8A0B" w14:textId="5EB0ADEF" w:rsidR="007472B7" w:rsidRDefault="007472B7" w:rsidP="00041DB5">
      <w:pPr>
        <w:ind w:firstLine="708"/>
      </w:pPr>
      <w:r>
        <w:t xml:space="preserve">3.1. </w:t>
      </w:r>
      <w:r w:rsidR="006F32AA">
        <w:t>Réduction des risques de catastrophes</w:t>
      </w:r>
    </w:p>
    <w:p w14:paraId="306BA210" w14:textId="1398CD61" w:rsidR="007472B7" w:rsidRDefault="007472B7" w:rsidP="00041DB5">
      <w:pPr>
        <w:ind w:firstLine="708"/>
      </w:pPr>
      <w:r>
        <w:t xml:space="preserve">3.2. Changement climatique </w:t>
      </w:r>
    </w:p>
    <w:p w14:paraId="6903DEBA" w14:textId="13F61316" w:rsidR="00134CC7" w:rsidRDefault="00134CC7" w:rsidP="00041DB5">
      <w:pPr>
        <w:ind w:firstLine="708"/>
      </w:pPr>
      <w:r w:rsidRPr="00C077A1">
        <w:t xml:space="preserve">3.3. </w:t>
      </w:r>
      <w:r w:rsidR="00BC7B1E" w:rsidRPr="00C077A1">
        <w:t>B</w:t>
      </w:r>
      <w:r w:rsidR="006F32AA" w:rsidRPr="00C077A1">
        <w:t>iodiversité (information)</w:t>
      </w:r>
    </w:p>
    <w:p w14:paraId="6246F0A8" w14:textId="055AD6AF" w:rsidR="003F1194" w:rsidRDefault="003F1194" w:rsidP="00041DB5">
      <w:pPr>
        <w:ind w:firstLine="708"/>
      </w:pPr>
      <w:r>
        <w:t>3.4. Gestion et réduction des déchets</w:t>
      </w:r>
    </w:p>
    <w:p w14:paraId="2C350007" w14:textId="77777777" w:rsidR="00B64368" w:rsidRDefault="00B64368" w:rsidP="00041DB5">
      <w:pPr>
        <w:ind w:firstLine="708"/>
      </w:pPr>
    </w:p>
    <w:p w14:paraId="084ED993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 xml:space="preserve">Axe stratégique 4 – Pour le </w:t>
      </w:r>
      <w:bookmarkStart w:id="0" w:name="_GoBack"/>
      <w:bookmarkEnd w:id="0"/>
      <w:r w:rsidRPr="00041DB5">
        <w:rPr>
          <w:b/>
          <w:bCs/>
          <w:color w:val="ED7D31" w:themeColor="accent2"/>
        </w:rPr>
        <w:t>développement humain de l’Indianocéanie</w:t>
      </w:r>
    </w:p>
    <w:p w14:paraId="53FD8563" w14:textId="5ADA516C" w:rsidR="007472B7" w:rsidRDefault="007472B7" w:rsidP="00041DB5">
      <w:pPr>
        <w:ind w:firstLine="708"/>
      </w:pPr>
      <w:r w:rsidRPr="0088276A">
        <w:t xml:space="preserve">4.1. </w:t>
      </w:r>
      <w:r w:rsidR="00696877" w:rsidRPr="0088276A">
        <w:t>Plan</w:t>
      </w:r>
      <w:r w:rsidR="00696877">
        <w:t xml:space="preserve"> de riposte à la Covid-19 et soutien au réseau SEGA-One Health</w:t>
      </w:r>
    </w:p>
    <w:p w14:paraId="3FF30E84" w14:textId="77777777" w:rsidR="007472B7" w:rsidRDefault="007472B7" w:rsidP="00041DB5">
      <w:pPr>
        <w:ind w:firstLine="708"/>
      </w:pPr>
      <w:r>
        <w:t>4.2. Culture</w:t>
      </w:r>
    </w:p>
    <w:p w14:paraId="6A80B8D7" w14:textId="77777777" w:rsidR="007472B7" w:rsidRDefault="007472B7" w:rsidP="00041DB5">
      <w:pPr>
        <w:ind w:firstLine="708"/>
      </w:pPr>
      <w:r w:rsidRPr="007C4CD2">
        <w:t>4.3. Coopération universitaire et recherche</w:t>
      </w:r>
    </w:p>
    <w:p w14:paraId="6A10D8A0" w14:textId="77777777" w:rsidR="007472B7" w:rsidRDefault="007472B7"/>
    <w:p w14:paraId="23536D3C" w14:textId="77777777" w:rsidR="007472B7" w:rsidRPr="00B64368" w:rsidRDefault="007472B7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4 – Administration et finances</w:t>
      </w:r>
    </w:p>
    <w:p w14:paraId="2E4B1BD6" w14:textId="690A8CAA" w:rsidR="002E5F3B" w:rsidRDefault="00D82B05" w:rsidP="00B64368">
      <w:pPr>
        <w:ind w:firstLine="708"/>
      </w:pPr>
      <w:r w:rsidRPr="007C4CD2">
        <w:t>5</w:t>
      </w:r>
      <w:r w:rsidR="00231765" w:rsidRPr="003031A5">
        <w:t>.</w:t>
      </w:r>
      <w:r w:rsidR="00CA78CC" w:rsidRPr="003031A5">
        <w:t>1</w:t>
      </w:r>
      <w:r w:rsidR="00231765" w:rsidRPr="003031A5">
        <w:t xml:space="preserve">. </w:t>
      </w:r>
      <w:r w:rsidR="00BD60E0" w:rsidRPr="003031A5">
        <w:t>Inéligibilités</w:t>
      </w:r>
    </w:p>
    <w:p w14:paraId="5F174E3F" w14:textId="77777777" w:rsidR="00283559" w:rsidRDefault="00283559" w:rsidP="00283559">
      <w:pPr>
        <w:ind w:firstLine="708"/>
      </w:pPr>
    </w:p>
    <w:p w14:paraId="1C21BEB3" w14:textId="6F74D420" w:rsidR="00283559" w:rsidRPr="00B64368" w:rsidRDefault="00283559" w:rsidP="00283559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 xml:space="preserve">Session 5 – </w:t>
      </w:r>
      <w:r>
        <w:rPr>
          <w:b/>
          <w:bCs/>
          <w:color w:val="595959" w:themeColor="text1" w:themeTint="A6"/>
        </w:rPr>
        <w:t>Projet d’ordre du jour du 35</w:t>
      </w:r>
      <w:r w:rsidRPr="00283559">
        <w:rPr>
          <w:b/>
          <w:bCs/>
          <w:color w:val="595959" w:themeColor="text1" w:themeTint="A6"/>
          <w:vertAlign w:val="superscript"/>
        </w:rPr>
        <w:t>ème</w:t>
      </w:r>
      <w:r>
        <w:rPr>
          <w:b/>
          <w:bCs/>
          <w:color w:val="595959" w:themeColor="text1" w:themeTint="A6"/>
        </w:rPr>
        <w:t xml:space="preserve"> Conseil des ministres de la COI</w:t>
      </w:r>
    </w:p>
    <w:p w14:paraId="559D9D83" w14:textId="55BEC23F" w:rsidR="00283559" w:rsidRDefault="00283559" w:rsidP="00283559">
      <w:r>
        <w:tab/>
        <w:t>Elaboration et adoption du projet d’ordre du jour du 35</w:t>
      </w:r>
      <w:r w:rsidRPr="00283559">
        <w:rPr>
          <w:vertAlign w:val="superscript"/>
        </w:rPr>
        <w:t>ème</w:t>
      </w:r>
      <w:r>
        <w:t xml:space="preserve"> Conseil des ministres </w:t>
      </w:r>
    </w:p>
    <w:p w14:paraId="3582CD1A" w14:textId="77777777" w:rsidR="00D00492" w:rsidRDefault="00D00492" w:rsidP="00B64368">
      <w:pPr>
        <w:ind w:firstLine="708"/>
      </w:pPr>
    </w:p>
    <w:p w14:paraId="3EF47D6F" w14:textId="46F45BD5" w:rsidR="00041DB5" w:rsidRPr="00B64368" w:rsidRDefault="00041DB5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 xml:space="preserve">Session </w:t>
      </w:r>
      <w:r w:rsidR="00595E16">
        <w:rPr>
          <w:b/>
          <w:bCs/>
          <w:color w:val="595959" w:themeColor="text1" w:themeTint="A6"/>
        </w:rPr>
        <w:t>6</w:t>
      </w:r>
      <w:r w:rsidRPr="00B64368">
        <w:rPr>
          <w:b/>
          <w:bCs/>
          <w:color w:val="595959" w:themeColor="text1" w:themeTint="A6"/>
        </w:rPr>
        <w:t xml:space="preserve"> – Divers</w:t>
      </w:r>
    </w:p>
    <w:p w14:paraId="447CE59D" w14:textId="77777777" w:rsidR="00041DB5" w:rsidRDefault="00041DB5"/>
    <w:p w14:paraId="06818D28" w14:textId="77777777" w:rsidR="007472B7" w:rsidRDefault="007472B7"/>
    <w:sectPr w:rsidR="007472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37CF" w14:textId="77777777" w:rsidR="0022163E" w:rsidRDefault="0022163E" w:rsidP="00B64368">
      <w:pPr>
        <w:spacing w:after="0" w:line="240" w:lineRule="auto"/>
      </w:pPr>
      <w:r>
        <w:separator/>
      </w:r>
    </w:p>
  </w:endnote>
  <w:endnote w:type="continuationSeparator" w:id="0">
    <w:p w14:paraId="09FCF557" w14:textId="77777777" w:rsidR="0022163E" w:rsidRDefault="0022163E" w:rsidP="00B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102141"/>
      <w:docPartObj>
        <w:docPartGallery w:val="Page Numbers (Bottom of Page)"/>
        <w:docPartUnique/>
      </w:docPartObj>
    </w:sdtPr>
    <w:sdtEndPr/>
    <w:sdtContent>
      <w:p w14:paraId="636F0054" w14:textId="77777777" w:rsidR="00B64368" w:rsidRDefault="00B64368" w:rsidP="00B6436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6DBA" w14:textId="77777777" w:rsidR="0022163E" w:rsidRDefault="0022163E" w:rsidP="00B64368">
      <w:pPr>
        <w:spacing w:after="0" w:line="240" w:lineRule="auto"/>
      </w:pPr>
      <w:r>
        <w:separator/>
      </w:r>
    </w:p>
  </w:footnote>
  <w:footnote w:type="continuationSeparator" w:id="0">
    <w:p w14:paraId="68C8E5F8" w14:textId="77777777" w:rsidR="0022163E" w:rsidRDefault="0022163E" w:rsidP="00B6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3043" w14:textId="77777777" w:rsidR="00B64368" w:rsidRDefault="00B64368" w:rsidP="00B64368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14F8A5E6" wp14:editId="220119A3">
          <wp:extent cx="1582326" cy="720000"/>
          <wp:effectExtent l="0" t="0" r="0" b="4445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I Logo - Jpeg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3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7C20"/>
    <w:multiLevelType w:val="hybridMultilevel"/>
    <w:tmpl w:val="24CAD628"/>
    <w:lvl w:ilvl="0" w:tplc="928CAC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7"/>
    <w:rsid w:val="00041DB5"/>
    <w:rsid w:val="00134CC7"/>
    <w:rsid w:val="001B0CE3"/>
    <w:rsid w:val="001B464F"/>
    <w:rsid w:val="001C132A"/>
    <w:rsid w:val="0022163E"/>
    <w:rsid w:val="00223766"/>
    <w:rsid w:val="00231765"/>
    <w:rsid w:val="00283559"/>
    <w:rsid w:val="002A75C3"/>
    <w:rsid w:val="002B19BD"/>
    <w:rsid w:val="002E5F3B"/>
    <w:rsid w:val="003031A5"/>
    <w:rsid w:val="003558EA"/>
    <w:rsid w:val="003C1AFE"/>
    <w:rsid w:val="003F1194"/>
    <w:rsid w:val="00420B4C"/>
    <w:rsid w:val="00463513"/>
    <w:rsid w:val="004F5662"/>
    <w:rsid w:val="004F6FBA"/>
    <w:rsid w:val="005317F2"/>
    <w:rsid w:val="00595E16"/>
    <w:rsid w:val="00674D58"/>
    <w:rsid w:val="00696877"/>
    <w:rsid w:val="006A07B9"/>
    <w:rsid w:val="006F32AA"/>
    <w:rsid w:val="0072188F"/>
    <w:rsid w:val="007472B7"/>
    <w:rsid w:val="00754DAA"/>
    <w:rsid w:val="007702F5"/>
    <w:rsid w:val="007759BD"/>
    <w:rsid w:val="007C4CD2"/>
    <w:rsid w:val="007C5629"/>
    <w:rsid w:val="007E3BEF"/>
    <w:rsid w:val="007E42A4"/>
    <w:rsid w:val="007E4653"/>
    <w:rsid w:val="00870E6B"/>
    <w:rsid w:val="0088276A"/>
    <w:rsid w:val="00897757"/>
    <w:rsid w:val="009836E7"/>
    <w:rsid w:val="00991629"/>
    <w:rsid w:val="00A0777B"/>
    <w:rsid w:val="00A91958"/>
    <w:rsid w:val="00B53F5D"/>
    <w:rsid w:val="00B64368"/>
    <w:rsid w:val="00BC7B1E"/>
    <w:rsid w:val="00BD60E0"/>
    <w:rsid w:val="00BE3A5E"/>
    <w:rsid w:val="00C060EB"/>
    <w:rsid w:val="00C0678D"/>
    <w:rsid w:val="00C077A1"/>
    <w:rsid w:val="00C1165D"/>
    <w:rsid w:val="00C50E12"/>
    <w:rsid w:val="00C60A18"/>
    <w:rsid w:val="00CA78CC"/>
    <w:rsid w:val="00CF2230"/>
    <w:rsid w:val="00D00492"/>
    <w:rsid w:val="00D05BFC"/>
    <w:rsid w:val="00D13AF1"/>
    <w:rsid w:val="00D82B05"/>
    <w:rsid w:val="00E35056"/>
    <w:rsid w:val="00EC0340"/>
    <w:rsid w:val="00F66B90"/>
    <w:rsid w:val="00F860DE"/>
    <w:rsid w:val="00F9194E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0144"/>
  <w15:chartTrackingRefBased/>
  <w15:docId w15:val="{23568DAE-28FE-4A8B-B466-BEC032CD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D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368"/>
  </w:style>
  <w:style w:type="paragraph" w:styleId="Pieddepage">
    <w:name w:val="footer"/>
    <w:basedOn w:val="Normal"/>
    <w:link w:val="PieddepageCar"/>
    <w:uiPriority w:val="99"/>
    <w:unhideWhenUsed/>
    <w:rsid w:val="00B6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368"/>
  </w:style>
  <w:style w:type="paragraph" w:styleId="Textedebulles">
    <w:name w:val="Balloon Text"/>
    <w:basedOn w:val="Normal"/>
    <w:link w:val="TextedebullesCar"/>
    <w:uiPriority w:val="99"/>
    <w:semiHidden/>
    <w:unhideWhenUsed/>
    <w:rsid w:val="0089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9C91FE2406B4480F2F601AAD05C64" ma:contentTypeVersion="13" ma:contentTypeDescription="Create a new document." ma:contentTypeScope="" ma:versionID="2003f2a65f420d5d257032ea7dd85d57">
  <xsd:schema xmlns:xsd="http://www.w3.org/2001/XMLSchema" xmlns:xs="http://www.w3.org/2001/XMLSchema" xmlns:p="http://schemas.microsoft.com/office/2006/metadata/properties" xmlns:ns3="e70ae5fa-c2d2-4a8b-af53-8d7cb237ad15" xmlns:ns4="c8044956-6361-4560-8a6e-d4b0bc079137" targetNamespace="http://schemas.microsoft.com/office/2006/metadata/properties" ma:root="true" ma:fieldsID="59c52e84b87c8af64b5b4b1a9eb6b0d9" ns3:_="" ns4:_="">
    <xsd:import namespace="e70ae5fa-c2d2-4a8b-af53-8d7cb237ad15"/>
    <xsd:import namespace="c8044956-6361-4560-8a6e-d4b0bc079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e5fa-c2d2-4a8b-af53-8d7cb237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4956-6361-4560-8a6e-d4b0bc079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952FD-2E8A-474B-8B14-C5088F549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ae5fa-c2d2-4a8b-af53-8d7cb237ad15"/>
    <ds:schemaRef ds:uri="c8044956-6361-4560-8a6e-d4b0bc079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9E337-D8D7-4B11-9278-C7EB633E8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56B81-0AD6-4764-8762-89D9BAEFC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R.</dc:creator>
  <cp:keywords/>
  <dc:description/>
  <cp:lastModifiedBy>Gilles R.</cp:lastModifiedBy>
  <cp:revision>44</cp:revision>
  <cp:lastPrinted>2020-11-11T07:58:00Z</cp:lastPrinted>
  <dcterms:created xsi:type="dcterms:W3CDTF">2021-02-22T05:50:00Z</dcterms:created>
  <dcterms:modified xsi:type="dcterms:W3CDTF">2021-04-23T08:50:00Z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0x010100D9C9C91FE2406B4480F2F601AAD05C64</vt:lpwstr>
  </property>
</Properties>
</file>