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E6F91" w14:textId="77777777" w:rsidR="007472B7" w:rsidRPr="00B64368" w:rsidRDefault="00B64368" w:rsidP="00B64368">
      <w:pPr>
        <w:pBdr>
          <w:bottom w:val="single" w:sz="4" w:space="1" w:color="0070C0"/>
        </w:pBdr>
        <w:jc w:val="center"/>
        <w:rPr>
          <w:b/>
          <w:bCs/>
          <w:sz w:val="24"/>
          <w:szCs w:val="24"/>
        </w:rPr>
      </w:pPr>
      <w:r w:rsidRPr="00B64368">
        <w:rPr>
          <w:b/>
          <w:bCs/>
          <w:sz w:val="24"/>
          <w:szCs w:val="24"/>
        </w:rPr>
        <w:t>Comité permanent des Officiers permanents de liaison 03/2020</w:t>
      </w:r>
    </w:p>
    <w:p w14:paraId="633B05DC" w14:textId="190D956A" w:rsidR="00B64368" w:rsidRDefault="00A91958" w:rsidP="00B64368">
      <w:pPr>
        <w:pBdr>
          <w:bottom w:val="single" w:sz="4" w:space="1" w:color="0070C0"/>
        </w:pBdr>
        <w:jc w:val="center"/>
      </w:pPr>
      <w:r>
        <w:t>10 décembre 2020</w:t>
      </w:r>
      <w:r w:rsidR="00B64368">
        <w:t xml:space="preserve"> – visioconférence</w:t>
      </w:r>
    </w:p>
    <w:p w14:paraId="6A5CB03F" w14:textId="78F39577" w:rsidR="00B64368" w:rsidRDefault="00B64368" w:rsidP="00B64368">
      <w:pPr>
        <w:pBdr>
          <w:bottom w:val="single" w:sz="4" w:space="1" w:color="0070C0"/>
        </w:pBdr>
        <w:jc w:val="right"/>
      </w:pPr>
      <w:r w:rsidRPr="00B64368">
        <w:rPr>
          <w:highlight w:val="yellow"/>
        </w:rPr>
        <w:t xml:space="preserve">version </w:t>
      </w:r>
      <w:r w:rsidR="00BD60E0">
        <w:rPr>
          <w:highlight w:val="yellow"/>
        </w:rPr>
        <w:t>3</w:t>
      </w:r>
      <w:r w:rsidR="00BD60E0" w:rsidRPr="00B64368">
        <w:rPr>
          <w:highlight w:val="yellow"/>
        </w:rPr>
        <w:t xml:space="preserve"> </w:t>
      </w:r>
      <w:r w:rsidRPr="00B64368">
        <w:rPr>
          <w:highlight w:val="yellow"/>
        </w:rPr>
        <w:t xml:space="preserve">du </w:t>
      </w:r>
      <w:r w:rsidR="00BD60E0">
        <w:rPr>
          <w:highlight w:val="yellow"/>
        </w:rPr>
        <w:t>1</w:t>
      </w:r>
      <w:r w:rsidR="00BD60E0" w:rsidRPr="00BD60E0">
        <w:rPr>
          <w:highlight w:val="yellow"/>
          <w:vertAlign w:val="superscript"/>
        </w:rPr>
        <w:t>er</w:t>
      </w:r>
      <w:r w:rsidR="00BD60E0">
        <w:rPr>
          <w:highlight w:val="yellow"/>
        </w:rPr>
        <w:t xml:space="preserve"> </w:t>
      </w:r>
      <w:bookmarkStart w:id="0" w:name="_GoBack"/>
      <w:bookmarkEnd w:id="0"/>
      <w:r w:rsidR="00BD60E0">
        <w:rPr>
          <w:highlight w:val="yellow"/>
        </w:rPr>
        <w:t>décembre</w:t>
      </w:r>
      <w:r w:rsidRPr="00B64368">
        <w:rPr>
          <w:highlight w:val="yellow"/>
        </w:rPr>
        <w:t xml:space="preserve"> 2020</w:t>
      </w:r>
    </w:p>
    <w:p w14:paraId="04B9C34D" w14:textId="77777777" w:rsidR="00B64368" w:rsidRDefault="00B64368"/>
    <w:p w14:paraId="658625E8" w14:textId="77777777" w:rsidR="007472B7" w:rsidRPr="00041DB5" w:rsidRDefault="00041DB5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d’ouverture</w:t>
      </w:r>
    </w:p>
    <w:p w14:paraId="66691ED0" w14:textId="77777777" w:rsidR="00041DB5" w:rsidRDefault="00041DB5" w:rsidP="00041DB5">
      <w:pPr>
        <w:ind w:firstLine="708"/>
      </w:pPr>
      <w:r>
        <w:t>Message d’accueil du Secrétaire général</w:t>
      </w:r>
    </w:p>
    <w:p w14:paraId="69CFF0DE" w14:textId="77777777" w:rsidR="00041DB5" w:rsidRDefault="00041DB5" w:rsidP="00041DB5">
      <w:pPr>
        <w:ind w:firstLine="708"/>
      </w:pPr>
      <w:r>
        <w:t>Message d’ouverture du président du Comité des OPL</w:t>
      </w:r>
    </w:p>
    <w:p w14:paraId="695876A6" w14:textId="77777777" w:rsidR="00041DB5" w:rsidRDefault="00041DB5" w:rsidP="00041DB5">
      <w:pPr>
        <w:ind w:firstLine="708"/>
      </w:pPr>
      <w:r>
        <w:t xml:space="preserve">Intervention des OPL : </w:t>
      </w:r>
    </w:p>
    <w:p w14:paraId="01CC9DC4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Union des Comores</w:t>
      </w:r>
    </w:p>
    <w:p w14:paraId="21CD2B6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France </w:t>
      </w:r>
    </w:p>
    <w:p w14:paraId="570758B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Madagascar </w:t>
      </w:r>
    </w:p>
    <w:p w14:paraId="4FE3B288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Maurice</w:t>
      </w:r>
    </w:p>
    <w:p w14:paraId="6D44F8E0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Seychelles</w:t>
      </w:r>
    </w:p>
    <w:p w14:paraId="0A0C91AE" w14:textId="77777777" w:rsidR="007472B7" w:rsidRDefault="007472B7"/>
    <w:p w14:paraId="1F3D6DB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1 – Adoption du projet d’ordre du jour</w:t>
      </w:r>
    </w:p>
    <w:p w14:paraId="12A602F5" w14:textId="77777777" w:rsidR="00041DB5" w:rsidRDefault="00041DB5" w:rsidP="00041DB5">
      <w:pPr>
        <w:ind w:firstLine="708"/>
      </w:pPr>
      <w:r>
        <w:t xml:space="preserve">Lecture et adoption de l’ordre du jour </w:t>
      </w:r>
    </w:p>
    <w:p w14:paraId="05CC3AD0" w14:textId="77777777" w:rsidR="00B64368" w:rsidRDefault="00B64368" w:rsidP="00041DB5">
      <w:pPr>
        <w:ind w:firstLine="708"/>
      </w:pPr>
    </w:p>
    <w:p w14:paraId="06F8EDD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2 – Programmes sectoriels</w:t>
      </w:r>
    </w:p>
    <w:p w14:paraId="16C843DE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1 – Pour une Indianocéanie stable et en paix</w:t>
      </w:r>
    </w:p>
    <w:p w14:paraId="1BE0666E" w14:textId="77777777" w:rsidR="007472B7" w:rsidRDefault="007472B7" w:rsidP="00041DB5">
      <w:pPr>
        <w:ind w:firstLine="708"/>
      </w:pPr>
      <w:r>
        <w:t>1.1. Paix, stabilité et gouvernance</w:t>
      </w:r>
    </w:p>
    <w:p w14:paraId="0AC64814" w14:textId="77777777" w:rsidR="007472B7" w:rsidRDefault="007472B7" w:rsidP="00041DB5">
      <w:pPr>
        <w:ind w:firstLine="708"/>
      </w:pPr>
      <w:r>
        <w:t>1.2. Dialogue sur les migrations dans l’océan Indien – DiMOI</w:t>
      </w:r>
    </w:p>
    <w:p w14:paraId="73C7F0FE" w14:textId="77777777" w:rsidR="007472B7" w:rsidRDefault="007472B7" w:rsidP="00041DB5">
      <w:pPr>
        <w:ind w:firstLine="708"/>
      </w:pPr>
      <w:r>
        <w:t>1.3. Sécurité maritime</w:t>
      </w:r>
    </w:p>
    <w:p w14:paraId="58753649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2 – Pour une Indianocéanie mieux intégrée économiquement</w:t>
      </w:r>
    </w:p>
    <w:p w14:paraId="23B06BA8" w14:textId="77777777" w:rsidR="007472B7" w:rsidRDefault="007472B7" w:rsidP="00041DB5">
      <w:pPr>
        <w:ind w:firstLine="708"/>
      </w:pPr>
      <w:r>
        <w:t>2.1. Connectivité régionale</w:t>
      </w:r>
    </w:p>
    <w:p w14:paraId="421EDD67" w14:textId="77777777" w:rsidR="007472B7" w:rsidRDefault="007472B7" w:rsidP="00041DB5">
      <w:pPr>
        <w:ind w:firstLine="708"/>
      </w:pPr>
      <w:r>
        <w:t>2.2. Pêches</w:t>
      </w:r>
    </w:p>
    <w:p w14:paraId="35209C4C" w14:textId="116B133F" w:rsidR="007472B7" w:rsidRDefault="007472B7" w:rsidP="00041DB5">
      <w:pPr>
        <w:ind w:firstLine="708"/>
      </w:pPr>
      <w:r>
        <w:t>2.3. Sécurité alimentaire</w:t>
      </w:r>
    </w:p>
    <w:p w14:paraId="53CE1926" w14:textId="65B3B3CF" w:rsidR="0072188F" w:rsidRDefault="0072188F" w:rsidP="00041DB5">
      <w:pPr>
        <w:ind w:firstLine="708"/>
      </w:pPr>
      <w:r>
        <w:t>2.4. Economie bleue</w:t>
      </w:r>
    </w:p>
    <w:p w14:paraId="3F18EE52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3 – Pour une Indianocéanie à l’environnement préservé</w:t>
      </w:r>
    </w:p>
    <w:p w14:paraId="3A7B8A0B" w14:textId="77777777" w:rsidR="007472B7" w:rsidRDefault="007472B7" w:rsidP="00041DB5">
      <w:pPr>
        <w:ind w:firstLine="708"/>
      </w:pPr>
      <w:r>
        <w:t>3.1. Biodiversité et gestion des ressources marines et côtières</w:t>
      </w:r>
    </w:p>
    <w:p w14:paraId="306BA210" w14:textId="5462AFEC" w:rsidR="007472B7" w:rsidRDefault="007472B7" w:rsidP="00041DB5">
      <w:pPr>
        <w:ind w:firstLine="708"/>
      </w:pPr>
      <w:r>
        <w:t>3.2. Changement climatique et réduction des risques naturels</w:t>
      </w:r>
    </w:p>
    <w:p w14:paraId="6903DEBA" w14:textId="66628DED" w:rsidR="00134CC7" w:rsidRDefault="00134CC7" w:rsidP="00041DB5">
      <w:pPr>
        <w:ind w:firstLine="708"/>
      </w:pPr>
      <w:r>
        <w:t>3.3. Gestion et réduction des déchets</w:t>
      </w:r>
    </w:p>
    <w:p w14:paraId="2C350007" w14:textId="77777777" w:rsidR="00B64368" w:rsidRDefault="00B64368" w:rsidP="00041DB5">
      <w:pPr>
        <w:ind w:firstLine="708"/>
      </w:pPr>
    </w:p>
    <w:p w14:paraId="084ED993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4 – Pour le développement humain de l’Indianocéanie</w:t>
      </w:r>
    </w:p>
    <w:p w14:paraId="53FD8563" w14:textId="77777777" w:rsidR="007472B7" w:rsidRDefault="007472B7" w:rsidP="00041DB5">
      <w:pPr>
        <w:ind w:firstLine="708"/>
      </w:pPr>
      <w:r>
        <w:t>4.1. Veille sanitaire</w:t>
      </w:r>
    </w:p>
    <w:p w14:paraId="3FF30E84" w14:textId="77777777" w:rsidR="007472B7" w:rsidRDefault="007472B7" w:rsidP="00041DB5">
      <w:pPr>
        <w:ind w:firstLine="708"/>
      </w:pPr>
      <w:r>
        <w:t>4.2. Culture</w:t>
      </w:r>
    </w:p>
    <w:p w14:paraId="6A80B8D7" w14:textId="77777777" w:rsidR="007472B7" w:rsidRDefault="007472B7" w:rsidP="00041DB5">
      <w:pPr>
        <w:ind w:firstLine="708"/>
      </w:pPr>
      <w:r>
        <w:t>4.3. Coopération universitaire et recherche</w:t>
      </w:r>
    </w:p>
    <w:p w14:paraId="673FF69B" w14:textId="77777777" w:rsidR="00B64368" w:rsidRDefault="00B64368" w:rsidP="00041DB5">
      <w:pPr>
        <w:ind w:firstLine="708"/>
      </w:pPr>
    </w:p>
    <w:p w14:paraId="1BE484BB" w14:textId="77777777" w:rsidR="007472B7" w:rsidRPr="00B64368" w:rsidRDefault="007472B7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3 – Partenariats</w:t>
      </w:r>
    </w:p>
    <w:p w14:paraId="28C4CD68" w14:textId="77777777" w:rsidR="007472B7" w:rsidRDefault="007472B7" w:rsidP="00B64368">
      <w:pPr>
        <w:ind w:firstLine="708"/>
      </w:pPr>
      <w:r>
        <w:t>5.1. Projet de MoU avec l’AVCOI</w:t>
      </w:r>
    </w:p>
    <w:p w14:paraId="2108CF99" w14:textId="77777777" w:rsidR="007472B7" w:rsidRDefault="007472B7" w:rsidP="00B64368">
      <w:pPr>
        <w:ind w:firstLine="708"/>
      </w:pPr>
      <w:r>
        <w:t>5.2. Coopération COI-IORA</w:t>
      </w:r>
    </w:p>
    <w:p w14:paraId="6A10D8A0" w14:textId="77777777" w:rsidR="007472B7" w:rsidRDefault="007472B7"/>
    <w:p w14:paraId="23536D3C" w14:textId="77777777" w:rsidR="007472B7" w:rsidRPr="00B64368" w:rsidRDefault="007472B7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4 – Administration et finances</w:t>
      </w:r>
    </w:p>
    <w:p w14:paraId="52925AFB" w14:textId="2B0DC17A" w:rsidR="00041DB5" w:rsidRDefault="007472B7" w:rsidP="00B64368">
      <w:pPr>
        <w:ind w:firstLine="708"/>
      </w:pPr>
      <w:r>
        <w:t xml:space="preserve">6.1. </w:t>
      </w:r>
      <w:r w:rsidR="00B53F5D">
        <w:t xml:space="preserve">Audit </w:t>
      </w:r>
      <w:r w:rsidR="007759BD">
        <w:t xml:space="preserve">(information) </w:t>
      </w:r>
    </w:p>
    <w:p w14:paraId="53B93443" w14:textId="77777777" w:rsidR="00041DB5" w:rsidRDefault="00041DB5" w:rsidP="00B64368">
      <w:pPr>
        <w:ind w:firstLine="708"/>
      </w:pPr>
      <w:r>
        <w:t>6.2. Exécution du budget 2020</w:t>
      </w:r>
    </w:p>
    <w:p w14:paraId="0316C975" w14:textId="77777777" w:rsidR="007472B7" w:rsidRDefault="00041DB5" w:rsidP="00B64368">
      <w:pPr>
        <w:ind w:firstLine="708"/>
      </w:pPr>
      <w:r>
        <w:t xml:space="preserve">6.3. </w:t>
      </w:r>
      <w:r w:rsidR="00B53F5D">
        <w:t xml:space="preserve">Projet de budget 2021 </w:t>
      </w:r>
    </w:p>
    <w:p w14:paraId="1C3B3C30" w14:textId="77777777" w:rsidR="00B64368" w:rsidRDefault="00B64368" w:rsidP="00B64368">
      <w:pPr>
        <w:ind w:firstLine="708"/>
      </w:pPr>
      <w:r>
        <w:t xml:space="preserve">6.4. </w:t>
      </w:r>
      <w:r w:rsidR="00B53F5D">
        <w:t>Situation financière des projets</w:t>
      </w:r>
    </w:p>
    <w:p w14:paraId="2E4B1BD6" w14:textId="2E4FC6CA" w:rsidR="002E5F3B" w:rsidRDefault="007472B7" w:rsidP="00B64368">
      <w:pPr>
        <w:ind w:firstLine="708"/>
      </w:pPr>
      <w:r>
        <w:t>6.</w:t>
      </w:r>
      <w:r w:rsidR="002E5F3B">
        <w:t>5</w:t>
      </w:r>
      <w:r>
        <w:t xml:space="preserve">. </w:t>
      </w:r>
      <w:r w:rsidR="00BD60E0">
        <w:t>Inéligibilités</w:t>
      </w:r>
    </w:p>
    <w:p w14:paraId="315903D3" w14:textId="77777777" w:rsidR="00041DB5" w:rsidRDefault="00041DB5"/>
    <w:p w14:paraId="3EF47D6F" w14:textId="77777777" w:rsidR="00041DB5" w:rsidRPr="00B64368" w:rsidRDefault="00041DB5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5 – Divers</w:t>
      </w:r>
    </w:p>
    <w:p w14:paraId="447CE59D" w14:textId="77777777" w:rsidR="00041DB5" w:rsidRDefault="00041DB5"/>
    <w:p w14:paraId="06818D28" w14:textId="77777777" w:rsidR="007472B7" w:rsidRDefault="007472B7"/>
    <w:sectPr w:rsidR="007472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0B07" w14:textId="77777777" w:rsidR="003C1AFE" w:rsidRDefault="003C1AFE" w:rsidP="00B64368">
      <w:pPr>
        <w:spacing w:after="0" w:line="240" w:lineRule="auto"/>
      </w:pPr>
      <w:r>
        <w:separator/>
      </w:r>
    </w:p>
  </w:endnote>
  <w:endnote w:type="continuationSeparator" w:id="0">
    <w:p w14:paraId="7055E726" w14:textId="77777777" w:rsidR="003C1AFE" w:rsidRDefault="003C1AFE" w:rsidP="00B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102141"/>
      <w:docPartObj>
        <w:docPartGallery w:val="Page Numbers (Bottom of Page)"/>
        <w:docPartUnique/>
      </w:docPartObj>
    </w:sdtPr>
    <w:sdtEndPr/>
    <w:sdtContent>
      <w:p w14:paraId="636F0054" w14:textId="77777777" w:rsidR="00B64368" w:rsidRDefault="00B64368" w:rsidP="00B6436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E18D" w14:textId="77777777" w:rsidR="003C1AFE" w:rsidRDefault="003C1AFE" w:rsidP="00B64368">
      <w:pPr>
        <w:spacing w:after="0" w:line="240" w:lineRule="auto"/>
      </w:pPr>
      <w:r>
        <w:separator/>
      </w:r>
    </w:p>
  </w:footnote>
  <w:footnote w:type="continuationSeparator" w:id="0">
    <w:p w14:paraId="3783C0BE" w14:textId="77777777" w:rsidR="003C1AFE" w:rsidRDefault="003C1AFE" w:rsidP="00B6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3043" w14:textId="77777777" w:rsidR="00B64368" w:rsidRDefault="00B64368" w:rsidP="00B64368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14F8A5E6" wp14:editId="220119A3">
          <wp:extent cx="1582326" cy="720000"/>
          <wp:effectExtent l="0" t="0" r="0" b="4445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I Logo - Jpeg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7C20"/>
    <w:multiLevelType w:val="hybridMultilevel"/>
    <w:tmpl w:val="24CAD628"/>
    <w:lvl w:ilvl="0" w:tplc="928CAC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7"/>
    <w:rsid w:val="00041DB5"/>
    <w:rsid w:val="00134CC7"/>
    <w:rsid w:val="001C132A"/>
    <w:rsid w:val="002B19BD"/>
    <w:rsid w:val="002E5F3B"/>
    <w:rsid w:val="003C1AFE"/>
    <w:rsid w:val="00420B4C"/>
    <w:rsid w:val="0072188F"/>
    <w:rsid w:val="007472B7"/>
    <w:rsid w:val="007702F5"/>
    <w:rsid w:val="007759BD"/>
    <w:rsid w:val="007E3BEF"/>
    <w:rsid w:val="00897757"/>
    <w:rsid w:val="00A91958"/>
    <w:rsid w:val="00B53F5D"/>
    <w:rsid w:val="00B64368"/>
    <w:rsid w:val="00BD60E0"/>
    <w:rsid w:val="00C060EB"/>
    <w:rsid w:val="00C50E12"/>
    <w:rsid w:val="00CF2230"/>
    <w:rsid w:val="00D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0144"/>
  <w15:chartTrackingRefBased/>
  <w15:docId w15:val="{23568DAE-28FE-4A8B-B466-BEC032C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D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368"/>
  </w:style>
  <w:style w:type="paragraph" w:styleId="Pieddepage">
    <w:name w:val="footer"/>
    <w:basedOn w:val="Normal"/>
    <w:link w:val="Pieddepag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368"/>
  </w:style>
  <w:style w:type="paragraph" w:styleId="Textedebulles">
    <w:name w:val="Balloon Text"/>
    <w:basedOn w:val="Normal"/>
    <w:link w:val="TextedebullesCar"/>
    <w:uiPriority w:val="99"/>
    <w:semiHidden/>
    <w:unhideWhenUsed/>
    <w:rsid w:val="0089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9C91FE2406B4480F2F601AAD05C64" ma:contentTypeVersion="13" ma:contentTypeDescription="Create a new document." ma:contentTypeScope="" ma:versionID="2003f2a65f420d5d257032ea7dd85d57">
  <xsd:schema xmlns:xsd="http://www.w3.org/2001/XMLSchema" xmlns:xs="http://www.w3.org/2001/XMLSchema" xmlns:p="http://schemas.microsoft.com/office/2006/metadata/properties" xmlns:ns3="e70ae5fa-c2d2-4a8b-af53-8d7cb237ad15" xmlns:ns4="c8044956-6361-4560-8a6e-d4b0bc079137" targetNamespace="http://schemas.microsoft.com/office/2006/metadata/properties" ma:root="true" ma:fieldsID="59c52e84b87c8af64b5b4b1a9eb6b0d9" ns3:_="" ns4:_="">
    <xsd:import namespace="e70ae5fa-c2d2-4a8b-af53-8d7cb237ad15"/>
    <xsd:import namespace="c8044956-6361-4560-8a6e-d4b0bc079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e5fa-c2d2-4a8b-af53-8d7cb237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4956-6361-4560-8a6e-d4b0bc079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56B81-0AD6-4764-8762-89D9BAEF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952FD-2E8A-474B-8B14-C5088F54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ae5fa-c2d2-4a8b-af53-8d7cb237ad15"/>
    <ds:schemaRef ds:uri="c8044956-6361-4560-8a6e-d4b0bc079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9E337-D8D7-4B11-9278-C7EB633E87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R.</dc:creator>
  <cp:keywords/>
  <dc:description/>
  <cp:lastModifiedBy>Gilles R.</cp:lastModifiedBy>
  <cp:revision>12</cp:revision>
  <cp:lastPrinted>2020-11-11T07:58:00Z</cp:lastPrinted>
  <dcterms:created xsi:type="dcterms:W3CDTF">2020-10-20T06:59:00Z</dcterms:created>
  <dcterms:modified xsi:type="dcterms:W3CDTF">2020-12-01T14:36:00Z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0x010100D9C9C91FE2406B4480F2F601AAD05C64</vt:lpwstr>
  </property>
</Properties>
</file>