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A7F1F" w14:textId="3D827146" w:rsidR="00BC6DAF" w:rsidRDefault="00BC6DAF" w:rsidP="00BC6DAF">
      <w:pPr>
        <w:pStyle w:val="Heading2"/>
        <w:numPr>
          <w:ilvl w:val="0"/>
          <w:numId w:val="0"/>
        </w:numPr>
        <w:ind w:left="864" w:hanging="1290"/>
      </w:pPr>
      <w:bookmarkStart w:id="0" w:name="_GoBack"/>
      <w:bookmarkEnd w:id="0"/>
      <w:r w:rsidRPr="00BC6DAF">
        <w:t xml:space="preserve">5.4 </w:t>
      </w:r>
      <w:bookmarkStart w:id="1" w:name="_Toc20753702"/>
      <w:r>
        <w:t>Project B</w:t>
      </w:r>
      <w:r w:rsidRPr="00D92F5D">
        <w:t>udget per activity</w:t>
      </w:r>
      <w:bookmarkEnd w:id="1"/>
      <w:r>
        <w:t xml:space="preserve"> (</w:t>
      </w:r>
      <w:r w:rsidR="0042323C">
        <w:t>totals of all countries, in US $</w:t>
      </w:r>
      <w:r>
        <w:t>)</w:t>
      </w:r>
    </w:p>
    <w:tbl>
      <w:tblPr>
        <w:tblStyle w:val="GridTable4-Accent5"/>
        <w:tblW w:w="15126" w:type="dxa"/>
        <w:tblInd w:w="-545" w:type="dxa"/>
        <w:tblLook w:val="04A0" w:firstRow="1" w:lastRow="0" w:firstColumn="1" w:lastColumn="0" w:noHBand="0" w:noVBand="1"/>
      </w:tblPr>
      <w:tblGrid>
        <w:gridCol w:w="2070"/>
        <w:gridCol w:w="2059"/>
        <w:gridCol w:w="5342"/>
        <w:gridCol w:w="1417"/>
        <w:gridCol w:w="1331"/>
        <w:gridCol w:w="1449"/>
        <w:gridCol w:w="1458"/>
      </w:tblGrid>
      <w:tr w:rsidR="00BC6DAF" w:rsidRPr="00CD2F2B" w14:paraId="16EFDAAB" w14:textId="77777777" w:rsidTr="00CE2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14:paraId="582C672B" w14:textId="77777777" w:rsidR="00BC6DAF" w:rsidRPr="00CD2F2B" w:rsidRDefault="00BC6DAF" w:rsidP="00BC6DAF">
            <w:pPr>
              <w:spacing w:after="60" w:line="240" w:lineRule="auto"/>
            </w:pPr>
            <w:r w:rsidRPr="00CD2F2B">
              <w:t>Components</w:t>
            </w:r>
          </w:p>
        </w:tc>
        <w:tc>
          <w:tcPr>
            <w:tcW w:w="2059" w:type="dxa"/>
            <w:hideMark/>
          </w:tcPr>
          <w:p w14:paraId="3A7EC658" w14:textId="77777777" w:rsidR="00BC6DAF" w:rsidRPr="00CD2F2B" w:rsidRDefault="00BC6DAF" w:rsidP="00BC6DAF">
            <w:pPr>
              <w:spacing w:after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Outputs</w:t>
            </w:r>
          </w:p>
        </w:tc>
        <w:tc>
          <w:tcPr>
            <w:tcW w:w="5342" w:type="dxa"/>
            <w:hideMark/>
          </w:tcPr>
          <w:p w14:paraId="2C8C0320" w14:textId="77777777" w:rsidR="00BC6DAF" w:rsidRPr="00CD2F2B" w:rsidRDefault="00BC6DAF" w:rsidP="00BC6DAF">
            <w:pPr>
              <w:spacing w:after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D2F2B">
              <w:t>Activities</w:t>
            </w:r>
            <w:proofErr w:type="spellEnd"/>
          </w:p>
        </w:tc>
        <w:tc>
          <w:tcPr>
            <w:tcW w:w="1417" w:type="dxa"/>
            <w:hideMark/>
          </w:tcPr>
          <w:p w14:paraId="12609E59" w14:textId="77777777" w:rsidR="00BC6DAF" w:rsidRPr="00CD2F2B" w:rsidRDefault="00BC6DAF" w:rsidP="00BC6DAF">
            <w:pPr>
              <w:spacing w:after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GCF</w:t>
            </w:r>
          </w:p>
        </w:tc>
        <w:tc>
          <w:tcPr>
            <w:tcW w:w="1331" w:type="dxa"/>
            <w:hideMark/>
          </w:tcPr>
          <w:p w14:paraId="1FA766E5" w14:textId="77777777" w:rsidR="00BC6DAF" w:rsidRPr="00CD2F2B" w:rsidRDefault="00BC6DAF" w:rsidP="00BC6DAF">
            <w:pPr>
              <w:spacing w:after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AFD</w:t>
            </w:r>
          </w:p>
        </w:tc>
        <w:tc>
          <w:tcPr>
            <w:tcW w:w="1449" w:type="dxa"/>
            <w:hideMark/>
          </w:tcPr>
          <w:p w14:paraId="74231942" w14:textId="77777777" w:rsidR="00BC6DAF" w:rsidRPr="00CD2F2B" w:rsidRDefault="00BC6DAF" w:rsidP="00BC6DAF">
            <w:pPr>
              <w:spacing w:after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EU</w:t>
            </w:r>
          </w:p>
        </w:tc>
        <w:tc>
          <w:tcPr>
            <w:tcW w:w="1458" w:type="dxa"/>
            <w:hideMark/>
          </w:tcPr>
          <w:p w14:paraId="018CF06B" w14:textId="77777777" w:rsidR="00BC6DAF" w:rsidRPr="00CD2F2B" w:rsidRDefault="00BC6DAF" w:rsidP="00BC6DAF">
            <w:pPr>
              <w:spacing w:after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D2F2B">
              <w:t>Governments</w:t>
            </w:r>
            <w:proofErr w:type="spellEnd"/>
          </w:p>
        </w:tc>
      </w:tr>
      <w:tr w:rsidR="00BC6DAF" w:rsidRPr="00CD2F2B" w14:paraId="7E8DDE05" w14:textId="77777777" w:rsidTr="00CE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 w:val="restart"/>
            <w:hideMark/>
          </w:tcPr>
          <w:p w14:paraId="0AA48288" w14:textId="77777777" w:rsidR="00BC6DAF" w:rsidRPr="00BC6DAF" w:rsidRDefault="00BC6DAF" w:rsidP="00BC6DAF">
            <w:pPr>
              <w:spacing w:after="60" w:line="240" w:lineRule="auto"/>
              <w:rPr>
                <w:b w:val="0"/>
                <w:bCs w:val="0"/>
                <w:lang w:val="en-GB"/>
              </w:rPr>
            </w:pPr>
            <w:r w:rsidRPr="00BC6DAF">
              <w:rPr>
                <w:lang w:val="en-GB"/>
              </w:rPr>
              <w:t>1. Capacity building, institutional development and regional cooperation</w:t>
            </w:r>
          </w:p>
        </w:tc>
        <w:tc>
          <w:tcPr>
            <w:tcW w:w="2059" w:type="dxa"/>
            <w:vMerge w:val="restart"/>
            <w:hideMark/>
          </w:tcPr>
          <w:p w14:paraId="6430410E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 xml:space="preserve">1.1 A </w:t>
            </w:r>
            <w:proofErr w:type="spellStart"/>
            <w:r w:rsidRPr="00CD2F2B">
              <w:t>Regional</w:t>
            </w:r>
            <w:proofErr w:type="spellEnd"/>
            <w:r w:rsidRPr="00CD2F2B">
              <w:t xml:space="preserve"> </w:t>
            </w:r>
            <w:proofErr w:type="spellStart"/>
            <w:r w:rsidRPr="00CD2F2B">
              <w:t>Climate</w:t>
            </w:r>
            <w:proofErr w:type="spellEnd"/>
            <w:r w:rsidRPr="00CD2F2B">
              <w:t xml:space="preserve"> Centre </w:t>
            </w:r>
            <w:proofErr w:type="spellStart"/>
            <w:r w:rsidRPr="00CD2F2B">
              <w:t>established</w:t>
            </w:r>
            <w:proofErr w:type="spellEnd"/>
          </w:p>
        </w:tc>
        <w:tc>
          <w:tcPr>
            <w:tcW w:w="5342" w:type="dxa"/>
            <w:hideMark/>
          </w:tcPr>
          <w:p w14:paraId="2A3CADA3" w14:textId="77777777" w:rsidR="00BC6DAF" w:rsidRPr="00BC6DAF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1.1.1 Design the institutional and organisational framework for the RCC (e.g. admin and logistic responsibilities)</w:t>
            </w:r>
          </w:p>
        </w:tc>
        <w:tc>
          <w:tcPr>
            <w:tcW w:w="1417" w:type="dxa"/>
            <w:hideMark/>
          </w:tcPr>
          <w:p w14:paraId="74DE0574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$ 300,000</w:t>
            </w:r>
          </w:p>
        </w:tc>
        <w:tc>
          <w:tcPr>
            <w:tcW w:w="1331" w:type="dxa"/>
            <w:hideMark/>
          </w:tcPr>
          <w:p w14:paraId="048418AC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5AB336C1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284873C4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6DAF" w:rsidRPr="00CD2F2B" w14:paraId="7CC1DB54" w14:textId="77777777" w:rsidTr="00CE297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238B7262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37AFEA26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72B697C2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1.1.2 Develop a regional climate services strategy for the RCC</w:t>
            </w:r>
          </w:p>
        </w:tc>
        <w:tc>
          <w:tcPr>
            <w:tcW w:w="1417" w:type="dxa"/>
            <w:hideMark/>
          </w:tcPr>
          <w:p w14:paraId="61E8D327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$ 300,000</w:t>
            </w:r>
          </w:p>
        </w:tc>
        <w:tc>
          <w:tcPr>
            <w:tcW w:w="1331" w:type="dxa"/>
            <w:hideMark/>
          </w:tcPr>
          <w:p w14:paraId="3BF96BBD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6AA71311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2693521D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6DAF" w:rsidRPr="00CD2F2B" w14:paraId="7168601C" w14:textId="77777777" w:rsidTr="00CE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34081995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35CA2A8B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27CEDFED" w14:textId="77777777" w:rsidR="00BC6DAF" w:rsidRPr="00BC6DAF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1.1.3 Design the regional lab for maintenance and annual calibration of equipment (to be established in Seychelles), and the regional training lab (in Mauritius) strategies (implementation under component 2)</w:t>
            </w:r>
          </w:p>
        </w:tc>
        <w:tc>
          <w:tcPr>
            <w:tcW w:w="1417" w:type="dxa"/>
            <w:hideMark/>
          </w:tcPr>
          <w:p w14:paraId="4671613C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$ 100,000</w:t>
            </w:r>
          </w:p>
        </w:tc>
        <w:tc>
          <w:tcPr>
            <w:tcW w:w="1331" w:type="dxa"/>
            <w:hideMark/>
          </w:tcPr>
          <w:p w14:paraId="06AC2859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159480E0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7D20E118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6DAF" w:rsidRPr="00CD2F2B" w14:paraId="73B26F6D" w14:textId="77777777" w:rsidTr="00CE297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4C3BFEE4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34AE603F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20AF2E8D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 xml:space="preserve">1.1.4 Prepare a strategy to improve Regional Numerical Weather Prediction </w:t>
            </w:r>
          </w:p>
        </w:tc>
        <w:tc>
          <w:tcPr>
            <w:tcW w:w="1417" w:type="dxa"/>
            <w:hideMark/>
          </w:tcPr>
          <w:p w14:paraId="7B998CA5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$ 150,000</w:t>
            </w:r>
          </w:p>
        </w:tc>
        <w:tc>
          <w:tcPr>
            <w:tcW w:w="1331" w:type="dxa"/>
            <w:hideMark/>
          </w:tcPr>
          <w:p w14:paraId="4CB58356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6A7C5B92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3FD1EE5E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6DAF" w:rsidRPr="00CD2F2B" w14:paraId="4CF87B10" w14:textId="77777777" w:rsidTr="00CE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1F699C4A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319D87BE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036D5B18" w14:textId="77777777" w:rsidR="00BC6DAF" w:rsidRPr="00BC6DAF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1.1.5 Design a communication strategy to disseminate relevant information on the Regional User Interface Platform (UIP) linked to the RCC</w:t>
            </w:r>
          </w:p>
        </w:tc>
        <w:tc>
          <w:tcPr>
            <w:tcW w:w="1417" w:type="dxa"/>
            <w:hideMark/>
          </w:tcPr>
          <w:p w14:paraId="154C5DBF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$ 150,000</w:t>
            </w:r>
          </w:p>
        </w:tc>
        <w:tc>
          <w:tcPr>
            <w:tcW w:w="1331" w:type="dxa"/>
            <w:hideMark/>
          </w:tcPr>
          <w:p w14:paraId="2DB51A71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17C4216B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5A42BA78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6DAF" w:rsidRPr="00CD2F2B" w14:paraId="0B99EB2D" w14:textId="77777777" w:rsidTr="00CE297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7395FD1C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 w:val="restart"/>
            <w:hideMark/>
          </w:tcPr>
          <w:p w14:paraId="5C1C1561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 xml:space="preserve">1.2 Improved staffing of the RCC and national met. services </w:t>
            </w:r>
          </w:p>
        </w:tc>
        <w:tc>
          <w:tcPr>
            <w:tcW w:w="5342" w:type="dxa"/>
            <w:hideMark/>
          </w:tcPr>
          <w:p w14:paraId="3C6D0DF8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 xml:space="preserve">1.2.1 Train new </w:t>
            </w:r>
            <w:proofErr w:type="spellStart"/>
            <w:r w:rsidRPr="00CD2F2B">
              <w:t>recruit</w:t>
            </w:r>
            <w:proofErr w:type="spellEnd"/>
            <w:r w:rsidRPr="00CD2F2B">
              <w:t xml:space="preserve"> </w:t>
            </w:r>
          </w:p>
        </w:tc>
        <w:tc>
          <w:tcPr>
            <w:tcW w:w="1417" w:type="dxa"/>
            <w:hideMark/>
          </w:tcPr>
          <w:p w14:paraId="3EBDB3DE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$ 3,600,000</w:t>
            </w:r>
          </w:p>
        </w:tc>
        <w:tc>
          <w:tcPr>
            <w:tcW w:w="1331" w:type="dxa"/>
            <w:hideMark/>
          </w:tcPr>
          <w:p w14:paraId="0EAA1E26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2F534AC2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2967BBBC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6DAF" w:rsidRPr="00CD2F2B" w14:paraId="6E9B1453" w14:textId="77777777" w:rsidTr="00CE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2ADFC297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6538D8E5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50E5B251" w14:textId="77777777" w:rsidR="00BC6DAF" w:rsidRPr="00BC6DAF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1.2.2 Update training for existing staff</w:t>
            </w:r>
          </w:p>
        </w:tc>
        <w:tc>
          <w:tcPr>
            <w:tcW w:w="1417" w:type="dxa"/>
            <w:hideMark/>
          </w:tcPr>
          <w:p w14:paraId="16F6A133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$ 2,400,000</w:t>
            </w:r>
          </w:p>
        </w:tc>
        <w:tc>
          <w:tcPr>
            <w:tcW w:w="1331" w:type="dxa"/>
            <w:hideMark/>
          </w:tcPr>
          <w:p w14:paraId="0E92D7DB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326F941F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7D923F80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6DAF" w:rsidRPr="00CD2F2B" w14:paraId="3E8A4A7E" w14:textId="77777777" w:rsidTr="00CE297E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4E6793AF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 w:val="restart"/>
            <w:hideMark/>
          </w:tcPr>
          <w:p w14:paraId="76999130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1.3 Institutional arrangements and operational strategy of national met. services strengthened</w:t>
            </w:r>
          </w:p>
        </w:tc>
        <w:tc>
          <w:tcPr>
            <w:tcW w:w="5342" w:type="dxa"/>
            <w:hideMark/>
          </w:tcPr>
          <w:p w14:paraId="7C63DEDC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1.3.1 Develop and implement a plan to strengthen institutional settings of NHMSs</w:t>
            </w:r>
          </w:p>
        </w:tc>
        <w:tc>
          <w:tcPr>
            <w:tcW w:w="1417" w:type="dxa"/>
            <w:hideMark/>
          </w:tcPr>
          <w:p w14:paraId="1E69AB04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$ 300,000</w:t>
            </w:r>
          </w:p>
        </w:tc>
        <w:tc>
          <w:tcPr>
            <w:tcW w:w="1331" w:type="dxa"/>
            <w:hideMark/>
          </w:tcPr>
          <w:p w14:paraId="56D26D20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61B15910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6BB29EFD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6DAF" w:rsidRPr="00CD2F2B" w14:paraId="30830B91" w14:textId="77777777" w:rsidTr="00CE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5A58A3E8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1594D6D9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0A02F4F6" w14:textId="77777777" w:rsidR="00BC6DAF" w:rsidRPr="00BC6DAF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 xml:space="preserve">1.3.2 Develop a business plan for each NHMS </w:t>
            </w:r>
          </w:p>
        </w:tc>
        <w:tc>
          <w:tcPr>
            <w:tcW w:w="1417" w:type="dxa"/>
            <w:hideMark/>
          </w:tcPr>
          <w:p w14:paraId="2E7C48B3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$ 200,000</w:t>
            </w:r>
          </w:p>
        </w:tc>
        <w:tc>
          <w:tcPr>
            <w:tcW w:w="1331" w:type="dxa"/>
            <w:hideMark/>
          </w:tcPr>
          <w:p w14:paraId="70FDD1DE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54691F7E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5FEA09B3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6DAF" w:rsidRPr="00CD2F2B" w14:paraId="091E15B3" w14:textId="77777777" w:rsidTr="00CE297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2E5F96F7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242F3AAE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42EADA7C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1.3.3 Design the transition support plan</w:t>
            </w:r>
          </w:p>
        </w:tc>
        <w:tc>
          <w:tcPr>
            <w:tcW w:w="1417" w:type="dxa"/>
            <w:hideMark/>
          </w:tcPr>
          <w:p w14:paraId="46CCA681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$ 200,000</w:t>
            </w:r>
          </w:p>
        </w:tc>
        <w:tc>
          <w:tcPr>
            <w:tcW w:w="1331" w:type="dxa"/>
            <w:hideMark/>
          </w:tcPr>
          <w:p w14:paraId="341C8C70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46447BE7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4C52373E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6DAF" w:rsidRPr="00CD2F2B" w14:paraId="77F82A11" w14:textId="77777777" w:rsidTr="00CE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62333523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618A79FF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18771643" w14:textId="77777777" w:rsidR="00BC6DAF" w:rsidRPr="00BC6DAF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1.3.4 Develop and support implementation of the NFCS</w:t>
            </w:r>
          </w:p>
        </w:tc>
        <w:tc>
          <w:tcPr>
            <w:tcW w:w="1417" w:type="dxa"/>
            <w:hideMark/>
          </w:tcPr>
          <w:p w14:paraId="2B9DCE06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$ 400,000</w:t>
            </w:r>
          </w:p>
        </w:tc>
        <w:tc>
          <w:tcPr>
            <w:tcW w:w="1331" w:type="dxa"/>
            <w:hideMark/>
          </w:tcPr>
          <w:p w14:paraId="5FF5932B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6B1BD466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25B04FF5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6DAF" w:rsidRPr="00CD2F2B" w14:paraId="5F1CF3CE" w14:textId="77777777" w:rsidTr="00CE297E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0672B3A2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 w:val="restart"/>
            <w:hideMark/>
          </w:tcPr>
          <w:p w14:paraId="7961FF3A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 xml:space="preserve">1.4 Detailed Design, technical specification, system integration and tendering </w:t>
            </w:r>
            <w:r w:rsidRPr="00BC6DAF">
              <w:rPr>
                <w:lang w:val="en-GB"/>
              </w:rPr>
              <w:lastRenderedPageBreak/>
              <w:t xml:space="preserve">process of Project Activities </w:t>
            </w:r>
          </w:p>
        </w:tc>
        <w:tc>
          <w:tcPr>
            <w:tcW w:w="5342" w:type="dxa"/>
            <w:hideMark/>
          </w:tcPr>
          <w:p w14:paraId="3F8948CF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D2F2B">
              <w:rPr>
                <w:lang w:val="en-ZA"/>
              </w:rPr>
              <w:lastRenderedPageBreak/>
              <w:t>1.4.1. Produce a detailed design and system integration for each met service</w:t>
            </w:r>
          </w:p>
        </w:tc>
        <w:tc>
          <w:tcPr>
            <w:tcW w:w="1417" w:type="dxa"/>
            <w:hideMark/>
          </w:tcPr>
          <w:p w14:paraId="10BB070B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331" w:type="dxa"/>
            <w:hideMark/>
          </w:tcPr>
          <w:p w14:paraId="7209DC4D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7F5575B9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0C922EE0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6DAF" w:rsidRPr="00CD2F2B" w14:paraId="25005970" w14:textId="77777777" w:rsidTr="00CE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74C21B05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55939251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1960FEE0" w14:textId="77777777" w:rsidR="00BC6DAF" w:rsidRPr="00BC6DAF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D2F2B">
              <w:rPr>
                <w:lang w:val="en-ZA"/>
              </w:rPr>
              <w:t xml:space="preserve">1.4.2 Develop a system integration at </w:t>
            </w:r>
            <w:proofErr w:type="spellStart"/>
            <w:r w:rsidRPr="00CD2F2B">
              <w:rPr>
                <w:lang w:val="en-ZA"/>
              </w:rPr>
              <w:t>hydromet</w:t>
            </w:r>
            <w:proofErr w:type="spellEnd"/>
            <w:r w:rsidRPr="00CD2F2B">
              <w:rPr>
                <w:lang w:val="en-ZA"/>
              </w:rPr>
              <w:t xml:space="preserve"> production level and at end users’ level to have a value chain integration for climatic services and alert</w:t>
            </w:r>
          </w:p>
        </w:tc>
        <w:tc>
          <w:tcPr>
            <w:tcW w:w="1417" w:type="dxa"/>
            <w:hideMark/>
          </w:tcPr>
          <w:p w14:paraId="391E9BDC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$ 2,000,000</w:t>
            </w:r>
          </w:p>
        </w:tc>
        <w:tc>
          <w:tcPr>
            <w:tcW w:w="1331" w:type="dxa"/>
            <w:hideMark/>
          </w:tcPr>
          <w:p w14:paraId="664E2182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-</w:t>
            </w:r>
          </w:p>
        </w:tc>
        <w:tc>
          <w:tcPr>
            <w:tcW w:w="1449" w:type="dxa"/>
            <w:hideMark/>
          </w:tcPr>
          <w:p w14:paraId="5E686938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-</w:t>
            </w:r>
          </w:p>
        </w:tc>
        <w:tc>
          <w:tcPr>
            <w:tcW w:w="1458" w:type="dxa"/>
            <w:hideMark/>
          </w:tcPr>
          <w:p w14:paraId="66995FE2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-</w:t>
            </w:r>
          </w:p>
        </w:tc>
      </w:tr>
      <w:tr w:rsidR="00BC6DAF" w:rsidRPr="00CD2F2B" w14:paraId="4D6585B5" w14:textId="77777777" w:rsidTr="00CE297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 w:val="restart"/>
            <w:hideMark/>
          </w:tcPr>
          <w:p w14:paraId="1973EC97" w14:textId="77777777" w:rsidR="00BC6DAF" w:rsidRPr="00BC6DAF" w:rsidRDefault="00BC6DAF" w:rsidP="00BC6DAF">
            <w:pPr>
              <w:spacing w:after="60" w:line="240" w:lineRule="auto"/>
              <w:rPr>
                <w:b w:val="0"/>
                <w:bCs w:val="0"/>
                <w:lang w:val="en-GB"/>
              </w:rPr>
            </w:pPr>
            <w:r w:rsidRPr="00BC6DAF">
              <w:rPr>
                <w:lang w:val="en-GB"/>
              </w:rPr>
              <w:t xml:space="preserve">2. Improved monitoring, risk analyses and forecasting </w:t>
            </w:r>
          </w:p>
        </w:tc>
        <w:tc>
          <w:tcPr>
            <w:tcW w:w="2059" w:type="dxa"/>
            <w:vMerge w:val="restart"/>
            <w:hideMark/>
          </w:tcPr>
          <w:p w14:paraId="0F481A9A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 xml:space="preserve">2.1 Enhanced hydro-meteorological observing, monitoring, and impact forecasting services </w:t>
            </w:r>
          </w:p>
        </w:tc>
        <w:tc>
          <w:tcPr>
            <w:tcW w:w="5342" w:type="dxa"/>
            <w:hideMark/>
          </w:tcPr>
          <w:p w14:paraId="5C312CD5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 xml:space="preserve">2.1.1 Modernise/upgrade climate observation and monitoring network  </w:t>
            </w:r>
          </w:p>
        </w:tc>
        <w:tc>
          <w:tcPr>
            <w:tcW w:w="1417" w:type="dxa"/>
            <w:hideMark/>
          </w:tcPr>
          <w:p w14:paraId="6591CBA2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$ 16,000,000</w:t>
            </w:r>
          </w:p>
        </w:tc>
        <w:tc>
          <w:tcPr>
            <w:tcW w:w="1331" w:type="dxa"/>
            <w:hideMark/>
          </w:tcPr>
          <w:p w14:paraId="253DE10B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$ 3,000,000</w:t>
            </w:r>
          </w:p>
        </w:tc>
        <w:tc>
          <w:tcPr>
            <w:tcW w:w="1449" w:type="dxa"/>
            <w:hideMark/>
          </w:tcPr>
          <w:p w14:paraId="51EF18A5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5C914DE1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$ 2,000,000</w:t>
            </w:r>
          </w:p>
        </w:tc>
      </w:tr>
      <w:tr w:rsidR="00BC6DAF" w:rsidRPr="00CD2F2B" w14:paraId="26935CD0" w14:textId="77777777" w:rsidTr="00CE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4AC749D8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5A68BC2F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7F08334F" w14:textId="77777777" w:rsidR="00BC6DAF" w:rsidRPr="00BC6DAF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 xml:space="preserve">2.1.2 Modernise/upgrade information system for telecom, forecast, climatology </w:t>
            </w:r>
          </w:p>
        </w:tc>
        <w:tc>
          <w:tcPr>
            <w:tcW w:w="1417" w:type="dxa"/>
            <w:hideMark/>
          </w:tcPr>
          <w:p w14:paraId="78A54E8A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$ 17,000,000</w:t>
            </w:r>
          </w:p>
        </w:tc>
        <w:tc>
          <w:tcPr>
            <w:tcW w:w="1331" w:type="dxa"/>
            <w:hideMark/>
          </w:tcPr>
          <w:p w14:paraId="78C2F340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$ 2,000,000</w:t>
            </w:r>
          </w:p>
        </w:tc>
        <w:tc>
          <w:tcPr>
            <w:tcW w:w="1449" w:type="dxa"/>
            <w:hideMark/>
          </w:tcPr>
          <w:p w14:paraId="69FAC679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58" w:type="dxa"/>
            <w:hideMark/>
          </w:tcPr>
          <w:p w14:paraId="549D0345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6DAF" w:rsidRPr="00CD2F2B" w14:paraId="1A3D2F01" w14:textId="77777777" w:rsidTr="00CE297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7E5C5CDE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 w:val="restart"/>
            <w:hideMark/>
          </w:tcPr>
          <w:p w14:paraId="3863B187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 xml:space="preserve">2.2 Regional facilities for maintenance and training established </w:t>
            </w:r>
          </w:p>
        </w:tc>
        <w:tc>
          <w:tcPr>
            <w:tcW w:w="5342" w:type="dxa"/>
            <w:hideMark/>
          </w:tcPr>
          <w:p w14:paraId="639E4BB4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 xml:space="preserve">2.2.1 </w:t>
            </w:r>
            <w:proofErr w:type="spellStart"/>
            <w:r w:rsidRPr="00CD2F2B">
              <w:t>Establish</w:t>
            </w:r>
            <w:proofErr w:type="spellEnd"/>
            <w:r w:rsidRPr="00CD2F2B">
              <w:t xml:space="preserve"> maintenance </w:t>
            </w:r>
            <w:proofErr w:type="spellStart"/>
            <w:r w:rsidRPr="00CD2F2B">
              <w:t>lab</w:t>
            </w:r>
            <w:proofErr w:type="spellEnd"/>
            <w:r w:rsidRPr="00CD2F2B">
              <w:t xml:space="preserve"> in Seychelles</w:t>
            </w:r>
          </w:p>
        </w:tc>
        <w:tc>
          <w:tcPr>
            <w:tcW w:w="1417" w:type="dxa"/>
            <w:hideMark/>
          </w:tcPr>
          <w:p w14:paraId="4ACB130E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1" w:type="dxa"/>
            <w:hideMark/>
          </w:tcPr>
          <w:p w14:paraId="6BA6D1AE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$ 800,000</w:t>
            </w:r>
          </w:p>
        </w:tc>
        <w:tc>
          <w:tcPr>
            <w:tcW w:w="1449" w:type="dxa"/>
            <w:hideMark/>
          </w:tcPr>
          <w:p w14:paraId="79C6F8FE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614B20FB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6DAF" w:rsidRPr="00CD2F2B" w14:paraId="2C64DEC8" w14:textId="77777777" w:rsidTr="00CE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3840E978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2D496B99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74B19F9A" w14:textId="77777777" w:rsidR="00BC6DAF" w:rsidRPr="00BC6DAF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2.2.2 Refurbish regional training centre of Mauritius to train observers and forecasters</w:t>
            </w:r>
          </w:p>
        </w:tc>
        <w:tc>
          <w:tcPr>
            <w:tcW w:w="1417" w:type="dxa"/>
            <w:hideMark/>
          </w:tcPr>
          <w:p w14:paraId="5D44BAAC" w14:textId="77777777" w:rsidR="00BC6DAF" w:rsidRPr="00BC6DAF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31" w:type="dxa"/>
            <w:hideMark/>
          </w:tcPr>
          <w:p w14:paraId="30BA4FB2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49" w:type="dxa"/>
            <w:hideMark/>
          </w:tcPr>
          <w:p w14:paraId="76903920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15EC7C2F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6DAF" w:rsidRPr="00CD2F2B" w14:paraId="17A0CCB8" w14:textId="77777777" w:rsidTr="00CE297E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34C371FA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 w:val="restart"/>
            <w:hideMark/>
          </w:tcPr>
          <w:p w14:paraId="48F85D0F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2.3 R&amp;D capacities enhanced to improve understanding of climate and disaster risks on communities and sectors</w:t>
            </w:r>
          </w:p>
        </w:tc>
        <w:tc>
          <w:tcPr>
            <w:tcW w:w="5342" w:type="dxa"/>
            <w:hideMark/>
          </w:tcPr>
          <w:p w14:paraId="7B16EF19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2.3.1 Organise training and R&amp;D activities to improve meteorological and climate modelling capacity   and hydraulic modelling for flood prevision (i.e. flood-prone area mapping and flood propagation model)</w:t>
            </w:r>
          </w:p>
        </w:tc>
        <w:tc>
          <w:tcPr>
            <w:tcW w:w="1417" w:type="dxa"/>
            <w:hideMark/>
          </w:tcPr>
          <w:p w14:paraId="39DF8C71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$ 2,000,000</w:t>
            </w:r>
          </w:p>
        </w:tc>
        <w:tc>
          <w:tcPr>
            <w:tcW w:w="1331" w:type="dxa"/>
            <w:hideMark/>
          </w:tcPr>
          <w:p w14:paraId="501B965A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4D63E997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0D05191B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6DAF" w:rsidRPr="00CD2F2B" w14:paraId="0BA90C20" w14:textId="77777777" w:rsidTr="00CE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0EDA7342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6D84583B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0939C48D" w14:textId="77777777" w:rsidR="00BC6DAF" w:rsidRPr="00BC6DAF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2.3.2 Develop climate-related hazards maps</w:t>
            </w:r>
            <w:r w:rsidRPr="00BC6DAF">
              <w:rPr>
                <w:i/>
                <w:iCs/>
                <w:lang w:val="en-GB"/>
              </w:rPr>
              <w:t xml:space="preserve"> </w:t>
            </w:r>
            <w:r w:rsidRPr="00BC6DAF">
              <w:rPr>
                <w:lang w:val="en-GB"/>
              </w:rPr>
              <w:t>for key hazards, including heavy rainfall/floods (can be linked to cyclones), storm surges, marine inundation and coastal erosion</w:t>
            </w:r>
          </w:p>
        </w:tc>
        <w:tc>
          <w:tcPr>
            <w:tcW w:w="1417" w:type="dxa"/>
            <w:hideMark/>
          </w:tcPr>
          <w:p w14:paraId="0836051B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331" w:type="dxa"/>
            <w:hideMark/>
          </w:tcPr>
          <w:p w14:paraId="1B6E92E9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7C06ADA9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58" w:type="dxa"/>
            <w:hideMark/>
          </w:tcPr>
          <w:p w14:paraId="2741355E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6DAF" w:rsidRPr="00CD2F2B" w14:paraId="2C3A8148" w14:textId="77777777" w:rsidTr="00CE297E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6F42EB35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75464A4F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249DB4DB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2.3.3 Develop climate-risk vulnerability maps based on the climate hazard maps</w:t>
            </w:r>
          </w:p>
        </w:tc>
        <w:tc>
          <w:tcPr>
            <w:tcW w:w="1417" w:type="dxa"/>
            <w:hideMark/>
          </w:tcPr>
          <w:p w14:paraId="51300EA6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331" w:type="dxa"/>
            <w:hideMark/>
          </w:tcPr>
          <w:p w14:paraId="3BAECF05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3C48CF0E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58" w:type="dxa"/>
            <w:hideMark/>
          </w:tcPr>
          <w:p w14:paraId="503C1690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6DAF" w:rsidRPr="00CD2F2B" w14:paraId="363A2425" w14:textId="77777777" w:rsidTr="00CE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 w:val="restart"/>
            <w:hideMark/>
          </w:tcPr>
          <w:p w14:paraId="5B7E815E" w14:textId="77777777" w:rsidR="00BC6DAF" w:rsidRPr="00BC6DAF" w:rsidRDefault="00BC6DAF" w:rsidP="00BC6DAF">
            <w:pPr>
              <w:spacing w:after="60" w:line="240" w:lineRule="auto"/>
              <w:rPr>
                <w:b w:val="0"/>
                <w:bCs w:val="0"/>
                <w:lang w:val="en-GB"/>
              </w:rPr>
            </w:pPr>
            <w:r w:rsidRPr="00BC6DAF">
              <w:rPr>
                <w:lang w:val="en-GB"/>
              </w:rPr>
              <w:t>3.Strengthened climate services delivery and early warning systems at national and regional level</w:t>
            </w:r>
          </w:p>
        </w:tc>
        <w:tc>
          <w:tcPr>
            <w:tcW w:w="2059" w:type="dxa"/>
            <w:vMerge w:val="restart"/>
            <w:hideMark/>
          </w:tcPr>
          <w:p w14:paraId="1F35E7AA" w14:textId="77777777" w:rsidR="00BC6DAF" w:rsidRPr="00BC6DAF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3.1 Climate services improved based on end-users needs</w:t>
            </w:r>
          </w:p>
        </w:tc>
        <w:tc>
          <w:tcPr>
            <w:tcW w:w="5342" w:type="dxa"/>
            <w:hideMark/>
          </w:tcPr>
          <w:p w14:paraId="7205298A" w14:textId="77777777" w:rsidR="00BC6DAF" w:rsidRPr="00BC6DAF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3.1.1 Produce and/or update long term climate services responding to the needs of each country</w:t>
            </w:r>
          </w:p>
        </w:tc>
        <w:tc>
          <w:tcPr>
            <w:tcW w:w="1417" w:type="dxa"/>
            <w:hideMark/>
          </w:tcPr>
          <w:p w14:paraId="4B178998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$ 1,000,000</w:t>
            </w:r>
          </w:p>
        </w:tc>
        <w:tc>
          <w:tcPr>
            <w:tcW w:w="1331" w:type="dxa"/>
            <w:hideMark/>
          </w:tcPr>
          <w:p w14:paraId="61066CCD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4E88D37B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58" w:type="dxa"/>
            <w:hideMark/>
          </w:tcPr>
          <w:p w14:paraId="7225FBCF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6DAF" w:rsidRPr="00CD2F2B" w14:paraId="5C715723" w14:textId="77777777" w:rsidTr="00CE297E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6F89614D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0466BA37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7402918A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 xml:space="preserve">3.1.2 Improve emergency response for on-the-ground interventions (during/after key hazards) </w:t>
            </w:r>
          </w:p>
        </w:tc>
        <w:tc>
          <w:tcPr>
            <w:tcW w:w="1417" w:type="dxa"/>
            <w:hideMark/>
          </w:tcPr>
          <w:p w14:paraId="219658DD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$ 1,000,000</w:t>
            </w:r>
          </w:p>
        </w:tc>
        <w:tc>
          <w:tcPr>
            <w:tcW w:w="1331" w:type="dxa"/>
            <w:hideMark/>
          </w:tcPr>
          <w:p w14:paraId="1FDBE855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526CDABF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58" w:type="dxa"/>
            <w:hideMark/>
          </w:tcPr>
          <w:p w14:paraId="3510B15F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6DAF" w:rsidRPr="00CD2F2B" w14:paraId="1D343C42" w14:textId="77777777" w:rsidTr="00CE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0328BA74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4C85945C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3B996B4F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 xml:space="preserve">3.1.3 </w:t>
            </w:r>
            <w:proofErr w:type="spellStart"/>
            <w:r w:rsidRPr="00CD2F2B">
              <w:t>Develop</w:t>
            </w:r>
            <w:proofErr w:type="spellEnd"/>
            <w:r w:rsidRPr="00CD2F2B">
              <w:t xml:space="preserve"> Project/</w:t>
            </w:r>
            <w:proofErr w:type="spellStart"/>
            <w:r w:rsidRPr="00CD2F2B">
              <w:t>Funding</w:t>
            </w:r>
            <w:proofErr w:type="spellEnd"/>
            <w:r w:rsidRPr="00CD2F2B">
              <w:t xml:space="preserve"> </w:t>
            </w:r>
            <w:proofErr w:type="spellStart"/>
            <w:r w:rsidRPr="00CD2F2B">
              <w:t>Proposals</w:t>
            </w:r>
            <w:proofErr w:type="spellEnd"/>
          </w:p>
        </w:tc>
        <w:tc>
          <w:tcPr>
            <w:tcW w:w="1417" w:type="dxa"/>
            <w:hideMark/>
          </w:tcPr>
          <w:p w14:paraId="07B69709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$ 200,000</w:t>
            </w:r>
          </w:p>
        </w:tc>
        <w:tc>
          <w:tcPr>
            <w:tcW w:w="1331" w:type="dxa"/>
            <w:hideMark/>
          </w:tcPr>
          <w:p w14:paraId="02CCE5E0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099B7F4C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2D6F2D93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6DAF" w:rsidRPr="00CD2F2B" w14:paraId="7351AF35" w14:textId="77777777" w:rsidTr="00CE297E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77F86EBA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 w:val="restart"/>
            <w:hideMark/>
          </w:tcPr>
          <w:p w14:paraId="10BCC75A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 xml:space="preserve">3.2 Communication of CS </w:t>
            </w:r>
            <w:proofErr w:type="spellStart"/>
            <w:r w:rsidRPr="00CD2F2B">
              <w:t>improved</w:t>
            </w:r>
            <w:proofErr w:type="spellEnd"/>
            <w:r w:rsidRPr="00CD2F2B">
              <w:t xml:space="preserve"> </w:t>
            </w:r>
          </w:p>
        </w:tc>
        <w:tc>
          <w:tcPr>
            <w:tcW w:w="5342" w:type="dxa"/>
            <w:hideMark/>
          </w:tcPr>
          <w:p w14:paraId="3538879C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3.2.1 Train the producers of climate forecasts on how to package information in a user-friendly way</w:t>
            </w:r>
          </w:p>
        </w:tc>
        <w:tc>
          <w:tcPr>
            <w:tcW w:w="1417" w:type="dxa"/>
            <w:hideMark/>
          </w:tcPr>
          <w:p w14:paraId="54B74330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331" w:type="dxa"/>
            <w:hideMark/>
          </w:tcPr>
          <w:p w14:paraId="15996846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3942051F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58" w:type="dxa"/>
            <w:hideMark/>
          </w:tcPr>
          <w:p w14:paraId="34CB38E0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6DAF" w:rsidRPr="00CD2F2B" w14:paraId="7FD3FE27" w14:textId="77777777" w:rsidTr="00CE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1FBB692F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73BEFD53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01093D69" w14:textId="77777777" w:rsidR="00BC6DAF" w:rsidRPr="00BC6DAF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3.2.2 Strengthen early warning dissemination for key sectors/ general public</w:t>
            </w:r>
          </w:p>
        </w:tc>
        <w:tc>
          <w:tcPr>
            <w:tcW w:w="1417" w:type="dxa"/>
            <w:hideMark/>
          </w:tcPr>
          <w:p w14:paraId="5A859A1E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$ 1,000,000</w:t>
            </w:r>
          </w:p>
        </w:tc>
        <w:tc>
          <w:tcPr>
            <w:tcW w:w="1331" w:type="dxa"/>
            <w:hideMark/>
          </w:tcPr>
          <w:p w14:paraId="52765AD9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218815FE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58" w:type="dxa"/>
            <w:hideMark/>
          </w:tcPr>
          <w:p w14:paraId="7CC07EF8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6DAF" w:rsidRPr="00CD2F2B" w14:paraId="6C9A1B54" w14:textId="77777777" w:rsidTr="00CE297E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02CA2D5C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 w:val="restart"/>
            <w:hideMark/>
          </w:tcPr>
          <w:p w14:paraId="213ADA65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3.3 Communication platforms for end-users and providers of CS established</w:t>
            </w:r>
          </w:p>
        </w:tc>
        <w:tc>
          <w:tcPr>
            <w:tcW w:w="5342" w:type="dxa"/>
            <w:hideMark/>
          </w:tcPr>
          <w:p w14:paraId="69D92278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3.3.1 Establish and sensitise CS user groups</w:t>
            </w:r>
          </w:p>
        </w:tc>
        <w:tc>
          <w:tcPr>
            <w:tcW w:w="1417" w:type="dxa"/>
            <w:hideMark/>
          </w:tcPr>
          <w:p w14:paraId="4A0C34E7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331" w:type="dxa"/>
            <w:hideMark/>
          </w:tcPr>
          <w:p w14:paraId="51565D8E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794FF00B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58" w:type="dxa"/>
            <w:hideMark/>
          </w:tcPr>
          <w:p w14:paraId="0AB8BF93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6DAF" w:rsidRPr="00CD2F2B" w14:paraId="7916FC13" w14:textId="77777777" w:rsidTr="00CE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6F1756CE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6D6A0F40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18D7F22E" w14:textId="77777777" w:rsidR="00BC6DAF" w:rsidRPr="00BC6DAF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>3.3.2 Strengthen the User Interface Platform (UIP)</w:t>
            </w:r>
          </w:p>
        </w:tc>
        <w:tc>
          <w:tcPr>
            <w:tcW w:w="1417" w:type="dxa"/>
            <w:hideMark/>
          </w:tcPr>
          <w:p w14:paraId="2F727FCA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$ 1,000,000</w:t>
            </w:r>
          </w:p>
        </w:tc>
        <w:tc>
          <w:tcPr>
            <w:tcW w:w="1331" w:type="dxa"/>
            <w:hideMark/>
          </w:tcPr>
          <w:p w14:paraId="569D413F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69DCF80F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$ 1,000,000</w:t>
            </w:r>
          </w:p>
        </w:tc>
        <w:tc>
          <w:tcPr>
            <w:tcW w:w="1458" w:type="dxa"/>
            <w:hideMark/>
          </w:tcPr>
          <w:p w14:paraId="5D25400C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6DAF" w:rsidRPr="00CD2F2B" w14:paraId="4F69760E" w14:textId="77777777" w:rsidTr="00CE297E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01D15E71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5820BA24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7A91CD8B" w14:textId="77777777" w:rsidR="00BC6DAF" w:rsidRPr="00BC6DAF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C6DAF">
              <w:rPr>
                <w:lang w:val="en-GB"/>
              </w:rPr>
              <w:t xml:space="preserve">3.3.3 Support SWIOCOF to ensure the active participation of climate services users </w:t>
            </w:r>
          </w:p>
        </w:tc>
        <w:tc>
          <w:tcPr>
            <w:tcW w:w="1417" w:type="dxa"/>
            <w:hideMark/>
          </w:tcPr>
          <w:p w14:paraId="468755DE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$ 300,000</w:t>
            </w:r>
          </w:p>
        </w:tc>
        <w:tc>
          <w:tcPr>
            <w:tcW w:w="1331" w:type="dxa"/>
            <w:hideMark/>
          </w:tcPr>
          <w:p w14:paraId="50F5EF9A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05F5CB81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$ 200,000</w:t>
            </w:r>
          </w:p>
        </w:tc>
        <w:tc>
          <w:tcPr>
            <w:tcW w:w="1458" w:type="dxa"/>
            <w:hideMark/>
          </w:tcPr>
          <w:p w14:paraId="418CBE33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6DAF" w:rsidRPr="00CD2F2B" w14:paraId="23E75875" w14:textId="77777777" w:rsidTr="00CE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 w:val="restart"/>
            <w:hideMark/>
          </w:tcPr>
          <w:p w14:paraId="1BE2D486" w14:textId="77777777" w:rsidR="00BC6DAF" w:rsidRPr="00CD2F2B" w:rsidRDefault="00BC6DAF" w:rsidP="00BC6DAF">
            <w:pPr>
              <w:spacing w:after="60" w:line="240" w:lineRule="auto"/>
            </w:pPr>
            <w:r w:rsidRPr="00CD2F2B">
              <w:t>4. Project management</w:t>
            </w:r>
          </w:p>
        </w:tc>
        <w:tc>
          <w:tcPr>
            <w:tcW w:w="2059" w:type="dxa"/>
            <w:hideMark/>
          </w:tcPr>
          <w:p w14:paraId="67FFDF8F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4.1 Project management</w:t>
            </w:r>
          </w:p>
        </w:tc>
        <w:tc>
          <w:tcPr>
            <w:tcW w:w="5342" w:type="dxa"/>
            <w:hideMark/>
          </w:tcPr>
          <w:p w14:paraId="5E306AB5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4.1.1 Project management</w:t>
            </w:r>
          </w:p>
        </w:tc>
        <w:tc>
          <w:tcPr>
            <w:tcW w:w="1417" w:type="dxa"/>
            <w:hideMark/>
          </w:tcPr>
          <w:p w14:paraId="027A81F7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$ 4,000,000</w:t>
            </w:r>
          </w:p>
        </w:tc>
        <w:tc>
          <w:tcPr>
            <w:tcW w:w="1331" w:type="dxa"/>
            <w:hideMark/>
          </w:tcPr>
          <w:p w14:paraId="30D89CE6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0107F7EE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29BF1DCF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6DAF" w:rsidRPr="00CD2F2B" w14:paraId="0D73213B" w14:textId="77777777" w:rsidTr="00CE297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7D393FB4" w14:textId="77777777" w:rsidR="00BC6DAF" w:rsidRPr="00CD2F2B" w:rsidRDefault="00BC6DAF" w:rsidP="00BC6DAF">
            <w:pPr>
              <w:spacing w:after="60" w:line="240" w:lineRule="auto"/>
            </w:pPr>
          </w:p>
        </w:tc>
        <w:tc>
          <w:tcPr>
            <w:tcW w:w="2059" w:type="dxa"/>
            <w:hideMark/>
          </w:tcPr>
          <w:p w14:paraId="184DD19E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4.2 O&amp;M</w:t>
            </w:r>
          </w:p>
        </w:tc>
        <w:tc>
          <w:tcPr>
            <w:tcW w:w="5342" w:type="dxa"/>
            <w:hideMark/>
          </w:tcPr>
          <w:p w14:paraId="7C6F67F2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4.1.1 O&amp;M</w:t>
            </w:r>
          </w:p>
        </w:tc>
        <w:tc>
          <w:tcPr>
            <w:tcW w:w="1417" w:type="dxa"/>
            <w:hideMark/>
          </w:tcPr>
          <w:p w14:paraId="58F3AF0A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$ 2,000,000</w:t>
            </w:r>
          </w:p>
        </w:tc>
        <w:tc>
          <w:tcPr>
            <w:tcW w:w="1331" w:type="dxa"/>
            <w:hideMark/>
          </w:tcPr>
          <w:p w14:paraId="178F03DA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64938747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0AB99AC5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$ 4,000,000</w:t>
            </w:r>
          </w:p>
        </w:tc>
      </w:tr>
      <w:tr w:rsidR="00BC6DAF" w:rsidRPr="00CD2F2B" w14:paraId="3423D829" w14:textId="77777777" w:rsidTr="00CE2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1" w:type="dxa"/>
            <w:gridSpan w:val="3"/>
          </w:tcPr>
          <w:p w14:paraId="14CE879D" w14:textId="77777777" w:rsidR="00BC6DAF" w:rsidRPr="00CD2F2B" w:rsidRDefault="00BC6DAF" w:rsidP="00BC6DAF">
            <w:pPr>
              <w:spacing w:after="60" w:line="240" w:lineRule="auto"/>
            </w:pPr>
            <w:r w:rsidRPr="00CD2F2B">
              <w:t>TOTAL</w:t>
            </w:r>
          </w:p>
        </w:tc>
        <w:tc>
          <w:tcPr>
            <w:tcW w:w="1417" w:type="dxa"/>
          </w:tcPr>
          <w:p w14:paraId="523547D5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$ 58,100,000</w:t>
            </w:r>
          </w:p>
        </w:tc>
        <w:tc>
          <w:tcPr>
            <w:tcW w:w="1331" w:type="dxa"/>
          </w:tcPr>
          <w:p w14:paraId="6111A040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CD2F2B">
              <w:t>$ 6,300,000</w:t>
            </w:r>
          </w:p>
        </w:tc>
        <w:tc>
          <w:tcPr>
            <w:tcW w:w="1449" w:type="dxa"/>
          </w:tcPr>
          <w:p w14:paraId="7C3DAA56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CD2F2B">
              <w:t>$ 5,200,000</w:t>
            </w:r>
          </w:p>
        </w:tc>
        <w:tc>
          <w:tcPr>
            <w:tcW w:w="1458" w:type="dxa"/>
          </w:tcPr>
          <w:p w14:paraId="64BCA571" w14:textId="77777777" w:rsidR="00BC6DAF" w:rsidRPr="00CD2F2B" w:rsidRDefault="00BC6DAF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CD2F2B">
              <w:t>$ 6,000,000</w:t>
            </w:r>
          </w:p>
        </w:tc>
      </w:tr>
      <w:tr w:rsidR="00BC6DAF" w:rsidRPr="00CD2F2B" w14:paraId="5F748EF8" w14:textId="77777777" w:rsidTr="00CE297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1" w:type="dxa"/>
            <w:gridSpan w:val="3"/>
          </w:tcPr>
          <w:p w14:paraId="5E287D40" w14:textId="77777777" w:rsidR="00BC6DAF" w:rsidRPr="00CD2F2B" w:rsidRDefault="00BC6DAF" w:rsidP="00BC6DAF">
            <w:pPr>
              <w:spacing w:after="60" w:line="240" w:lineRule="auto"/>
            </w:pPr>
            <w:r>
              <w:t>GRAND TOTAL</w:t>
            </w:r>
          </w:p>
        </w:tc>
        <w:tc>
          <w:tcPr>
            <w:tcW w:w="5655" w:type="dxa"/>
            <w:gridSpan w:val="4"/>
          </w:tcPr>
          <w:p w14:paraId="5259F0B7" w14:textId="77777777" w:rsidR="00BC6DAF" w:rsidRPr="00CD2F2B" w:rsidRDefault="00BC6DAF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59D118" w14:textId="77777777" w:rsidR="00BC6DAF" w:rsidRDefault="00BC6DAF" w:rsidP="00BC6DAF">
      <w:r w:rsidRPr="00524225">
        <w:t xml:space="preserve">Co-financing is secured in the amount of USD </w:t>
      </w:r>
      <w:r>
        <w:t>17,5</w:t>
      </w:r>
      <w:r w:rsidRPr="00524225">
        <w:t xml:space="preserve"> M</w:t>
      </w:r>
      <w:r>
        <w:t>$</w:t>
      </w:r>
      <w:r w:rsidRPr="00524225">
        <w:t>, as followed:</w:t>
      </w:r>
      <w:r>
        <w:t xml:space="preserve"> </w:t>
      </w:r>
      <w:r w:rsidRPr="00524225">
        <w:t>AFD:</w:t>
      </w:r>
      <w:r>
        <w:t xml:space="preserve"> 6,3 M$, </w:t>
      </w:r>
      <w:r w:rsidRPr="00524225">
        <w:t>EU:</w:t>
      </w:r>
      <w:r>
        <w:t xml:space="preserve"> 5,2 M$ and beneficiary governments: 6 M$</w:t>
      </w:r>
    </w:p>
    <w:p w14:paraId="01B74077" w14:textId="77777777" w:rsidR="00BC6DAF" w:rsidRPr="00D92F5D" w:rsidRDefault="00BC6DAF" w:rsidP="00BC6DAF">
      <w:pPr>
        <w:sectPr w:rsidR="00BC6DAF" w:rsidRPr="00D92F5D" w:rsidSect="00BC6DAF">
          <w:headerReference w:type="default" r:id="rId10"/>
          <w:pgSz w:w="16840" w:h="11900" w:orient="landscape"/>
          <w:pgMar w:top="1440" w:right="1440" w:bottom="993" w:left="1418" w:header="720" w:footer="720" w:gutter="0"/>
          <w:cols w:space="720"/>
          <w:docGrid w:linePitch="360"/>
        </w:sectPr>
      </w:pPr>
    </w:p>
    <w:p w14:paraId="6A93F625" w14:textId="4C1CCA0A" w:rsidR="00CA2376" w:rsidRPr="00D2326F" w:rsidRDefault="00CA2376" w:rsidP="00BC6DAF">
      <w:pPr>
        <w:ind w:left="-567"/>
        <w:rPr>
          <w:sz w:val="24"/>
          <w:lang w:val="fr-FR"/>
        </w:rPr>
      </w:pPr>
      <w:r w:rsidRPr="00D2326F">
        <w:rPr>
          <w:sz w:val="24"/>
          <w:lang w:val="fr-FR"/>
        </w:rPr>
        <w:lastRenderedPageBreak/>
        <w:t xml:space="preserve">Traduction en français de la section </w:t>
      </w:r>
      <w:r w:rsidR="005610A4" w:rsidRPr="00D2326F">
        <w:rPr>
          <w:sz w:val="24"/>
          <w:lang w:val="fr-FR"/>
        </w:rPr>
        <w:t>5.4 Project Budget per Activité de l’Etude de Faisabilité</w:t>
      </w:r>
    </w:p>
    <w:p w14:paraId="4956CBBF" w14:textId="77777777" w:rsidR="00CA2376" w:rsidRPr="005610A4" w:rsidRDefault="005610A4" w:rsidP="00BC6DAF">
      <w:pPr>
        <w:pStyle w:val="Heading3"/>
        <w:numPr>
          <w:ilvl w:val="0"/>
          <w:numId w:val="0"/>
        </w:numPr>
        <w:ind w:left="720" w:hanging="1287"/>
        <w:rPr>
          <w:i w:val="0"/>
          <w:color w:val="007CA2"/>
          <w:sz w:val="32"/>
          <w:lang w:val="fr-FR"/>
        </w:rPr>
      </w:pPr>
      <w:bookmarkStart w:id="2" w:name="_Toc20753648"/>
      <w:r w:rsidRPr="005610A4">
        <w:rPr>
          <w:i w:val="0"/>
          <w:color w:val="007CA2"/>
          <w:sz w:val="32"/>
          <w:lang w:val="fr-FR"/>
        </w:rPr>
        <w:t xml:space="preserve">5.4 Budget projet ventile par </w:t>
      </w:r>
      <w:bookmarkEnd w:id="2"/>
      <w:r w:rsidRPr="005610A4">
        <w:rPr>
          <w:i w:val="0"/>
          <w:color w:val="007CA2"/>
          <w:sz w:val="32"/>
          <w:lang w:val="fr-FR"/>
        </w:rPr>
        <w:t>activité (tous pays conf</w:t>
      </w:r>
      <w:r>
        <w:rPr>
          <w:i w:val="0"/>
          <w:color w:val="007CA2"/>
          <w:sz w:val="32"/>
          <w:lang w:val="fr-FR"/>
        </w:rPr>
        <w:t>ondus, en US $)</w:t>
      </w:r>
    </w:p>
    <w:tbl>
      <w:tblPr>
        <w:tblStyle w:val="GridTable4-Accent5"/>
        <w:tblW w:w="15126" w:type="dxa"/>
        <w:tblInd w:w="-545" w:type="dxa"/>
        <w:tblLook w:val="04A0" w:firstRow="1" w:lastRow="0" w:firstColumn="1" w:lastColumn="0" w:noHBand="0" w:noVBand="1"/>
      </w:tblPr>
      <w:tblGrid>
        <w:gridCol w:w="2032"/>
        <w:gridCol w:w="2233"/>
        <w:gridCol w:w="5049"/>
        <w:gridCol w:w="1398"/>
        <w:gridCol w:w="1310"/>
        <w:gridCol w:w="1417"/>
        <w:gridCol w:w="1687"/>
      </w:tblGrid>
      <w:tr w:rsidR="005610A4" w:rsidRPr="00CD2F2B" w14:paraId="1F6F83AE" w14:textId="77777777" w:rsidTr="00AE17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hideMark/>
          </w:tcPr>
          <w:p w14:paraId="21D34437" w14:textId="77777777" w:rsidR="005610A4" w:rsidRPr="00CD2F2B" w:rsidRDefault="005610A4" w:rsidP="00BC6DAF">
            <w:pPr>
              <w:pStyle w:val="NoSpacing"/>
              <w:spacing w:after="60"/>
            </w:pPr>
            <w:r w:rsidRPr="00CD2F2B">
              <w:t>Compo</w:t>
            </w:r>
            <w:r>
              <w:t>santes</w:t>
            </w:r>
          </w:p>
        </w:tc>
        <w:tc>
          <w:tcPr>
            <w:tcW w:w="2059" w:type="dxa"/>
            <w:hideMark/>
          </w:tcPr>
          <w:p w14:paraId="40ECC60D" w14:textId="77777777" w:rsidR="005610A4" w:rsidRPr="00CD2F2B" w:rsidRDefault="005610A4" w:rsidP="00BC6DAF">
            <w:pPr>
              <w:pStyle w:val="NoSpacing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Résultats</w:t>
            </w:r>
          </w:p>
        </w:tc>
        <w:tc>
          <w:tcPr>
            <w:tcW w:w="5342" w:type="dxa"/>
            <w:hideMark/>
          </w:tcPr>
          <w:p w14:paraId="5676B2EB" w14:textId="77777777" w:rsidR="005610A4" w:rsidRPr="00CD2F2B" w:rsidRDefault="005610A4" w:rsidP="00BC6DAF">
            <w:pPr>
              <w:pStyle w:val="NoSpacing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Activités</w:t>
            </w:r>
          </w:p>
        </w:tc>
        <w:tc>
          <w:tcPr>
            <w:tcW w:w="1417" w:type="dxa"/>
            <w:hideMark/>
          </w:tcPr>
          <w:p w14:paraId="22BAC52D" w14:textId="77777777" w:rsidR="005610A4" w:rsidRPr="00CD2F2B" w:rsidRDefault="005610A4" w:rsidP="00BC6DAF">
            <w:pPr>
              <w:pStyle w:val="NoSpacing"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Fonds Vert Climat</w:t>
            </w:r>
          </w:p>
        </w:tc>
        <w:tc>
          <w:tcPr>
            <w:tcW w:w="1331" w:type="dxa"/>
            <w:hideMark/>
          </w:tcPr>
          <w:p w14:paraId="722B2716" w14:textId="77777777" w:rsidR="005610A4" w:rsidRPr="00CD2F2B" w:rsidRDefault="005610A4" w:rsidP="00BC6DAF">
            <w:pPr>
              <w:pStyle w:val="NoSpacing"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AFD</w:t>
            </w:r>
          </w:p>
        </w:tc>
        <w:tc>
          <w:tcPr>
            <w:tcW w:w="1449" w:type="dxa"/>
            <w:hideMark/>
          </w:tcPr>
          <w:p w14:paraId="7C876BBA" w14:textId="77777777" w:rsidR="005610A4" w:rsidRPr="00CD2F2B" w:rsidRDefault="005610A4" w:rsidP="00BC6DAF">
            <w:pPr>
              <w:pStyle w:val="NoSpacing"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EU</w:t>
            </w:r>
          </w:p>
        </w:tc>
        <w:tc>
          <w:tcPr>
            <w:tcW w:w="1458" w:type="dxa"/>
            <w:hideMark/>
          </w:tcPr>
          <w:p w14:paraId="723CBEC5" w14:textId="77777777" w:rsidR="005610A4" w:rsidRPr="00CD2F2B" w:rsidRDefault="005610A4" w:rsidP="00BC6DAF">
            <w:pPr>
              <w:pStyle w:val="NoSpacing"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Go</w:t>
            </w:r>
            <w:r>
              <w:t>u</w:t>
            </w:r>
            <w:r w:rsidRPr="00CD2F2B">
              <w:t>vern</w:t>
            </w:r>
            <w:r>
              <w:t>e</w:t>
            </w:r>
            <w:r w:rsidRPr="00CD2F2B">
              <w:t>ments</w:t>
            </w:r>
          </w:p>
        </w:tc>
      </w:tr>
      <w:tr w:rsidR="005610A4" w:rsidRPr="00CD2F2B" w14:paraId="4E1C7572" w14:textId="77777777" w:rsidTr="00AE1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 w:val="restart"/>
            <w:hideMark/>
          </w:tcPr>
          <w:p w14:paraId="141B6449" w14:textId="77777777" w:rsidR="005610A4" w:rsidRPr="005610A4" w:rsidRDefault="005610A4" w:rsidP="00BC6DAF">
            <w:pPr>
              <w:spacing w:after="60" w:line="240" w:lineRule="auto"/>
              <w:rPr>
                <w:b w:val="0"/>
                <w:bCs w:val="0"/>
              </w:rPr>
            </w:pPr>
            <w:r w:rsidRPr="005610A4">
              <w:t>1. Renforcement des capacités, développement institutionnel et coopération régionale</w:t>
            </w:r>
          </w:p>
        </w:tc>
        <w:tc>
          <w:tcPr>
            <w:tcW w:w="2059" w:type="dxa"/>
            <w:vMerge w:val="restart"/>
            <w:hideMark/>
          </w:tcPr>
          <w:p w14:paraId="79E2EF3A" w14:textId="77777777" w:rsidR="005610A4" w:rsidRPr="00CD2F2B" w:rsidRDefault="005610A4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10A4">
              <w:t>1.1 Création d'un centre climatique régional</w:t>
            </w:r>
            <w:r>
              <w:t xml:space="preserve"> (CCR)</w:t>
            </w:r>
          </w:p>
        </w:tc>
        <w:tc>
          <w:tcPr>
            <w:tcW w:w="5342" w:type="dxa"/>
            <w:hideMark/>
          </w:tcPr>
          <w:p w14:paraId="12007271" w14:textId="77777777" w:rsidR="005610A4" w:rsidRPr="005610A4" w:rsidRDefault="005610A4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10A4">
              <w:t>1.1.1 Conception du cadre institutionnel et organisationnel du CCR (responsabilités administratives et logistique</w:t>
            </w:r>
            <w:r>
              <w:t xml:space="preserve">s, </w:t>
            </w:r>
            <w:proofErr w:type="spellStart"/>
            <w:r>
              <w:t>etc</w:t>
            </w:r>
            <w:proofErr w:type="spellEnd"/>
            <w:r w:rsidRPr="005610A4">
              <w:t>).</w:t>
            </w:r>
          </w:p>
        </w:tc>
        <w:tc>
          <w:tcPr>
            <w:tcW w:w="1417" w:type="dxa"/>
            <w:hideMark/>
          </w:tcPr>
          <w:p w14:paraId="363321F5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$ 300,000</w:t>
            </w:r>
          </w:p>
        </w:tc>
        <w:tc>
          <w:tcPr>
            <w:tcW w:w="1331" w:type="dxa"/>
            <w:hideMark/>
          </w:tcPr>
          <w:p w14:paraId="62AA83BA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428C5A9A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1D7C8C3B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10A4" w:rsidRPr="00CD2F2B" w14:paraId="7C958407" w14:textId="77777777" w:rsidTr="00AE17D0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34D2713A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084E9D9C" w14:textId="77777777" w:rsidR="005610A4" w:rsidRPr="00CD2F2B" w:rsidRDefault="005610A4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4B010D7D" w14:textId="77777777" w:rsidR="005610A4" w:rsidRPr="005610A4" w:rsidRDefault="005610A4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10A4">
              <w:t xml:space="preserve">1.1.2 </w:t>
            </w:r>
            <w:r>
              <w:t>Élaboration d’</w:t>
            </w:r>
            <w:r w:rsidRPr="005610A4">
              <w:t>une stratégie régionale des services climatiques pour le CCR</w:t>
            </w:r>
          </w:p>
        </w:tc>
        <w:tc>
          <w:tcPr>
            <w:tcW w:w="1417" w:type="dxa"/>
            <w:hideMark/>
          </w:tcPr>
          <w:p w14:paraId="026F4782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$ 300,000</w:t>
            </w:r>
          </w:p>
        </w:tc>
        <w:tc>
          <w:tcPr>
            <w:tcW w:w="1331" w:type="dxa"/>
            <w:hideMark/>
          </w:tcPr>
          <w:p w14:paraId="02170A91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48FD02F7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2D67A79A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0A4" w:rsidRPr="00CD2F2B" w14:paraId="17C6DD32" w14:textId="77777777" w:rsidTr="00AE1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0EF6EC85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31DC540D" w14:textId="77777777" w:rsidR="005610A4" w:rsidRPr="00CD2F2B" w:rsidRDefault="005610A4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6C91573A" w14:textId="77777777" w:rsidR="005610A4" w:rsidRPr="005610A4" w:rsidRDefault="005610A4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10A4">
              <w:t>1.1.3 Conception</w:t>
            </w:r>
            <w:r>
              <w:t xml:space="preserve"> du</w:t>
            </w:r>
            <w:r w:rsidRPr="005610A4">
              <w:t xml:space="preserve"> laboratoire régional pour l'entretien et l'étalonnage annuel de l'équipement (à établir aux Seychelles) et les stratégies du laboratoire régional de formation (à Maurice) </w:t>
            </w:r>
            <w:r w:rsidRPr="007A4566">
              <w:rPr>
                <w:i/>
              </w:rPr>
              <w:t>(</w:t>
            </w:r>
            <w:r w:rsidR="007A4566" w:rsidRPr="007A4566">
              <w:rPr>
                <w:i/>
              </w:rPr>
              <w:t xml:space="preserve">la </w:t>
            </w:r>
            <w:r w:rsidRPr="007A4566">
              <w:rPr>
                <w:i/>
              </w:rPr>
              <w:t xml:space="preserve">mise en œuvre </w:t>
            </w:r>
            <w:r w:rsidR="007A4566" w:rsidRPr="007A4566">
              <w:rPr>
                <w:i/>
              </w:rPr>
              <w:t>de ces centres rentre sous la composante 2</w:t>
            </w:r>
            <w:r w:rsidRPr="007A4566">
              <w:rPr>
                <w:i/>
              </w:rPr>
              <w:t>).</w:t>
            </w:r>
          </w:p>
        </w:tc>
        <w:tc>
          <w:tcPr>
            <w:tcW w:w="1417" w:type="dxa"/>
            <w:hideMark/>
          </w:tcPr>
          <w:p w14:paraId="1ECC4A7A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$ 100,000</w:t>
            </w:r>
          </w:p>
        </w:tc>
        <w:tc>
          <w:tcPr>
            <w:tcW w:w="1331" w:type="dxa"/>
            <w:hideMark/>
          </w:tcPr>
          <w:p w14:paraId="1E51EE48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482F1054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50924DFE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10A4" w:rsidRPr="00CD2F2B" w14:paraId="252A27A3" w14:textId="77777777" w:rsidTr="00AE17D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43208B6D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52919A48" w14:textId="77777777" w:rsidR="005610A4" w:rsidRPr="00CD2F2B" w:rsidRDefault="005610A4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36D89326" w14:textId="77777777" w:rsidR="005610A4" w:rsidRPr="007A4566" w:rsidRDefault="007A4566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1.1.4 Préparation de la</w:t>
            </w:r>
            <w:r w:rsidRPr="007A4566">
              <w:t xml:space="preserve"> stratégie pour améliorer les prévisions météorologiques numériques régionales</w:t>
            </w:r>
          </w:p>
        </w:tc>
        <w:tc>
          <w:tcPr>
            <w:tcW w:w="1417" w:type="dxa"/>
            <w:hideMark/>
          </w:tcPr>
          <w:p w14:paraId="2D91EE39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$ 150,000</w:t>
            </w:r>
          </w:p>
        </w:tc>
        <w:tc>
          <w:tcPr>
            <w:tcW w:w="1331" w:type="dxa"/>
            <w:hideMark/>
          </w:tcPr>
          <w:p w14:paraId="526CDD3E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357079E0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370064DC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0A4" w:rsidRPr="00CD2F2B" w14:paraId="6A8FC6C4" w14:textId="77777777" w:rsidTr="00AE1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5D3F5847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622A813E" w14:textId="77777777" w:rsidR="005610A4" w:rsidRPr="00CD2F2B" w:rsidRDefault="005610A4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13AD257B" w14:textId="77777777" w:rsidR="005610A4" w:rsidRPr="007A4566" w:rsidRDefault="007A4566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566">
              <w:t>1.1.5 Conception de la stratégie de communication pour diffuser l'information pertinente sur la plate-forme d'interface utilisateur régionale (UIP) liée au RCC.</w:t>
            </w:r>
          </w:p>
        </w:tc>
        <w:tc>
          <w:tcPr>
            <w:tcW w:w="1417" w:type="dxa"/>
            <w:hideMark/>
          </w:tcPr>
          <w:p w14:paraId="7483A01E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$ 150,000</w:t>
            </w:r>
          </w:p>
        </w:tc>
        <w:tc>
          <w:tcPr>
            <w:tcW w:w="1331" w:type="dxa"/>
            <w:hideMark/>
          </w:tcPr>
          <w:p w14:paraId="78A2A731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12F4EC3A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5917366D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10A4" w:rsidRPr="00CD2F2B" w14:paraId="4B7593DB" w14:textId="77777777" w:rsidTr="00AE17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28C93EDF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 w:val="restart"/>
            <w:hideMark/>
          </w:tcPr>
          <w:p w14:paraId="4B7DB98B" w14:textId="77777777" w:rsidR="005610A4" w:rsidRPr="007A4566" w:rsidRDefault="007A4566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566">
              <w:t xml:space="preserve">1.2 Amélioration de la dotation en personnel du </w:t>
            </w:r>
            <w:r>
              <w:t>RCC</w:t>
            </w:r>
            <w:r w:rsidRPr="007A4566">
              <w:t xml:space="preserve"> et des services</w:t>
            </w:r>
            <w:r>
              <w:t xml:space="preserve"> </w:t>
            </w:r>
            <w:proofErr w:type="spellStart"/>
            <w:r>
              <w:t>meteo</w:t>
            </w:r>
            <w:proofErr w:type="spellEnd"/>
            <w:r w:rsidRPr="007A4566">
              <w:t xml:space="preserve"> nationaux </w:t>
            </w:r>
          </w:p>
        </w:tc>
        <w:tc>
          <w:tcPr>
            <w:tcW w:w="5342" w:type="dxa"/>
            <w:hideMark/>
          </w:tcPr>
          <w:p w14:paraId="3143DCBE" w14:textId="77777777" w:rsidR="005610A4" w:rsidRPr="00CD2F2B" w:rsidRDefault="005610A4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 xml:space="preserve">1.2.1 </w:t>
            </w:r>
            <w:r w:rsidR="007A4566">
              <w:t>Formation des nouveaux recrutes</w:t>
            </w:r>
            <w:r w:rsidRPr="00CD2F2B">
              <w:t xml:space="preserve"> </w:t>
            </w:r>
          </w:p>
        </w:tc>
        <w:tc>
          <w:tcPr>
            <w:tcW w:w="1417" w:type="dxa"/>
            <w:hideMark/>
          </w:tcPr>
          <w:p w14:paraId="1378374C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$ 3,600,000</w:t>
            </w:r>
          </w:p>
        </w:tc>
        <w:tc>
          <w:tcPr>
            <w:tcW w:w="1331" w:type="dxa"/>
            <w:hideMark/>
          </w:tcPr>
          <w:p w14:paraId="05EE2306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1BC24A70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07AE7971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0A4" w:rsidRPr="00CD2F2B" w14:paraId="7EA3B378" w14:textId="77777777" w:rsidTr="00AE1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78B60E0C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7B45EC39" w14:textId="77777777" w:rsidR="005610A4" w:rsidRPr="00CD2F2B" w:rsidRDefault="005610A4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44844F4D" w14:textId="77777777" w:rsidR="005610A4" w:rsidRPr="007A4566" w:rsidRDefault="007A4566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566">
              <w:t>1.2.2 Mise à jour la formation du personnel en place</w:t>
            </w:r>
          </w:p>
        </w:tc>
        <w:tc>
          <w:tcPr>
            <w:tcW w:w="1417" w:type="dxa"/>
            <w:hideMark/>
          </w:tcPr>
          <w:p w14:paraId="22E31BE9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$ 2,400,000</w:t>
            </w:r>
          </w:p>
        </w:tc>
        <w:tc>
          <w:tcPr>
            <w:tcW w:w="1331" w:type="dxa"/>
            <w:hideMark/>
          </w:tcPr>
          <w:p w14:paraId="7DB27270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41DD26C0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5C247B86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10A4" w:rsidRPr="00CD2F2B" w14:paraId="5ECA2030" w14:textId="77777777" w:rsidTr="00AE17D0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69290318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 w:val="restart"/>
            <w:hideMark/>
          </w:tcPr>
          <w:p w14:paraId="65689D56" w14:textId="77777777" w:rsidR="005610A4" w:rsidRPr="007A4566" w:rsidRDefault="007A4566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566">
              <w:t>1.3 Renforcement des arrangements institutionnels et de la stratégie opérationnelle des services nationaux réunis</w:t>
            </w:r>
          </w:p>
        </w:tc>
        <w:tc>
          <w:tcPr>
            <w:tcW w:w="5342" w:type="dxa"/>
            <w:hideMark/>
          </w:tcPr>
          <w:p w14:paraId="7968E27A" w14:textId="77777777" w:rsidR="005610A4" w:rsidRPr="007A4566" w:rsidRDefault="007A4566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566">
              <w:t xml:space="preserve">1.3.1 Élaborer et mettre en œuvre un plan visant à renforcer le cadre institutionnel des </w:t>
            </w:r>
            <w:r>
              <w:t>SNHM</w:t>
            </w:r>
          </w:p>
        </w:tc>
        <w:tc>
          <w:tcPr>
            <w:tcW w:w="1417" w:type="dxa"/>
            <w:hideMark/>
          </w:tcPr>
          <w:p w14:paraId="47C55449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$ 300,000</w:t>
            </w:r>
          </w:p>
        </w:tc>
        <w:tc>
          <w:tcPr>
            <w:tcW w:w="1331" w:type="dxa"/>
            <w:hideMark/>
          </w:tcPr>
          <w:p w14:paraId="783F58FF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31461EBB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6A15BB95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0A4" w:rsidRPr="00CD2F2B" w14:paraId="4C0BAD11" w14:textId="77777777" w:rsidTr="00AE1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0B41C235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74C42CE3" w14:textId="77777777" w:rsidR="005610A4" w:rsidRPr="00CD2F2B" w:rsidRDefault="005610A4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24FB052A" w14:textId="77777777" w:rsidR="005610A4" w:rsidRPr="007A4566" w:rsidRDefault="007A4566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566">
              <w:t xml:space="preserve">1.3.2 Élaborer un plan d'activités pour chaque </w:t>
            </w:r>
            <w:r>
              <w:t>SNHM</w:t>
            </w:r>
          </w:p>
        </w:tc>
        <w:tc>
          <w:tcPr>
            <w:tcW w:w="1417" w:type="dxa"/>
            <w:hideMark/>
          </w:tcPr>
          <w:p w14:paraId="4D01EA1C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$ 200,000</w:t>
            </w:r>
          </w:p>
        </w:tc>
        <w:tc>
          <w:tcPr>
            <w:tcW w:w="1331" w:type="dxa"/>
            <w:hideMark/>
          </w:tcPr>
          <w:p w14:paraId="5D7F0372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6CB40CFF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526371A5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10A4" w:rsidRPr="00CD2F2B" w14:paraId="12751BF6" w14:textId="77777777" w:rsidTr="00AE17D0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76FB551E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22FD47FA" w14:textId="77777777" w:rsidR="005610A4" w:rsidRPr="00CD2F2B" w:rsidRDefault="005610A4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69BF00D5" w14:textId="77777777" w:rsidR="005610A4" w:rsidRPr="007A4566" w:rsidRDefault="007A4566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566">
              <w:t>1.3.3 Concevoir le plan de soutien à la transition</w:t>
            </w:r>
          </w:p>
        </w:tc>
        <w:tc>
          <w:tcPr>
            <w:tcW w:w="1417" w:type="dxa"/>
            <w:hideMark/>
          </w:tcPr>
          <w:p w14:paraId="5F8FE25D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$ 200,000</w:t>
            </w:r>
          </w:p>
        </w:tc>
        <w:tc>
          <w:tcPr>
            <w:tcW w:w="1331" w:type="dxa"/>
            <w:hideMark/>
          </w:tcPr>
          <w:p w14:paraId="2DEBF4B6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5017A54F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362DB492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0A4" w:rsidRPr="00CD2F2B" w14:paraId="2773DD2F" w14:textId="77777777" w:rsidTr="00AE1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31BE5474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6DBAC6CC" w14:textId="77777777" w:rsidR="005610A4" w:rsidRPr="00CD2F2B" w:rsidRDefault="005610A4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31696617" w14:textId="77777777" w:rsidR="005610A4" w:rsidRPr="007A4566" w:rsidRDefault="007A4566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566">
              <w:t>1.3.4 Élaborer et</w:t>
            </w:r>
            <w:r>
              <w:t xml:space="preserve"> appuyer la mise en œuvre de lu Cadre National sur les Services Climatologiques (NFCS)</w:t>
            </w:r>
          </w:p>
        </w:tc>
        <w:tc>
          <w:tcPr>
            <w:tcW w:w="1417" w:type="dxa"/>
            <w:hideMark/>
          </w:tcPr>
          <w:p w14:paraId="337E3C13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$ 400,000</w:t>
            </w:r>
          </w:p>
        </w:tc>
        <w:tc>
          <w:tcPr>
            <w:tcW w:w="1331" w:type="dxa"/>
            <w:hideMark/>
          </w:tcPr>
          <w:p w14:paraId="0CD375D4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275C0016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0F7C1D11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10A4" w:rsidRPr="00CD2F2B" w14:paraId="7DA5D20E" w14:textId="77777777" w:rsidTr="00AE17D0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22F91CE8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 w:val="restart"/>
            <w:hideMark/>
          </w:tcPr>
          <w:p w14:paraId="49D6B909" w14:textId="77777777" w:rsidR="005610A4" w:rsidRPr="007A4566" w:rsidRDefault="007A4566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566">
              <w:t>1.4 Conception détaillée, spécifications techniques, intégration du système et processus d'appel d'offres des activités du projet</w:t>
            </w:r>
          </w:p>
        </w:tc>
        <w:tc>
          <w:tcPr>
            <w:tcW w:w="5342" w:type="dxa"/>
            <w:hideMark/>
          </w:tcPr>
          <w:p w14:paraId="4D85766B" w14:textId="77777777" w:rsidR="005610A4" w:rsidRPr="007A4566" w:rsidRDefault="007A4566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566">
              <w:t xml:space="preserve">1.4.1. Produire une conception détaillée et intégration du système pour chaque service </w:t>
            </w:r>
            <w:proofErr w:type="spellStart"/>
            <w:r>
              <w:t>meteo</w:t>
            </w:r>
            <w:proofErr w:type="spellEnd"/>
          </w:p>
        </w:tc>
        <w:tc>
          <w:tcPr>
            <w:tcW w:w="1417" w:type="dxa"/>
            <w:hideMark/>
          </w:tcPr>
          <w:p w14:paraId="141CD325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331" w:type="dxa"/>
            <w:hideMark/>
          </w:tcPr>
          <w:p w14:paraId="30DCF7FA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2821FAE1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3AA24109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0A4" w:rsidRPr="00CD2F2B" w14:paraId="5DC84806" w14:textId="77777777" w:rsidTr="00AE1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5D78507B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6BB46003" w14:textId="77777777" w:rsidR="005610A4" w:rsidRPr="00CD2F2B" w:rsidRDefault="005610A4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01D4516C" w14:textId="77777777" w:rsidR="005610A4" w:rsidRPr="007A4566" w:rsidRDefault="007A4566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566">
              <w:t xml:space="preserve">1.4.2 Mise en </w:t>
            </w:r>
            <w:proofErr w:type="spellStart"/>
            <w:r w:rsidRPr="007A4566">
              <w:t>oeuvre</w:t>
            </w:r>
            <w:proofErr w:type="spellEnd"/>
            <w:r w:rsidRPr="007A4566">
              <w:t xml:space="preserve"> </w:t>
            </w:r>
            <w:r>
              <w:t>de l’approche « </w:t>
            </w:r>
            <w:r w:rsidRPr="007A4566">
              <w:t>systèmes</w:t>
            </w:r>
            <w:r>
              <w:t xml:space="preserve"> » et intégration </w:t>
            </w:r>
            <w:r w:rsidRPr="007A4566">
              <w:t xml:space="preserve">de la production </w:t>
            </w:r>
            <w:proofErr w:type="spellStart"/>
            <w:r>
              <w:t>hdyromet</w:t>
            </w:r>
            <w:proofErr w:type="spellEnd"/>
            <w:r>
              <w:t xml:space="preserve"> avec l</w:t>
            </w:r>
            <w:r w:rsidRPr="007A4566">
              <w:t xml:space="preserve">es </w:t>
            </w:r>
            <w:r>
              <w:t>usagers</w:t>
            </w:r>
            <w:r w:rsidRPr="007A4566">
              <w:t xml:space="preserve"> finaux </w:t>
            </w:r>
            <w:proofErr w:type="gramStart"/>
            <w:r>
              <w:t>(</w:t>
            </w:r>
            <w:r w:rsidRPr="007A4566">
              <w:t xml:space="preserve"> chaîne</w:t>
            </w:r>
            <w:proofErr w:type="gramEnd"/>
            <w:r w:rsidRPr="007A4566">
              <w:t xml:space="preserve"> de valeur des services climat</w:t>
            </w:r>
            <w:r>
              <w:t>ologiques</w:t>
            </w:r>
            <w:r w:rsidRPr="007A4566">
              <w:t xml:space="preserve"> et d'alerte</w:t>
            </w:r>
            <w:r>
              <w:t>)</w:t>
            </w:r>
          </w:p>
        </w:tc>
        <w:tc>
          <w:tcPr>
            <w:tcW w:w="1417" w:type="dxa"/>
            <w:hideMark/>
          </w:tcPr>
          <w:p w14:paraId="4944594D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$ 2,000,000</w:t>
            </w:r>
          </w:p>
        </w:tc>
        <w:tc>
          <w:tcPr>
            <w:tcW w:w="1331" w:type="dxa"/>
            <w:hideMark/>
          </w:tcPr>
          <w:p w14:paraId="5E22BA3C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-</w:t>
            </w:r>
          </w:p>
        </w:tc>
        <w:tc>
          <w:tcPr>
            <w:tcW w:w="1449" w:type="dxa"/>
            <w:hideMark/>
          </w:tcPr>
          <w:p w14:paraId="754F89C7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-</w:t>
            </w:r>
          </w:p>
        </w:tc>
        <w:tc>
          <w:tcPr>
            <w:tcW w:w="1458" w:type="dxa"/>
            <w:hideMark/>
          </w:tcPr>
          <w:p w14:paraId="07658C69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-</w:t>
            </w:r>
          </w:p>
        </w:tc>
      </w:tr>
      <w:tr w:rsidR="005610A4" w:rsidRPr="00CD2F2B" w14:paraId="62AF4512" w14:textId="77777777" w:rsidTr="00AE17D0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 w:val="restart"/>
            <w:hideMark/>
          </w:tcPr>
          <w:p w14:paraId="677FEAA4" w14:textId="77777777" w:rsidR="005610A4" w:rsidRPr="007A4566" w:rsidRDefault="007A4566" w:rsidP="00BC6DAF">
            <w:pPr>
              <w:spacing w:after="60" w:line="240" w:lineRule="auto"/>
              <w:rPr>
                <w:b w:val="0"/>
                <w:bCs w:val="0"/>
              </w:rPr>
            </w:pPr>
            <w:r w:rsidRPr="007A4566">
              <w:t>2. Amélioration de la surveillance, de l'analyse des risques et des prévisions</w:t>
            </w:r>
          </w:p>
        </w:tc>
        <w:tc>
          <w:tcPr>
            <w:tcW w:w="2059" w:type="dxa"/>
            <w:vMerge w:val="restart"/>
            <w:hideMark/>
          </w:tcPr>
          <w:p w14:paraId="315974F7" w14:textId="77777777" w:rsidR="005610A4" w:rsidRPr="007A4566" w:rsidRDefault="007A4566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566">
              <w:t>2.1 Amélioration des services d'observation hydrométéorologique, de surveillance et de prévision des impacts</w:t>
            </w:r>
          </w:p>
        </w:tc>
        <w:tc>
          <w:tcPr>
            <w:tcW w:w="5342" w:type="dxa"/>
            <w:hideMark/>
          </w:tcPr>
          <w:p w14:paraId="4FE8E3F9" w14:textId="77777777" w:rsidR="005610A4" w:rsidRPr="007A4566" w:rsidRDefault="007A4566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566">
              <w:t xml:space="preserve">2.1.1 Moderniser/améliorer le réseau d'observation et de surveillance du climat  </w:t>
            </w:r>
          </w:p>
        </w:tc>
        <w:tc>
          <w:tcPr>
            <w:tcW w:w="1417" w:type="dxa"/>
            <w:hideMark/>
          </w:tcPr>
          <w:p w14:paraId="347EA2CC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$ 16,000,000</w:t>
            </w:r>
          </w:p>
        </w:tc>
        <w:tc>
          <w:tcPr>
            <w:tcW w:w="1331" w:type="dxa"/>
            <w:hideMark/>
          </w:tcPr>
          <w:p w14:paraId="79382FB1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$ 3,000,000</w:t>
            </w:r>
          </w:p>
        </w:tc>
        <w:tc>
          <w:tcPr>
            <w:tcW w:w="1449" w:type="dxa"/>
            <w:hideMark/>
          </w:tcPr>
          <w:p w14:paraId="7B8A935B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0E440638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$ 2,000,000</w:t>
            </w:r>
          </w:p>
        </w:tc>
      </w:tr>
      <w:tr w:rsidR="005610A4" w:rsidRPr="00CD2F2B" w14:paraId="708EC6D3" w14:textId="77777777" w:rsidTr="00AE1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78F99C40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1AEC45DA" w14:textId="77777777" w:rsidR="005610A4" w:rsidRPr="00CD2F2B" w:rsidRDefault="005610A4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754086BF" w14:textId="77777777" w:rsidR="005610A4" w:rsidRPr="007A4566" w:rsidRDefault="007A4566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566">
              <w:t>2.1.2 Moderniser/mettre à niveau le système d'information sur les télécommunications, les prévisions et la climatologie</w:t>
            </w:r>
          </w:p>
        </w:tc>
        <w:tc>
          <w:tcPr>
            <w:tcW w:w="1417" w:type="dxa"/>
            <w:hideMark/>
          </w:tcPr>
          <w:p w14:paraId="477E4353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$ 17,000,000</w:t>
            </w:r>
          </w:p>
        </w:tc>
        <w:tc>
          <w:tcPr>
            <w:tcW w:w="1331" w:type="dxa"/>
            <w:hideMark/>
          </w:tcPr>
          <w:p w14:paraId="51E99D65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$ 2,000,000</w:t>
            </w:r>
          </w:p>
        </w:tc>
        <w:tc>
          <w:tcPr>
            <w:tcW w:w="1449" w:type="dxa"/>
            <w:hideMark/>
          </w:tcPr>
          <w:p w14:paraId="0A480828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58" w:type="dxa"/>
            <w:hideMark/>
          </w:tcPr>
          <w:p w14:paraId="086D9F8E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10A4" w:rsidRPr="00CD2F2B" w14:paraId="4C93E331" w14:textId="77777777" w:rsidTr="00AE17D0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306E8E5B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 w:val="restart"/>
            <w:hideMark/>
          </w:tcPr>
          <w:p w14:paraId="1C57FCB9" w14:textId="77777777" w:rsidR="005610A4" w:rsidRPr="007A4566" w:rsidRDefault="007A4566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566">
              <w:t>2.2 Mise en place d'installations régionales pour l'entretien et la formation</w:t>
            </w:r>
          </w:p>
        </w:tc>
        <w:tc>
          <w:tcPr>
            <w:tcW w:w="5342" w:type="dxa"/>
            <w:hideMark/>
          </w:tcPr>
          <w:p w14:paraId="7686F981" w14:textId="77777777" w:rsidR="005610A4" w:rsidRPr="00CD2F2B" w:rsidRDefault="007A4566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566">
              <w:t>2.2.1 Établir un laboratoire d'entretien aux Seychelles</w:t>
            </w:r>
          </w:p>
        </w:tc>
        <w:tc>
          <w:tcPr>
            <w:tcW w:w="1417" w:type="dxa"/>
            <w:hideMark/>
          </w:tcPr>
          <w:p w14:paraId="331EC1D3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1" w:type="dxa"/>
            <w:hideMark/>
          </w:tcPr>
          <w:p w14:paraId="3DFE8E26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$ 800,000</w:t>
            </w:r>
          </w:p>
        </w:tc>
        <w:tc>
          <w:tcPr>
            <w:tcW w:w="1449" w:type="dxa"/>
            <w:hideMark/>
          </w:tcPr>
          <w:p w14:paraId="69A0211E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3F236985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0A4" w:rsidRPr="00CD2F2B" w14:paraId="09D1478C" w14:textId="77777777" w:rsidTr="00AE1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607F9A67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1A5345D3" w14:textId="77777777" w:rsidR="005610A4" w:rsidRPr="00CD2F2B" w:rsidRDefault="005610A4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07AA726B" w14:textId="77777777" w:rsidR="005610A4" w:rsidRPr="007A4566" w:rsidRDefault="007A4566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566">
              <w:t>2.2.2 Rénover le centre régional de formation de Maurice pour former des observateurs et des prévisionnistes</w:t>
            </w:r>
          </w:p>
        </w:tc>
        <w:tc>
          <w:tcPr>
            <w:tcW w:w="1417" w:type="dxa"/>
            <w:hideMark/>
          </w:tcPr>
          <w:p w14:paraId="30F42047" w14:textId="77777777" w:rsidR="005610A4" w:rsidRPr="007A4566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  <w:hideMark/>
          </w:tcPr>
          <w:p w14:paraId="2087207B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49" w:type="dxa"/>
            <w:hideMark/>
          </w:tcPr>
          <w:p w14:paraId="7AF5DC9B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451D22EA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10A4" w:rsidRPr="00CD2F2B" w14:paraId="503F799E" w14:textId="77777777" w:rsidTr="00AE17D0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3CB285D9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 w:val="restart"/>
            <w:hideMark/>
          </w:tcPr>
          <w:p w14:paraId="27C5B452" w14:textId="77777777" w:rsidR="005610A4" w:rsidRPr="007A4566" w:rsidRDefault="007A4566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566">
              <w:t>2.3 Renforcement des capacités de R</w:t>
            </w:r>
            <w:r>
              <w:t>&amp;</w:t>
            </w:r>
            <w:r w:rsidRPr="007A4566">
              <w:t>D pour améliorer la compréhension des risques climatiques et des risques de catastrophes sur les collectivités et les secteurs</w:t>
            </w:r>
          </w:p>
        </w:tc>
        <w:tc>
          <w:tcPr>
            <w:tcW w:w="5342" w:type="dxa"/>
            <w:hideMark/>
          </w:tcPr>
          <w:p w14:paraId="66A36323" w14:textId="77777777" w:rsidR="005610A4" w:rsidRPr="007A4566" w:rsidRDefault="007A4566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566">
              <w:t>2.3.1 Organiser des activités de formation et de R-D pour améliorer la capacité de modélisation météorologique et climatique et la modélisation hydraulique pour la prévision des inondations (c'est-à-dire la cartographie des zones exposées aux inondations et le modèle de propagation des inondations).</w:t>
            </w:r>
          </w:p>
        </w:tc>
        <w:tc>
          <w:tcPr>
            <w:tcW w:w="1417" w:type="dxa"/>
            <w:hideMark/>
          </w:tcPr>
          <w:p w14:paraId="251F1C25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$ 2,000,000</w:t>
            </w:r>
          </w:p>
        </w:tc>
        <w:tc>
          <w:tcPr>
            <w:tcW w:w="1331" w:type="dxa"/>
            <w:hideMark/>
          </w:tcPr>
          <w:p w14:paraId="35877688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28DB1700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780E1B6F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0A4" w:rsidRPr="00CD2F2B" w14:paraId="50EAB16A" w14:textId="77777777" w:rsidTr="00AE1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2E298BD3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0AE5E6F0" w14:textId="77777777" w:rsidR="005610A4" w:rsidRPr="00CD2F2B" w:rsidRDefault="005610A4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30D92B07" w14:textId="77777777" w:rsidR="005610A4" w:rsidRPr="007A4566" w:rsidRDefault="007A4566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566">
              <w:t>2.3.2 Élaborer des cartes des risques liés au climat pour les principaux dangers, y compris les fortes pluies et les inondations (qui peuvent être liées aux cyclones), les ondes de tempête, les inondations marines et l'érosion côtière.</w:t>
            </w:r>
          </w:p>
        </w:tc>
        <w:tc>
          <w:tcPr>
            <w:tcW w:w="1417" w:type="dxa"/>
            <w:hideMark/>
          </w:tcPr>
          <w:p w14:paraId="16547AF8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331" w:type="dxa"/>
            <w:hideMark/>
          </w:tcPr>
          <w:p w14:paraId="41FE4440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528D2204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58" w:type="dxa"/>
            <w:hideMark/>
          </w:tcPr>
          <w:p w14:paraId="0B5EDA55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10A4" w:rsidRPr="00CD2F2B" w14:paraId="622B1504" w14:textId="77777777" w:rsidTr="00AE17D0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56A514BC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16195959" w14:textId="77777777" w:rsidR="005610A4" w:rsidRPr="00CD2F2B" w:rsidRDefault="005610A4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65857822" w14:textId="77777777" w:rsidR="005610A4" w:rsidRPr="007A4566" w:rsidRDefault="007A4566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566">
              <w:t>2.3.3.3 Élaborer des cartes de vulnérabilité aux risques climatiques fondées sur les cartes des aléas climatiques</w:t>
            </w:r>
          </w:p>
        </w:tc>
        <w:tc>
          <w:tcPr>
            <w:tcW w:w="1417" w:type="dxa"/>
            <w:hideMark/>
          </w:tcPr>
          <w:p w14:paraId="4C5E9129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331" w:type="dxa"/>
            <w:hideMark/>
          </w:tcPr>
          <w:p w14:paraId="62F39F72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3738B22E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58" w:type="dxa"/>
            <w:hideMark/>
          </w:tcPr>
          <w:p w14:paraId="1518596B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0A4" w:rsidRPr="00CD2F2B" w14:paraId="20561714" w14:textId="77777777" w:rsidTr="00AE1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 w:val="restart"/>
            <w:hideMark/>
          </w:tcPr>
          <w:p w14:paraId="29D22EAB" w14:textId="77777777" w:rsidR="005610A4" w:rsidRPr="007A4566" w:rsidRDefault="007A4566" w:rsidP="00BC6DAF">
            <w:pPr>
              <w:spacing w:after="60" w:line="240" w:lineRule="auto"/>
              <w:rPr>
                <w:b w:val="0"/>
                <w:bCs w:val="0"/>
              </w:rPr>
            </w:pPr>
            <w:r>
              <w:t>3. R</w:t>
            </w:r>
            <w:r w:rsidRPr="007A4566">
              <w:t>enforcement de la fourniture de services climatologiques et des systèmes d'alerte rapide aux niveaux national et régional</w:t>
            </w:r>
          </w:p>
        </w:tc>
        <w:tc>
          <w:tcPr>
            <w:tcW w:w="2059" w:type="dxa"/>
            <w:vMerge w:val="restart"/>
            <w:hideMark/>
          </w:tcPr>
          <w:p w14:paraId="7F552564" w14:textId="77777777" w:rsidR="005610A4" w:rsidRPr="007A4566" w:rsidRDefault="007A4566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566">
              <w:t>3.1 Amélioration des services climat</w:t>
            </w:r>
            <w:r>
              <w:t>olog</w:t>
            </w:r>
            <w:r w:rsidRPr="007A4566">
              <w:t>iques en fonction des besoins des u</w:t>
            </w:r>
            <w:r>
              <w:t>sagers</w:t>
            </w:r>
            <w:r w:rsidRPr="007A4566">
              <w:t xml:space="preserve"> finaux</w:t>
            </w:r>
          </w:p>
        </w:tc>
        <w:tc>
          <w:tcPr>
            <w:tcW w:w="5342" w:type="dxa"/>
            <w:hideMark/>
          </w:tcPr>
          <w:p w14:paraId="00887447" w14:textId="77777777" w:rsidR="005610A4" w:rsidRPr="001A582E" w:rsidRDefault="001A582E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82E">
              <w:t>3.1.1.1 Produire et/ou mettre</w:t>
            </w:r>
            <w:r>
              <w:t xml:space="preserve"> à jour des services climatologiques</w:t>
            </w:r>
            <w:r w:rsidRPr="001A582E">
              <w:t xml:space="preserve"> à long terme répondant aux besoins de chaque pays</w:t>
            </w:r>
          </w:p>
        </w:tc>
        <w:tc>
          <w:tcPr>
            <w:tcW w:w="1417" w:type="dxa"/>
            <w:hideMark/>
          </w:tcPr>
          <w:p w14:paraId="0DE18084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$ 1,000,000</w:t>
            </w:r>
          </w:p>
        </w:tc>
        <w:tc>
          <w:tcPr>
            <w:tcW w:w="1331" w:type="dxa"/>
            <w:hideMark/>
          </w:tcPr>
          <w:p w14:paraId="1F0C0EB0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2C9C46E6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58" w:type="dxa"/>
            <w:hideMark/>
          </w:tcPr>
          <w:p w14:paraId="0258B64B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10A4" w:rsidRPr="00CD2F2B" w14:paraId="1F901056" w14:textId="77777777" w:rsidTr="00AE17D0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21C02277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62F6E6F0" w14:textId="77777777" w:rsidR="005610A4" w:rsidRPr="00CD2F2B" w:rsidRDefault="005610A4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3506741F" w14:textId="77777777" w:rsidR="005610A4" w:rsidRPr="001A582E" w:rsidRDefault="001A582E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82E">
              <w:t xml:space="preserve">3.1.2 Améliorer l'intervention d'urgence en cas d'interventions sur le terrain (pendant ou après des </w:t>
            </w:r>
            <w:r>
              <w:t>aléas</w:t>
            </w:r>
            <w:r w:rsidRPr="001A582E">
              <w:t xml:space="preserve"> clés)</w:t>
            </w:r>
          </w:p>
        </w:tc>
        <w:tc>
          <w:tcPr>
            <w:tcW w:w="1417" w:type="dxa"/>
            <w:hideMark/>
          </w:tcPr>
          <w:p w14:paraId="53A18CD9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$ 1,000,000</w:t>
            </w:r>
          </w:p>
        </w:tc>
        <w:tc>
          <w:tcPr>
            <w:tcW w:w="1331" w:type="dxa"/>
            <w:hideMark/>
          </w:tcPr>
          <w:p w14:paraId="77A53486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17DCF4C4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58" w:type="dxa"/>
            <w:hideMark/>
          </w:tcPr>
          <w:p w14:paraId="12A6AEE4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0A4" w:rsidRPr="00CD2F2B" w14:paraId="3CF24714" w14:textId="77777777" w:rsidTr="00AE1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74CF6CDC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549027E9" w14:textId="77777777" w:rsidR="005610A4" w:rsidRPr="00CD2F2B" w:rsidRDefault="005610A4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3957F661" w14:textId="77777777" w:rsidR="005610A4" w:rsidRPr="00CD2F2B" w:rsidRDefault="001A582E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82E">
              <w:t>3.1.3 Élaborer des propositions de projet ou de financement</w:t>
            </w:r>
          </w:p>
        </w:tc>
        <w:tc>
          <w:tcPr>
            <w:tcW w:w="1417" w:type="dxa"/>
            <w:hideMark/>
          </w:tcPr>
          <w:p w14:paraId="7E93ADD1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$ 200,000</w:t>
            </w:r>
          </w:p>
        </w:tc>
        <w:tc>
          <w:tcPr>
            <w:tcW w:w="1331" w:type="dxa"/>
            <w:hideMark/>
          </w:tcPr>
          <w:p w14:paraId="02802F2E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0A9E9BC1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01C9FCC2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10A4" w:rsidRPr="00CD2F2B" w14:paraId="41A92825" w14:textId="77777777" w:rsidTr="00AE17D0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359DA616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 w:val="restart"/>
            <w:hideMark/>
          </w:tcPr>
          <w:p w14:paraId="7BF95914" w14:textId="77777777" w:rsidR="005610A4" w:rsidRPr="00CD2F2B" w:rsidRDefault="00DF6752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 Amélioration du mode de</w:t>
            </w:r>
            <w:r w:rsidR="007A4566" w:rsidRPr="007A4566">
              <w:t xml:space="preserve"> communication </w:t>
            </w:r>
            <w:r>
              <w:t>des services climatologiques</w:t>
            </w:r>
          </w:p>
        </w:tc>
        <w:tc>
          <w:tcPr>
            <w:tcW w:w="5342" w:type="dxa"/>
            <w:hideMark/>
          </w:tcPr>
          <w:p w14:paraId="27DB5239" w14:textId="77777777" w:rsidR="005610A4" w:rsidRPr="001A582E" w:rsidRDefault="001A582E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82E">
              <w:t xml:space="preserve">3.2.1 Former les producteurs de prévisions climatiques </w:t>
            </w:r>
            <w:r>
              <w:t>en matière de présentation</w:t>
            </w:r>
            <w:r w:rsidRPr="001A582E">
              <w:t xml:space="preserve"> l'information de manière </w:t>
            </w:r>
            <w:r>
              <w:t>interprétable (focus sur les impacts) par les usagers</w:t>
            </w:r>
          </w:p>
        </w:tc>
        <w:tc>
          <w:tcPr>
            <w:tcW w:w="1417" w:type="dxa"/>
            <w:hideMark/>
          </w:tcPr>
          <w:p w14:paraId="23EE1539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331" w:type="dxa"/>
            <w:hideMark/>
          </w:tcPr>
          <w:p w14:paraId="7FB0EE3D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41B0A5C0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58" w:type="dxa"/>
            <w:hideMark/>
          </w:tcPr>
          <w:p w14:paraId="30D39FE0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0A4" w:rsidRPr="00CD2F2B" w14:paraId="0716AEF7" w14:textId="77777777" w:rsidTr="00AE1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1175F022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7489EFE9" w14:textId="77777777" w:rsidR="005610A4" w:rsidRPr="00CD2F2B" w:rsidRDefault="005610A4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6AC5BA3F" w14:textId="77777777" w:rsidR="005610A4" w:rsidRPr="001A582E" w:rsidRDefault="001A582E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82E">
              <w:t>Renforcer la diffusion des alertes précoces auprès des secteurs clés et du grand public</w:t>
            </w:r>
          </w:p>
        </w:tc>
        <w:tc>
          <w:tcPr>
            <w:tcW w:w="1417" w:type="dxa"/>
            <w:hideMark/>
          </w:tcPr>
          <w:p w14:paraId="3E8705C9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$ 1,000,000</w:t>
            </w:r>
          </w:p>
        </w:tc>
        <w:tc>
          <w:tcPr>
            <w:tcW w:w="1331" w:type="dxa"/>
            <w:hideMark/>
          </w:tcPr>
          <w:p w14:paraId="5CF5D672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5E30B8DE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58" w:type="dxa"/>
            <w:hideMark/>
          </w:tcPr>
          <w:p w14:paraId="0E30F43E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10A4" w:rsidRPr="00CD2F2B" w14:paraId="4B5EC8D1" w14:textId="77777777" w:rsidTr="00AE17D0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0C42F54D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 w:val="restart"/>
            <w:hideMark/>
          </w:tcPr>
          <w:p w14:paraId="7FC94DF4" w14:textId="77777777" w:rsidR="005610A4" w:rsidRPr="001A582E" w:rsidRDefault="001A582E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82E">
              <w:t>3.3 Mise en place de plates-formes de communication pour les utilisateurs finals et les fournisseurs de services informatiques</w:t>
            </w:r>
          </w:p>
        </w:tc>
        <w:tc>
          <w:tcPr>
            <w:tcW w:w="5342" w:type="dxa"/>
            <w:hideMark/>
          </w:tcPr>
          <w:p w14:paraId="68C098AD" w14:textId="77777777" w:rsidR="005610A4" w:rsidRPr="001A582E" w:rsidRDefault="001A582E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82E">
              <w:t>3.3.1 Créer et sensibiliser des groupes d'utilisateurs de</w:t>
            </w:r>
            <w:r>
              <w:t>s</w:t>
            </w:r>
            <w:r w:rsidRPr="001A582E">
              <w:t xml:space="preserve"> SC</w:t>
            </w:r>
          </w:p>
        </w:tc>
        <w:tc>
          <w:tcPr>
            <w:tcW w:w="1417" w:type="dxa"/>
            <w:hideMark/>
          </w:tcPr>
          <w:p w14:paraId="3FAE1B9C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331" w:type="dxa"/>
            <w:hideMark/>
          </w:tcPr>
          <w:p w14:paraId="156605B1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05F51EDC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$ 500,000</w:t>
            </w:r>
          </w:p>
        </w:tc>
        <w:tc>
          <w:tcPr>
            <w:tcW w:w="1458" w:type="dxa"/>
            <w:hideMark/>
          </w:tcPr>
          <w:p w14:paraId="27ADA34F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0A4" w:rsidRPr="00CD2F2B" w14:paraId="1B95194F" w14:textId="77777777" w:rsidTr="00AE1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0E4ADFD5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6979A30D" w14:textId="77777777" w:rsidR="005610A4" w:rsidRPr="00CD2F2B" w:rsidRDefault="005610A4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7A711E28" w14:textId="77777777" w:rsidR="005610A4" w:rsidRPr="001A582E" w:rsidRDefault="001A582E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82E">
              <w:t>3.3.2 Renforcer la plate-forme d'interface utilisateur (UIP)</w:t>
            </w:r>
          </w:p>
        </w:tc>
        <w:tc>
          <w:tcPr>
            <w:tcW w:w="1417" w:type="dxa"/>
            <w:hideMark/>
          </w:tcPr>
          <w:p w14:paraId="609EEF12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$ 1,000,000</w:t>
            </w:r>
          </w:p>
        </w:tc>
        <w:tc>
          <w:tcPr>
            <w:tcW w:w="1331" w:type="dxa"/>
            <w:hideMark/>
          </w:tcPr>
          <w:p w14:paraId="4C468032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47B0E544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$ 1,000,000</w:t>
            </w:r>
          </w:p>
        </w:tc>
        <w:tc>
          <w:tcPr>
            <w:tcW w:w="1458" w:type="dxa"/>
            <w:hideMark/>
          </w:tcPr>
          <w:p w14:paraId="68583924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10A4" w:rsidRPr="00CD2F2B" w14:paraId="167B0B7D" w14:textId="77777777" w:rsidTr="00AE17D0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41F8AF82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vMerge/>
            <w:hideMark/>
          </w:tcPr>
          <w:p w14:paraId="7C71F6D3" w14:textId="77777777" w:rsidR="005610A4" w:rsidRPr="00CD2F2B" w:rsidRDefault="005610A4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2" w:type="dxa"/>
            <w:hideMark/>
          </w:tcPr>
          <w:p w14:paraId="3B16EC5F" w14:textId="77777777" w:rsidR="005610A4" w:rsidRPr="001A582E" w:rsidRDefault="001A582E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82E">
              <w:t>3.3.3.3 Soutenir SWIOCOF pour assurer la participation active des usagers des services climatologiques</w:t>
            </w:r>
          </w:p>
        </w:tc>
        <w:tc>
          <w:tcPr>
            <w:tcW w:w="1417" w:type="dxa"/>
            <w:hideMark/>
          </w:tcPr>
          <w:p w14:paraId="7976CBC1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$ 300,000</w:t>
            </w:r>
          </w:p>
        </w:tc>
        <w:tc>
          <w:tcPr>
            <w:tcW w:w="1331" w:type="dxa"/>
            <w:hideMark/>
          </w:tcPr>
          <w:p w14:paraId="5D73A3BF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385DC14F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$ 200,000</w:t>
            </w:r>
          </w:p>
        </w:tc>
        <w:tc>
          <w:tcPr>
            <w:tcW w:w="1458" w:type="dxa"/>
            <w:hideMark/>
          </w:tcPr>
          <w:p w14:paraId="7FCDD541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0A4" w:rsidRPr="00CD2F2B" w14:paraId="369292F3" w14:textId="77777777" w:rsidTr="00AE1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 w:val="restart"/>
            <w:hideMark/>
          </w:tcPr>
          <w:p w14:paraId="09746B0B" w14:textId="77777777" w:rsidR="005610A4" w:rsidRPr="00CD2F2B" w:rsidRDefault="005610A4" w:rsidP="00BC6DAF">
            <w:pPr>
              <w:spacing w:after="60" w:line="240" w:lineRule="auto"/>
            </w:pPr>
            <w:r w:rsidRPr="00CD2F2B">
              <w:t xml:space="preserve">4. </w:t>
            </w:r>
            <w:r w:rsidR="001A582E">
              <w:t>Gestion de projet</w:t>
            </w:r>
          </w:p>
        </w:tc>
        <w:tc>
          <w:tcPr>
            <w:tcW w:w="2059" w:type="dxa"/>
            <w:hideMark/>
          </w:tcPr>
          <w:p w14:paraId="523B340D" w14:textId="77777777" w:rsidR="005610A4" w:rsidRPr="00CD2F2B" w:rsidRDefault="005610A4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 xml:space="preserve">4.1 </w:t>
            </w:r>
            <w:r w:rsidR="001A582E">
              <w:t>Gestion de projet</w:t>
            </w:r>
          </w:p>
        </w:tc>
        <w:tc>
          <w:tcPr>
            <w:tcW w:w="5342" w:type="dxa"/>
            <w:hideMark/>
          </w:tcPr>
          <w:p w14:paraId="4448B342" w14:textId="77777777" w:rsidR="005610A4" w:rsidRPr="00CD2F2B" w:rsidRDefault="005610A4" w:rsidP="00BC6DAF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 xml:space="preserve">4.1.1 </w:t>
            </w:r>
            <w:r w:rsidR="001A582E">
              <w:t>Gestion de projet</w:t>
            </w:r>
          </w:p>
        </w:tc>
        <w:tc>
          <w:tcPr>
            <w:tcW w:w="1417" w:type="dxa"/>
            <w:hideMark/>
          </w:tcPr>
          <w:p w14:paraId="3411D154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$ 4,000,000</w:t>
            </w:r>
          </w:p>
        </w:tc>
        <w:tc>
          <w:tcPr>
            <w:tcW w:w="1331" w:type="dxa"/>
            <w:hideMark/>
          </w:tcPr>
          <w:p w14:paraId="2A986200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32F475B7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6754AD8B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10A4" w:rsidRPr="00CD2F2B" w14:paraId="202034A8" w14:textId="77777777" w:rsidTr="00AE17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hideMark/>
          </w:tcPr>
          <w:p w14:paraId="301C4BDF" w14:textId="77777777" w:rsidR="005610A4" w:rsidRPr="00CD2F2B" w:rsidRDefault="005610A4" w:rsidP="00BC6DAF">
            <w:pPr>
              <w:spacing w:after="60" w:line="240" w:lineRule="auto"/>
            </w:pPr>
          </w:p>
        </w:tc>
        <w:tc>
          <w:tcPr>
            <w:tcW w:w="2059" w:type="dxa"/>
            <w:hideMark/>
          </w:tcPr>
          <w:p w14:paraId="48976A73" w14:textId="77777777" w:rsidR="005610A4" w:rsidRPr="00CD2F2B" w:rsidRDefault="005610A4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 xml:space="preserve">4.2 </w:t>
            </w:r>
            <w:r w:rsidR="001A582E">
              <w:t>Exploitation et entretien</w:t>
            </w:r>
            <w:r w:rsidR="00D2326F">
              <w:t xml:space="preserve"> </w:t>
            </w:r>
          </w:p>
        </w:tc>
        <w:tc>
          <w:tcPr>
            <w:tcW w:w="5342" w:type="dxa"/>
            <w:hideMark/>
          </w:tcPr>
          <w:p w14:paraId="73DB9FB5" w14:textId="77777777" w:rsidR="005610A4" w:rsidRPr="00CD2F2B" w:rsidRDefault="005610A4" w:rsidP="00BC6DAF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 xml:space="preserve">4.1.1 </w:t>
            </w:r>
            <w:r w:rsidR="001A582E">
              <w:t>Exploitation et entretien</w:t>
            </w:r>
            <w:r w:rsidR="00D2326F">
              <w:t xml:space="preserve"> des équipements prévus sous 2.1</w:t>
            </w:r>
          </w:p>
        </w:tc>
        <w:tc>
          <w:tcPr>
            <w:tcW w:w="1417" w:type="dxa"/>
            <w:hideMark/>
          </w:tcPr>
          <w:p w14:paraId="4B8ACC1A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$ 2,000,000</w:t>
            </w:r>
          </w:p>
        </w:tc>
        <w:tc>
          <w:tcPr>
            <w:tcW w:w="1331" w:type="dxa"/>
            <w:hideMark/>
          </w:tcPr>
          <w:p w14:paraId="26C4EA46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6B5C3753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  <w:hideMark/>
          </w:tcPr>
          <w:p w14:paraId="4BC35853" w14:textId="77777777" w:rsidR="005610A4" w:rsidRPr="00CD2F2B" w:rsidRDefault="005610A4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2F2B">
              <w:t>$ 4,000,000</w:t>
            </w:r>
          </w:p>
        </w:tc>
      </w:tr>
      <w:tr w:rsidR="005610A4" w:rsidRPr="00CD2F2B" w14:paraId="21203E8F" w14:textId="77777777" w:rsidTr="00AE1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1" w:type="dxa"/>
            <w:gridSpan w:val="3"/>
          </w:tcPr>
          <w:p w14:paraId="0E90D5F8" w14:textId="77777777" w:rsidR="005610A4" w:rsidRPr="00CD2F2B" w:rsidRDefault="005610A4" w:rsidP="00BC6DAF">
            <w:pPr>
              <w:spacing w:after="60" w:line="240" w:lineRule="auto"/>
            </w:pPr>
            <w:r w:rsidRPr="00CD2F2B">
              <w:t>TOTAL</w:t>
            </w:r>
          </w:p>
        </w:tc>
        <w:tc>
          <w:tcPr>
            <w:tcW w:w="1417" w:type="dxa"/>
          </w:tcPr>
          <w:p w14:paraId="656D42C3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F2B">
              <w:t>$ 58,100,000</w:t>
            </w:r>
          </w:p>
        </w:tc>
        <w:tc>
          <w:tcPr>
            <w:tcW w:w="1331" w:type="dxa"/>
          </w:tcPr>
          <w:p w14:paraId="2BA73178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CD2F2B">
              <w:t>$ 6,300,000</w:t>
            </w:r>
          </w:p>
        </w:tc>
        <w:tc>
          <w:tcPr>
            <w:tcW w:w="1449" w:type="dxa"/>
          </w:tcPr>
          <w:p w14:paraId="4821A162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CD2F2B">
              <w:t>$ 5,200,000</w:t>
            </w:r>
          </w:p>
        </w:tc>
        <w:tc>
          <w:tcPr>
            <w:tcW w:w="1458" w:type="dxa"/>
          </w:tcPr>
          <w:p w14:paraId="4D390FCE" w14:textId="77777777" w:rsidR="005610A4" w:rsidRPr="00CD2F2B" w:rsidRDefault="005610A4" w:rsidP="00BC6DAF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CD2F2B">
              <w:t>$ 6,000,000</w:t>
            </w:r>
          </w:p>
        </w:tc>
      </w:tr>
      <w:tr w:rsidR="005610A4" w:rsidRPr="00CD2F2B" w14:paraId="78A33126" w14:textId="77777777" w:rsidTr="00AE17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1" w:type="dxa"/>
            <w:gridSpan w:val="3"/>
          </w:tcPr>
          <w:p w14:paraId="6D0CBCED" w14:textId="77777777" w:rsidR="005610A4" w:rsidRPr="00CD2F2B" w:rsidRDefault="005610A4" w:rsidP="00BC6DAF">
            <w:pPr>
              <w:spacing w:after="60" w:line="240" w:lineRule="auto"/>
            </w:pPr>
            <w:r>
              <w:t>GRAND TOTAL</w:t>
            </w:r>
          </w:p>
        </w:tc>
        <w:tc>
          <w:tcPr>
            <w:tcW w:w="5655" w:type="dxa"/>
            <w:gridSpan w:val="4"/>
          </w:tcPr>
          <w:p w14:paraId="1CB8CD28" w14:textId="77777777" w:rsidR="005610A4" w:rsidRPr="00CD2F2B" w:rsidRDefault="00D2326F" w:rsidP="00BC6DAF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$ 75,600,0000</w:t>
            </w:r>
          </w:p>
        </w:tc>
      </w:tr>
    </w:tbl>
    <w:p w14:paraId="27A172CC" w14:textId="77777777" w:rsidR="005610A4" w:rsidRPr="001A582E" w:rsidRDefault="001A582E" w:rsidP="005610A4">
      <w:pPr>
        <w:rPr>
          <w:lang w:val="fr-FR"/>
        </w:rPr>
      </w:pPr>
      <w:r w:rsidRPr="001A582E">
        <w:rPr>
          <w:lang w:val="fr-FR"/>
        </w:rPr>
        <w:t>Le cofinancement est garanti à hauteur de 17,5 millions d'USD, comme suit : AFD : 6,3 M$, UE : 5,2 M$ et gouvernements bénéficiaires : 6 M$</w:t>
      </w:r>
    </w:p>
    <w:sectPr w:rsidR="005610A4" w:rsidRPr="001A582E" w:rsidSect="00BC6DAF">
      <w:headerReference w:type="default" r:id="rId11"/>
      <w:pgSz w:w="16838" w:h="11906" w:orient="landscape"/>
      <w:pgMar w:top="1440" w:right="144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AB419" w14:textId="77777777" w:rsidR="00AD6600" w:rsidRDefault="00AD6600" w:rsidP="00CA2376">
      <w:pPr>
        <w:spacing w:after="0" w:line="240" w:lineRule="auto"/>
      </w:pPr>
      <w:r>
        <w:separator/>
      </w:r>
    </w:p>
  </w:endnote>
  <w:endnote w:type="continuationSeparator" w:id="0">
    <w:p w14:paraId="05D3C4B9" w14:textId="77777777" w:rsidR="00AD6600" w:rsidRDefault="00AD6600" w:rsidP="00CA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9E9F1" w14:textId="77777777" w:rsidR="00AD6600" w:rsidRDefault="00AD6600" w:rsidP="00CA2376">
      <w:pPr>
        <w:spacing w:after="0" w:line="240" w:lineRule="auto"/>
      </w:pPr>
      <w:r>
        <w:separator/>
      </w:r>
    </w:p>
  </w:footnote>
  <w:footnote w:type="continuationSeparator" w:id="0">
    <w:p w14:paraId="6261F346" w14:textId="77777777" w:rsidR="00AD6600" w:rsidRDefault="00AD6600" w:rsidP="00CA2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CA1CC" w14:textId="5D8D1A56" w:rsidR="00BC6DAF" w:rsidRDefault="00BC6DAF" w:rsidP="00BC6DAF">
    <w:pPr>
      <w:pStyle w:val="NoSpacing"/>
      <w:ind w:left="-567"/>
    </w:pPr>
    <w:r w:rsidRPr="00CA2376">
      <w:t>Building Regional Resilience through Strengthened Meteorological, Hydrological and Climate Services</w:t>
    </w:r>
    <w:r>
      <w:t xml:space="preserve"> </w:t>
    </w:r>
    <w:r w:rsidRPr="00CA2376">
      <w:t>in the Indian Ocean Commission Mem</w:t>
    </w:r>
    <w:r>
      <w:t xml:space="preserve">ber Countries </w:t>
    </w:r>
    <w:r w:rsidRPr="00CA2376">
      <w:t>FEASIBILITY REPORT (DRAFT), September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A69B5" w14:textId="2B628F9D" w:rsidR="00CA2376" w:rsidRDefault="00CA2376" w:rsidP="00BC6DAF">
    <w:pPr>
      <w:pStyle w:val="NoSpacing"/>
      <w:ind w:left="-567"/>
    </w:pPr>
    <w:r w:rsidRPr="00CA2376">
      <w:t>Building Regional Resilience through Strengthened Meteorological, Hydrological and Climate Services</w:t>
    </w:r>
    <w:r>
      <w:t xml:space="preserve"> </w:t>
    </w:r>
    <w:r w:rsidRPr="00CA2376">
      <w:t>in the Indian Ocean Commission Mem</w:t>
    </w:r>
    <w:r w:rsidR="00BC6DAF">
      <w:t xml:space="preserve">ber Countries </w:t>
    </w:r>
    <w:r w:rsidRPr="00CA2376">
      <w:t>FEASIBILITY REPORT (DRAFT), September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6334"/>
    <w:multiLevelType w:val="hybridMultilevel"/>
    <w:tmpl w:val="FD5678E8"/>
    <w:lvl w:ilvl="0" w:tplc="0BCCD0A4">
      <w:start w:val="1"/>
      <w:numFmt w:val="upperRoman"/>
      <w:pStyle w:val="Titre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B746D4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C62010A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6460EA1"/>
    <w:multiLevelType w:val="multilevel"/>
    <w:tmpl w:val="4AD8929A"/>
    <w:lvl w:ilvl="0">
      <w:start w:val="1"/>
      <w:numFmt w:val="decimal"/>
      <w:pStyle w:val="Heading1"/>
      <w:suff w:val="space"/>
      <w:lvlText w:val="Chapter %1"/>
      <w:lvlJc w:val="left"/>
      <w:pPr>
        <w:ind w:left="1702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76"/>
    <w:rsid w:val="001A582E"/>
    <w:rsid w:val="00275F7A"/>
    <w:rsid w:val="002E4CDA"/>
    <w:rsid w:val="0042323C"/>
    <w:rsid w:val="005610A4"/>
    <w:rsid w:val="005E1AB8"/>
    <w:rsid w:val="00796C55"/>
    <w:rsid w:val="007A4566"/>
    <w:rsid w:val="0080044F"/>
    <w:rsid w:val="009C545C"/>
    <w:rsid w:val="009D6270"/>
    <w:rsid w:val="00AD6600"/>
    <w:rsid w:val="00BC6DAF"/>
    <w:rsid w:val="00BF1CEE"/>
    <w:rsid w:val="00CA2376"/>
    <w:rsid w:val="00CF38B5"/>
    <w:rsid w:val="00D2326F"/>
    <w:rsid w:val="00DF6752"/>
    <w:rsid w:val="00E721AB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E962"/>
  <w15:chartTrackingRefBased/>
  <w15:docId w15:val="{7A67C8D9-29D5-4DC2-8DDB-719C9E3C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376"/>
    <w:pPr>
      <w:spacing w:after="120" w:line="276" w:lineRule="auto"/>
    </w:pPr>
    <w:rPr>
      <w:rFonts w:ascii="Calibri" w:eastAsia="Calibri" w:hAnsi="Calibri" w:cstheme="minorHAnsi"/>
      <w:szCs w:val="20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CA2376"/>
    <w:pPr>
      <w:keepNext/>
      <w:keepLines/>
      <w:pageBreakBefore/>
      <w:numPr>
        <w:numId w:val="1"/>
      </w:numPr>
      <w:spacing w:before="120" w:line="240" w:lineRule="auto"/>
      <w:outlineLvl w:val="0"/>
    </w:pPr>
    <w:rPr>
      <w:rFonts w:ascii="Century Gothic" w:hAnsi="Century Gothic" w:cs="Times New Roman"/>
      <w:b/>
      <w:color w:val="007CA2"/>
      <w:sz w:val="36"/>
    </w:rPr>
  </w:style>
  <w:style w:type="paragraph" w:styleId="Heading2">
    <w:name w:val="heading 2"/>
    <w:basedOn w:val="Normal"/>
    <w:next w:val="Normal"/>
    <w:link w:val="Heading2Char"/>
    <w:qFormat/>
    <w:rsid w:val="00CA2376"/>
    <w:pPr>
      <w:keepNext/>
      <w:keepLines/>
      <w:numPr>
        <w:ilvl w:val="1"/>
        <w:numId w:val="1"/>
      </w:numPr>
      <w:spacing w:before="120" w:line="240" w:lineRule="auto"/>
      <w:outlineLvl w:val="1"/>
    </w:pPr>
    <w:rPr>
      <w:rFonts w:ascii="Century Gothic" w:hAnsi="Century Gothic" w:cs="Times New Roman"/>
      <w:b/>
      <w:color w:val="007CA2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CA2376"/>
    <w:pPr>
      <w:keepNext/>
      <w:numPr>
        <w:ilvl w:val="2"/>
        <w:numId w:val="1"/>
      </w:numPr>
      <w:spacing w:before="120" w:line="240" w:lineRule="auto"/>
      <w:ind w:left="720"/>
      <w:outlineLvl w:val="2"/>
    </w:pPr>
    <w:rPr>
      <w:rFonts w:ascii="Century Gothic" w:hAnsi="Century Gothic" w:cs="Times New Roman"/>
      <w:b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CA2376"/>
    <w:pPr>
      <w:keepNext/>
      <w:numPr>
        <w:ilvl w:val="3"/>
        <w:numId w:val="1"/>
      </w:numPr>
      <w:spacing w:before="120" w:line="240" w:lineRule="auto"/>
      <w:outlineLvl w:val="3"/>
    </w:pPr>
    <w:rPr>
      <w:rFonts w:cs="Times New Roman"/>
      <w:bCs/>
      <w:i/>
      <w:sz w:val="24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237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37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37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37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2376"/>
    <w:rPr>
      <w:rFonts w:ascii="Century Gothic" w:eastAsia="Calibri" w:hAnsi="Century Gothic" w:cs="Times New Roman"/>
      <w:b/>
      <w:color w:val="007CA2"/>
      <w:sz w:val="36"/>
      <w:szCs w:val="20"/>
      <w:lang w:eastAsia="fr-FR"/>
    </w:rPr>
  </w:style>
  <w:style w:type="character" w:customStyle="1" w:styleId="Heading2Char">
    <w:name w:val="Heading 2 Char"/>
    <w:basedOn w:val="DefaultParagraphFont"/>
    <w:link w:val="Heading2"/>
    <w:rsid w:val="00CA2376"/>
    <w:rPr>
      <w:rFonts w:ascii="Century Gothic" w:eastAsia="Calibri" w:hAnsi="Century Gothic" w:cs="Times New Roman"/>
      <w:b/>
      <w:color w:val="007CA2"/>
      <w:sz w:val="32"/>
      <w:szCs w:val="20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CA2376"/>
    <w:rPr>
      <w:rFonts w:ascii="Century Gothic" w:eastAsia="Calibri" w:hAnsi="Century Gothic" w:cs="Times New Roman"/>
      <w:b/>
      <w:i/>
      <w:sz w:val="24"/>
      <w:szCs w:val="20"/>
      <w:lang w:eastAsia="fr-FR"/>
    </w:rPr>
  </w:style>
  <w:style w:type="character" w:customStyle="1" w:styleId="Heading4Char">
    <w:name w:val="Heading 4 Char"/>
    <w:basedOn w:val="DefaultParagraphFont"/>
    <w:link w:val="Heading4"/>
    <w:rsid w:val="00CA2376"/>
    <w:rPr>
      <w:rFonts w:ascii="Calibri" w:eastAsia="Calibri" w:hAnsi="Calibri" w:cs="Times New Roman"/>
      <w:bCs/>
      <w:i/>
      <w:sz w:val="24"/>
      <w:szCs w:val="28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CA2376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37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3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3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Caption">
    <w:name w:val="caption"/>
    <w:basedOn w:val="Normal"/>
    <w:next w:val="Normal"/>
    <w:link w:val="CaptionChar"/>
    <w:uiPriority w:val="35"/>
    <w:qFormat/>
    <w:rsid w:val="00CA2376"/>
    <w:pPr>
      <w:keepNext/>
      <w:keepLines/>
      <w:spacing w:line="240" w:lineRule="auto"/>
    </w:pPr>
    <w:rPr>
      <w:rFonts w:ascii="Century Gothic" w:hAnsi="Century Gothic" w:cs="Times New Roman"/>
      <w:b/>
      <w:bCs/>
      <w:color w:val="007CA2"/>
      <w:sz w:val="20"/>
    </w:rPr>
  </w:style>
  <w:style w:type="character" w:customStyle="1" w:styleId="CaptionChar">
    <w:name w:val="Caption Char"/>
    <w:basedOn w:val="DefaultParagraphFont"/>
    <w:link w:val="Caption"/>
    <w:uiPriority w:val="35"/>
    <w:rsid w:val="00CA2376"/>
    <w:rPr>
      <w:rFonts w:ascii="Century Gothic" w:eastAsia="Calibri" w:hAnsi="Century Gothic" w:cs="Times New Roman"/>
      <w:b/>
      <w:bCs/>
      <w:color w:val="007CA2"/>
      <w:sz w:val="20"/>
      <w:szCs w:val="20"/>
      <w:lang w:eastAsia="fr-FR"/>
    </w:rPr>
  </w:style>
  <w:style w:type="paragraph" w:customStyle="1" w:styleId="Corps">
    <w:name w:val="Corps"/>
    <w:rsid w:val="00CA23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ps">
    <w:name w:val="hps"/>
    <w:basedOn w:val="DefaultParagraphFont"/>
    <w:rsid w:val="00CA2376"/>
  </w:style>
  <w:style w:type="character" w:customStyle="1" w:styleId="normaltextrun">
    <w:name w:val="normaltextrun"/>
    <w:basedOn w:val="DefaultParagraphFont"/>
    <w:rsid w:val="00CA2376"/>
  </w:style>
  <w:style w:type="paragraph" w:customStyle="1" w:styleId="Styledetableau2">
    <w:name w:val="Style de tableau 2"/>
    <w:rsid w:val="00CA23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en-ZA"/>
      <w14:textOutline w14:w="0" w14:cap="flat" w14:cmpd="sng" w14:algn="ctr">
        <w14:noFill/>
        <w14:prstDash w14:val="solid"/>
        <w14:bevel/>
      </w14:textOutline>
    </w:rPr>
  </w:style>
  <w:style w:type="table" w:styleId="GridTable4-Accent5">
    <w:name w:val="Grid Table 4 Accent 5"/>
    <w:basedOn w:val="TableNormal"/>
    <w:uiPriority w:val="49"/>
    <w:rsid w:val="00CA2376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A2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376"/>
    <w:rPr>
      <w:rFonts w:ascii="Calibri" w:eastAsia="Calibri" w:hAnsi="Calibri" w:cstheme="minorHAnsi"/>
      <w:szCs w:val="20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CA2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376"/>
    <w:rPr>
      <w:rFonts w:ascii="Calibri" w:eastAsia="Calibri" w:hAnsi="Calibri" w:cstheme="minorHAnsi"/>
      <w:szCs w:val="20"/>
      <w:lang w:eastAsia="fr-FR"/>
    </w:rPr>
  </w:style>
  <w:style w:type="paragraph" w:styleId="NoSpacing">
    <w:name w:val="No Spacing"/>
    <w:uiPriority w:val="1"/>
    <w:qFormat/>
    <w:rsid w:val="00CA2376"/>
    <w:pPr>
      <w:spacing w:after="0" w:line="240" w:lineRule="auto"/>
    </w:pPr>
    <w:rPr>
      <w:rFonts w:ascii="Calibri" w:eastAsia="Calibri" w:hAnsi="Calibri" w:cstheme="minorHAnsi"/>
      <w:szCs w:val="20"/>
      <w:lang w:eastAsia="fr-FR"/>
    </w:rPr>
  </w:style>
  <w:style w:type="paragraph" w:customStyle="1" w:styleId="Titre1">
    <w:name w:val="Titre1"/>
    <w:basedOn w:val="Normal"/>
    <w:rsid w:val="00BC6DAF"/>
    <w:pPr>
      <w:keepNext/>
      <w:keepLines/>
      <w:numPr>
        <w:numId w:val="2"/>
      </w:numPr>
      <w:spacing w:before="720" w:after="0" w:line="240" w:lineRule="auto"/>
      <w:outlineLvl w:val="0"/>
    </w:pPr>
    <w:rPr>
      <w:rFonts w:ascii="Times New Roman" w:hAnsi="Times New Roman" w:cs="Times New Roman"/>
      <w:b/>
      <w:color w:val="365F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A3C186D264F940ADBAB1EE3C7CAA06" ma:contentTypeVersion="15" ma:contentTypeDescription="Create a new document." ma:contentTypeScope="" ma:versionID="6922f0f04029b4c77c8c068ee3a4ea94">
  <xsd:schema xmlns:xsd="http://www.w3.org/2001/XMLSchema" xmlns:xs="http://www.w3.org/2001/XMLSchema" xmlns:p="http://schemas.microsoft.com/office/2006/metadata/properties" xmlns:ns1="http://schemas.microsoft.com/sharepoint/v3" xmlns:ns3="ab236ac6-2fe6-4d08-adca-cf461bf8e5f7" xmlns:ns4="a4019cf0-fc96-4c6a-98c4-edfea20c6e55" targetNamespace="http://schemas.microsoft.com/office/2006/metadata/properties" ma:root="true" ma:fieldsID="8d52e8b445d88d5b99caf78b4837489f" ns1:_="" ns3:_="" ns4:_="">
    <xsd:import namespace="http://schemas.microsoft.com/sharepoint/v3"/>
    <xsd:import namespace="ab236ac6-2fe6-4d08-adca-cf461bf8e5f7"/>
    <xsd:import namespace="a4019cf0-fc96-4c6a-98c4-edfea20c6e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6ac6-2fe6-4d08-adca-cf461bf8e5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19cf0-fc96-4c6a-98c4-edfea20c6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F9886F-735F-4D0D-83FC-821DBC205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236ac6-2fe6-4d08-adca-cf461bf8e5f7"/>
    <ds:schemaRef ds:uri="a4019cf0-fc96-4c6a-98c4-edfea20c6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837E35-1184-4A6D-86C0-F5E1D7201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D6D46-17CA-4FA4-9C84-F17B21E620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Wallis</dc:creator>
  <cp:keywords/>
  <dc:description/>
  <cp:lastModifiedBy>Marie-Ange Bdn</cp:lastModifiedBy>
  <cp:revision>2</cp:revision>
  <dcterms:created xsi:type="dcterms:W3CDTF">2019-10-31T14:18:00Z</dcterms:created>
  <dcterms:modified xsi:type="dcterms:W3CDTF">2019-10-31T14:18:00Z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0x010100F4A3C186D264F940ADBAB1EE3C7CAA06</vt:lpwstr>
  </property>
</Properties>
</file>